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748D3" w14:textId="77777777" w:rsidR="00A27E90" w:rsidRDefault="00A27E90"/>
    <w:p w14:paraId="3CC183B8" w14:textId="77777777" w:rsidR="00A27E90" w:rsidRDefault="00A27E90"/>
    <w:p w14:paraId="66E7051B" w14:textId="77777777" w:rsidR="00A27E90" w:rsidRDefault="00B73839">
      <w:pPr>
        <w:spacing w:after="120"/>
        <w:jc w:val="center"/>
      </w:pPr>
      <w:r>
        <w:rPr>
          <w:b/>
          <w:bCs/>
          <w:color w:val="1F3864"/>
          <w:sz w:val="28"/>
          <w:szCs w:val="28"/>
        </w:rPr>
        <w:t>UNIVERSIDAD DE BUENOS AIRES</w:t>
      </w:r>
    </w:p>
    <w:p w14:paraId="47BBBFCA" w14:textId="77777777" w:rsidR="00A27E90" w:rsidRDefault="00B73839">
      <w:pPr>
        <w:spacing w:after="360"/>
        <w:jc w:val="center"/>
      </w:pPr>
      <w:r>
        <w:rPr>
          <w:b/>
          <w:bCs/>
          <w:color w:val="1F3864"/>
          <w:sz w:val="24"/>
          <w:szCs w:val="24"/>
        </w:rPr>
        <w:t>Facultad de Ciencias Económicas</w:t>
      </w:r>
    </w:p>
    <w:p w14:paraId="08B98034" w14:textId="77777777" w:rsidR="00A27E90" w:rsidRDefault="00B73839">
      <w:pPr>
        <w:spacing w:after="160"/>
        <w:jc w:val="center"/>
      </w:pPr>
      <w:r>
        <w:rPr>
          <w:i/>
          <w:iCs/>
        </w:rPr>
        <w:t>Laboratorio de Métodos Cuantitativos Aplicados a la Gestión</w:t>
      </w:r>
    </w:p>
    <w:p w14:paraId="4F77F9DF" w14:textId="77777777" w:rsidR="00A27E90" w:rsidRDefault="00A27E90"/>
    <w:p w14:paraId="48B9B594" w14:textId="77777777" w:rsidR="00A27E90" w:rsidRDefault="00A27E90">
      <w:pPr>
        <w:pBdr>
          <w:bottom w:val="single" w:sz="6" w:space="1" w:color="2E5090"/>
        </w:pBdr>
        <w:spacing w:before="240" w:after="240"/>
        <w:jc w:val="center"/>
      </w:pPr>
    </w:p>
    <w:p w14:paraId="1777D93E" w14:textId="77777777" w:rsidR="00A27E90" w:rsidRDefault="00A27E90"/>
    <w:p w14:paraId="6BD5D745" w14:textId="77777777" w:rsidR="00A27E90" w:rsidRDefault="00B73839">
      <w:pPr>
        <w:spacing w:after="200"/>
        <w:jc w:val="center"/>
      </w:pPr>
      <w:r>
        <w:rPr>
          <w:b/>
          <w:bCs/>
          <w:color w:val="1F3864"/>
          <w:sz w:val="32"/>
          <w:szCs w:val="32"/>
        </w:rPr>
        <w:t>TRABAJO PRÁCTICO INTEGRADOR</w:t>
      </w:r>
    </w:p>
    <w:p w14:paraId="05B0514E" w14:textId="77777777" w:rsidR="00A27E90" w:rsidRDefault="00B73839">
      <w:pPr>
        <w:spacing w:after="400"/>
        <w:jc w:val="center"/>
      </w:pPr>
      <w:r>
        <w:rPr>
          <w:b/>
          <w:bCs/>
          <w:sz w:val="26"/>
          <w:szCs w:val="26"/>
        </w:rPr>
        <w:t>Análisis de la Rentabilidad bajo Políticas de Descuento:</w:t>
      </w:r>
    </w:p>
    <w:p w14:paraId="582BCBB7" w14:textId="77777777" w:rsidR="00A27E90" w:rsidRDefault="00B73839">
      <w:pPr>
        <w:spacing w:after="400"/>
        <w:jc w:val="center"/>
      </w:pPr>
      <w:r>
        <w:rPr>
          <w:b/>
          <w:bCs/>
          <w:sz w:val="26"/>
          <w:szCs w:val="26"/>
        </w:rPr>
        <w:t xml:space="preserve">Identificación del Umbral Crítico en el </w:t>
      </w:r>
      <w:proofErr w:type="spellStart"/>
      <w:r>
        <w:rPr>
          <w:b/>
          <w:bCs/>
          <w:sz w:val="26"/>
          <w:szCs w:val="26"/>
        </w:rPr>
        <w:t>Dataset</w:t>
      </w:r>
      <w:proofErr w:type="spellEnd"/>
      <w:r>
        <w:rPr>
          <w:b/>
          <w:bCs/>
          <w:sz w:val="26"/>
          <w:szCs w:val="26"/>
        </w:rPr>
        <w:t xml:space="preserve"> </w:t>
      </w:r>
      <w:proofErr w:type="spellStart"/>
      <w:r>
        <w:rPr>
          <w:b/>
          <w:bCs/>
          <w:sz w:val="26"/>
          <w:szCs w:val="26"/>
        </w:rPr>
        <w:t>Superstore</w:t>
      </w:r>
      <w:proofErr w:type="spellEnd"/>
    </w:p>
    <w:p w14:paraId="23331608" w14:textId="77777777" w:rsidR="00A27E90" w:rsidRDefault="00A27E90"/>
    <w:p w14:paraId="79E0EF9E" w14:textId="77777777" w:rsidR="00A27E90" w:rsidRDefault="00A27E90"/>
    <w:p w14:paraId="455581E0" w14:textId="77777777" w:rsidR="00A27E90" w:rsidRDefault="00B73839">
      <w:pPr>
        <w:spacing w:after="80"/>
        <w:jc w:val="center"/>
      </w:pPr>
      <w:proofErr w:type="spellStart"/>
      <w:r>
        <w:t>Dataset</w:t>
      </w:r>
      <w:proofErr w:type="spellEnd"/>
      <w:r>
        <w:t xml:space="preserve"> utilizado: </w:t>
      </w:r>
      <w:proofErr w:type="spellStart"/>
      <w:r>
        <w:t>Superstore</w:t>
      </w:r>
      <w:proofErr w:type="spellEnd"/>
      <w:r>
        <w:t xml:space="preserve"> (fuente pública, GitHub)</w:t>
      </w:r>
    </w:p>
    <w:p w14:paraId="7C64436A" w14:textId="428F2C37" w:rsidR="00A27E90" w:rsidRDefault="00B73839">
      <w:pPr>
        <w:spacing w:after="80"/>
        <w:jc w:val="center"/>
      </w:pPr>
      <w:r>
        <w:t>Herramientas</w:t>
      </w:r>
      <w:r w:rsidR="001F2729">
        <w:t xml:space="preserve"> utilizadas</w:t>
      </w:r>
      <w:r>
        <w:t xml:space="preserve">: </w:t>
      </w:r>
      <w:r w:rsidR="001F2729">
        <w:t xml:space="preserve">Google </w:t>
      </w:r>
      <w:proofErr w:type="spellStart"/>
      <w:r w:rsidR="001F2729">
        <w:t>colaboratory</w:t>
      </w:r>
      <w:proofErr w:type="spellEnd"/>
      <w:r w:rsidR="001F2729">
        <w:t xml:space="preserve">, Lenguaje Python, </w:t>
      </w:r>
      <w:proofErr w:type="spellStart"/>
      <w:r w:rsidR="001F2729">
        <w:t>Numpy</w:t>
      </w:r>
      <w:proofErr w:type="spellEnd"/>
      <w:r w:rsidR="001F2729">
        <w:t xml:space="preserve">, </w:t>
      </w:r>
      <w:proofErr w:type="spellStart"/>
      <w:r w:rsidR="001F2729">
        <w:t>Matplotlib</w:t>
      </w:r>
      <w:proofErr w:type="spellEnd"/>
      <w:r w:rsidR="001F2729">
        <w:t xml:space="preserve">, Seaborn y Pandas. </w:t>
      </w:r>
    </w:p>
    <w:p w14:paraId="2D7B3FEE" w14:textId="77777777" w:rsidR="00A27E90" w:rsidRDefault="00B73839">
      <w:pPr>
        <w:spacing w:after="400"/>
        <w:jc w:val="center"/>
      </w:pPr>
      <w:r>
        <w:t>Año académico: 2025</w:t>
      </w:r>
    </w:p>
    <w:p w14:paraId="6C50620D" w14:textId="3E48607D" w:rsidR="00A27E90" w:rsidRDefault="00B73839">
      <w:pPr>
        <w:pStyle w:val="Ttulo1"/>
      </w:pPr>
      <w:r>
        <w:t xml:space="preserve">Resumen </w:t>
      </w:r>
    </w:p>
    <w:p w14:paraId="62CE8FB2" w14:textId="77777777" w:rsidR="00A27E90" w:rsidRDefault="00B73839">
      <w:pPr>
        <w:spacing w:before="80" w:after="80" w:line="276" w:lineRule="auto"/>
        <w:jc w:val="both"/>
      </w:pPr>
      <w:r>
        <w:t xml:space="preserve">El presente trabajo analiza la relación entre los niveles de descuento aplicados y la rentabilidad operativa de una empresa minorista, utilizando el </w:t>
      </w:r>
      <w:proofErr w:type="spellStart"/>
      <w:r>
        <w:t>dataset</w:t>
      </w:r>
      <w:proofErr w:type="spellEnd"/>
      <w:r>
        <w:t xml:space="preserve"> público </w:t>
      </w:r>
      <w:proofErr w:type="spellStart"/>
      <w:r>
        <w:t>Superstore</w:t>
      </w:r>
      <w:proofErr w:type="spellEnd"/>
      <w:r>
        <w:t>, que registra aproximadamente 9.994 transacciones de ventas en dólares estadounidenses correspondientes a los años 2014 a 2017. La pregunta de investigación que guía el análisis es la siguiente: ¿existe un nivel de descuento a partir del cual el incremento en ventas deja de compensar la reducción del margen de ganancia, provocando una disminución significativa de la rentabilidad?</w:t>
      </w:r>
    </w:p>
    <w:p w14:paraId="199BEAD6" w14:textId="47F20FBD" w:rsidR="001F2729" w:rsidRDefault="00B73839" w:rsidP="001F2729">
      <w:pPr>
        <w:pStyle w:val="p1"/>
      </w:pPr>
      <w:r>
        <w:rPr>
          <w:rFonts w:ascii="Arial" w:eastAsia="Arial" w:hAnsi="Arial" w:cs="Arial"/>
          <w:sz w:val="22"/>
          <w:szCs w:val="22"/>
        </w:rPr>
        <w:t xml:space="preserve">Para responder esta pregunta, se implementó una metodología combinada de análisis exploratorio de datos (EDA) y modelización económica. </w:t>
      </w:r>
      <w:r w:rsidR="001F2729" w:rsidRPr="001F2729">
        <w:rPr>
          <w:rFonts w:ascii="Arial" w:hAnsi="Arial" w:cs="Arial"/>
          <w:sz w:val="22"/>
          <w:szCs w:val="22"/>
        </w:rPr>
        <w:t>En la etapa exploratoria se construyeron variables derivadas —tramos de descuento, margen de rentabilidad y costo estimado por transacción</w:t>
      </w:r>
      <w:r w:rsidR="001F2729">
        <w:rPr>
          <w:rFonts w:ascii="Arial" w:hAnsi="Arial" w:cs="Arial"/>
          <w:sz w:val="22"/>
          <w:szCs w:val="22"/>
        </w:rPr>
        <w:t xml:space="preserve"> </w:t>
      </w:r>
      <w:r w:rsidR="001F2729" w:rsidRPr="001F2729">
        <w:rPr>
          <w:rFonts w:ascii="Arial" w:hAnsi="Arial" w:cs="Arial"/>
          <w:sz w:val="22"/>
          <w:szCs w:val="22"/>
        </w:rPr>
        <w:t>y se elaboraron tablas de resumen y gráficos de barras, líneas y ejes duales</w:t>
      </w:r>
      <w:r w:rsidR="001F2729">
        <w:rPr>
          <w:rFonts w:ascii="Arial" w:hAnsi="Arial" w:cs="Arial"/>
          <w:sz w:val="22"/>
          <w:szCs w:val="22"/>
        </w:rPr>
        <w:t xml:space="preserve">. </w:t>
      </w:r>
      <w:r w:rsidR="001F2729" w:rsidRPr="001F2729">
        <w:rPr>
          <w:rFonts w:ascii="Arial" w:hAnsi="Arial" w:cs="Arial"/>
          <w:sz w:val="22"/>
          <w:szCs w:val="22"/>
        </w:rPr>
        <w:t xml:space="preserve">En la etapa de modelización, se ajustaron regresiones polinómicas de grado 2 mediante mínimos cuadrados ordinarios (función </w:t>
      </w:r>
      <w:proofErr w:type="spellStart"/>
      <w:proofErr w:type="gramStart"/>
      <w:r w:rsidR="001F2729" w:rsidRPr="001F2729">
        <w:rPr>
          <w:rStyle w:val="CdigoHTML"/>
          <w:rFonts w:ascii="Arial" w:hAnsi="Arial" w:cs="Arial"/>
          <w:sz w:val="22"/>
          <w:szCs w:val="22"/>
        </w:rPr>
        <w:t>np.polyfit</w:t>
      </w:r>
      <w:proofErr w:type="spellEnd"/>
      <w:proofErr w:type="gramEnd"/>
      <w:r w:rsidR="001F2729" w:rsidRPr="001F2729">
        <w:rPr>
          <w:rFonts w:ascii="Arial" w:hAnsi="Arial" w:cs="Arial"/>
          <w:sz w:val="22"/>
          <w:szCs w:val="22"/>
        </w:rPr>
        <w:t xml:space="preserve"> de </w:t>
      </w:r>
      <w:proofErr w:type="spellStart"/>
      <w:r w:rsidR="001F2729" w:rsidRPr="001F2729">
        <w:rPr>
          <w:rFonts w:ascii="Arial" w:hAnsi="Arial" w:cs="Arial"/>
          <w:sz w:val="22"/>
          <w:szCs w:val="22"/>
        </w:rPr>
        <w:t>NumPy</w:t>
      </w:r>
      <w:proofErr w:type="spellEnd"/>
      <w:r w:rsidR="001F2729" w:rsidRPr="001F2729">
        <w:rPr>
          <w:rFonts w:ascii="Arial" w:hAnsi="Arial" w:cs="Arial"/>
          <w:sz w:val="22"/>
          <w:szCs w:val="22"/>
        </w:rPr>
        <w:t xml:space="preserve">) para las funciones de Ingreso, Costo y Beneficio en función del nivel de descuento. A partir de los coeficientes estimados, se calcularon las raíces de la función de beneficio </w:t>
      </w:r>
      <w:r w:rsidR="001F2729" w:rsidRPr="001F2729">
        <w:rPr>
          <w:rStyle w:val="s1"/>
          <w:rFonts w:ascii="Arial" w:hAnsi="Arial" w:cs="Arial"/>
          <w:sz w:val="22"/>
          <w:szCs w:val="22"/>
        </w:rPr>
        <w:t>B(d)=0</w:t>
      </w:r>
      <w:r w:rsidR="001F2729" w:rsidRPr="001F2729">
        <w:rPr>
          <w:rFonts w:ascii="Arial" w:hAnsi="Arial" w:cs="Arial"/>
          <w:sz w:val="22"/>
          <w:szCs w:val="22"/>
        </w:rPr>
        <w:t xml:space="preserve"> mediante la función </w:t>
      </w:r>
      <w:proofErr w:type="spellStart"/>
      <w:proofErr w:type="gramStart"/>
      <w:r w:rsidR="001F2729" w:rsidRPr="001F2729">
        <w:rPr>
          <w:rStyle w:val="CdigoHTML"/>
          <w:rFonts w:ascii="Arial" w:hAnsi="Arial" w:cs="Arial"/>
          <w:sz w:val="22"/>
          <w:szCs w:val="22"/>
        </w:rPr>
        <w:t>np.roots</w:t>
      </w:r>
      <w:proofErr w:type="spellEnd"/>
      <w:proofErr w:type="gramEnd"/>
      <w:r w:rsidR="001F2729" w:rsidRPr="001F2729">
        <w:rPr>
          <w:rFonts w:ascii="Arial" w:hAnsi="Arial" w:cs="Arial"/>
          <w:sz w:val="22"/>
          <w:szCs w:val="22"/>
        </w:rPr>
        <w:t>, con el objetivo de identificar el umbral crítico de descuento a partir del cual el beneficio promedio se vuelve negativo.</w:t>
      </w:r>
    </w:p>
    <w:p w14:paraId="296B8CFC" w14:textId="0D8CC0ED" w:rsidR="00A27E90" w:rsidRDefault="00A27E90">
      <w:pPr>
        <w:spacing w:before="80" w:after="80" w:line="276" w:lineRule="auto"/>
        <w:jc w:val="both"/>
      </w:pPr>
    </w:p>
    <w:p w14:paraId="1E0C79EA" w14:textId="09A2CC06" w:rsidR="00A27E90" w:rsidRDefault="00B73839">
      <w:pPr>
        <w:spacing w:before="80" w:after="80" w:line="276" w:lineRule="auto"/>
        <w:jc w:val="both"/>
      </w:pPr>
      <w:r>
        <w:t>Los hallazgos principales indican que el beneficio promedio por transacción alcanza su máximo en ausencia de descuento (d = 0%, B ≈ $</w:t>
      </w:r>
      <w:r w:rsidR="00E72F9F">
        <w:t>38,25</w:t>
      </w:r>
      <w:r>
        <w:t xml:space="preserve">), y que existe un umbral crítico situado en torno al </w:t>
      </w:r>
      <w:r w:rsidR="00E72F9F">
        <w:t xml:space="preserve">32,68% </w:t>
      </w:r>
      <w:r>
        <w:t xml:space="preserve">de descuento a partir del cual el beneficio se vuelve negativo. Este resultado confirma la hipótesis inicial: la política de descuentos, tal como se aplica en el </w:t>
      </w:r>
      <w:proofErr w:type="spellStart"/>
      <w:r>
        <w:t>dataset</w:t>
      </w:r>
      <w:proofErr w:type="spellEnd"/>
      <w:r>
        <w:t>, destruye valor en promedio y resulta especialmente perjudicial en las categorías con márgenes más ajustados. La conclusión principal del trabajo es que una gestión eficiente del precio requiere definir límites máximos de descuento diferenciados por categoría de producto.</w:t>
      </w:r>
    </w:p>
    <w:p w14:paraId="5FADBBBB" w14:textId="77777777" w:rsidR="00A27E90" w:rsidRDefault="00B73839">
      <w:pPr>
        <w:pStyle w:val="Ttulo1"/>
      </w:pPr>
      <w:r>
        <w:t>1. Introducción</w:t>
      </w:r>
    </w:p>
    <w:p w14:paraId="2707D7D7" w14:textId="77777777" w:rsidR="00A27E90" w:rsidRDefault="00B73839">
      <w:pPr>
        <w:spacing w:before="80" w:after="80" w:line="276" w:lineRule="auto"/>
        <w:jc w:val="both"/>
      </w:pPr>
      <w:r>
        <w:t>Los descuentos comerciales constituyen una de las herramientas de política de precios más extendidas en el comercio minorista. Su lógica subyacente es intuitiva: reducir el precio unitario para estimular la demanda, aumentar el volumen vendido y, en definitiva, mejorar la rentabilidad global del negocio. Sin embargo, esta lógica presupone que el efecto volumen supera al efecto precio, condición que no siempre se cumple en la práctica. Cuando los descuentos son excesivos o se aplican sin discriminación entre categorías, el incremento en unidades vendidas puede resultar insuficiente para compensar la contracción del margen unitario, generando una situación en la que cada venta adicional destruye valor en lugar de crearlo.</w:t>
      </w:r>
    </w:p>
    <w:p w14:paraId="72F023F3" w14:textId="77777777" w:rsidR="00A27E90" w:rsidRDefault="00B73839">
      <w:pPr>
        <w:spacing w:before="80" w:after="80" w:line="276" w:lineRule="auto"/>
        <w:jc w:val="both"/>
      </w:pPr>
      <w:r>
        <w:t>Este problema adquiere relevancia particular en entornos competitivos donde los equipos comerciales tienden a utilizar el descuento como instrumento de presión de ventas de corto plazo, sin evaluar sistemáticamente su impacto sobre la rentabilidad estructural del negocio. La ausencia de un umbral cuantitativo claramente definido facilita la proliferación de prácticas que deterioran el margen sin que se perciba la señal de alarma hasta que el daño acumulado se vuelve significativo.</w:t>
      </w:r>
    </w:p>
    <w:p w14:paraId="01A0211C" w14:textId="77777777" w:rsidR="00A27E90" w:rsidRDefault="00B73839">
      <w:pPr>
        <w:spacing w:before="80" w:after="80" w:line="276" w:lineRule="auto"/>
        <w:jc w:val="both"/>
      </w:pPr>
      <w:r>
        <w:t xml:space="preserve">El </w:t>
      </w:r>
      <w:proofErr w:type="spellStart"/>
      <w:r>
        <w:t>dataset</w:t>
      </w:r>
      <w:proofErr w:type="spellEnd"/>
      <w:r>
        <w:t xml:space="preserve"> seleccionado para abordar esta problemática es el </w:t>
      </w:r>
      <w:proofErr w:type="spellStart"/>
      <w:r>
        <w:t>Superstore</w:t>
      </w:r>
      <w:proofErr w:type="spellEnd"/>
      <w:r>
        <w:t>, una base de datos pública que registra órdenes de venta de una empresa minorista estadounidense durante el período 2014-2017. Los datos fueron obtenidos desde un repositorio de GitHub y contienen información transaccional detallada sobre ventas, ganancias, descuentos aplicados, categorías de producto y cantidades vendidas, expresadas en dólares. La cobertura temporal de cuatro años permite verificar si los patrones observados son estructurales o circunstanciales.</w:t>
      </w:r>
    </w:p>
    <w:p w14:paraId="7722DE00" w14:textId="77777777" w:rsidR="00A27E90" w:rsidRDefault="00B73839">
      <w:pPr>
        <w:spacing w:before="80" w:after="80" w:line="276" w:lineRule="auto"/>
        <w:jc w:val="both"/>
      </w:pPr>
      <w:r>
        <w:t>La pregunta de investigación que orienta el trabajo es la siguiente: ¿existe un nivel de descuento a partir del cual el incremento en ventas deja de compensar la reducción del margen de ganancia, provocando una disminución significativa de la rentabilidad de la empresa? El objetivo general consiste en identificar, mediante técnicas cuantitativas, ese umbral crítico de descuento y caracterizar el comportamiento de las curvas de Ingreso, Costo y Beneficio en función del porcentaje de descuento aplicado.</w:t>
      </w:r>
    </w:p>
    <w:p w14:paraId="0FAB9400" w14:textId="77777777" w:rsidR="00A27E90" w:rsidRDefault="00B73839">
      <w:pPr>
        <w:pStyle w:val="Ttulo1"/>
      </w:pPr>
      <w:r>
        <w:t>2. Datos y Metodología</w:t>
      </w:r>
    </w:p>
    <w:p w14:paraId="44597587" w14:textId="77777777" w:rsidR="00A27E90" w:rsidRDefault="00B73839">
      <w:pPr>
        <w:pStyle w:val="Ttulo2"/>
      </w:pPr>
      <w:r>
        <w:t xml:space="preserve">2.1. Descripción del </w:t>
      </w:r>
      <w:proofErr w:type="spellStart"/>
      <w:r>
        <w:t>dataset</w:t>
      </w:r>
      <w:proofErr w:type="spellEnd"/>
      <w:r>
        <w:t xml:space="preserve"> y calidad de los datos</w:t>
      </w:r>
    </w:p>
    <w:p w14:paraId="36FE985B" w14:textId="77777777" w:rsidR="00A27E90" w:rsidRDefault="00B73839">
      <w:pPr>
        <w:spacing w:before="80" w:after="80" w:line="276" w:lineRule="auto"/>
        <w:jc w:val="both"/>
      </w:pPr>
      <w:r>
        <w:t xml:space="preserve">El </w:t>
      </w:r>
      <w:proofErr w:type="spellStart"/>
      <w:r>
        <w:t>dataset</w:t>
      </w:r>
      <w:proofErr w:type="spellEnd"/>
      <w:r>
        <w:t xml:space="preserve"> </w:t>
      </w:r>
      <w:proofErr w:type="spellStart"/>
      <w:r>
        <w:t>Superstore</w:t>
      </w:r>
      <w:proofErr w:type="spellEnd"/>
      <w:r>
        <w:t xml:space="preserve"> contiene 9.994 registros de órdenes de venta con 21 columnas que incluyen identificadores de orden y cliente, fechas, región geográfica, categoría y subcategoría de producto, ventas brutas, ganancia neta, descuento aplicado y cantidad de unidades. Para el presente análisis se trabajó con las cuatro variables numéricas centrales: Sales (ventas en dólares), Profit (ganancia neta), </w:t>
      </w:r>
      <w:proofErr w:type="spellStart"/>
      <w:r>
        <w:t>Discount</w:t>
      </w:r>
      <w:proofErr w:type="spellEnd"/>
      <w:r>
        <w:t xml:space="preserve"> (descuento expresado como proporción entre 0 y 1) y </w:t>
      </w:r>
      <w:proofErr w:type="spellStart"/>
      <w:r>
        <w:t>Quantity</w:t>
      </w:r>
      <w:proofErr w:type="spellEnd"/>
      <w:r>
        <w:t xml:space="preserve"> (unidades vendidas). La verificación de integridad inicial no arrojó valores nulos en ninguna de estas columnas, y el proceso de </w:t>
      </w:r>
      <w:proofErr w:type="spellStart"/>
      <w:r>
        <w:t>deduplicación</w:t>
      </w:r>
      <w:proofErr w:type="spellEnd"/>
      <w:r>
        <w:t xml:space="preserve"> no eliminó ningún registro, lo que indica una base de datos de alta calidad y sin inconsistencias aparentes en las variables de interés.</w:t>
      </w:r>
    </w:p>
    <w:p w14:paraId="6027AC81" w14:textId="77777777" w:rsidR="00A27E90" w:rsidRDefault="00B73839">
      <w:pPr>
        <w:spacing w:before="80" w:after="80" w:line="276" w:lineRule="auto"/>
        <w:jc w:val="both"/>
      </w:pPr>
      <w:r>
        <w:t xml:space="preserve">La cobertura temporal abarca cuatro años completos (2014-2017), y la cobertura geográfica corresponde al mercado interno de los Estados Unidos, dividido en regiones. La variable de fecha fue convertida al formato </w:t>
      </w:r>
      <w:proofErr w:type="spellStart"/>
      <w:r>
        <w:t>datetime</w:t>
      </w:r>
      <w:proofErr w:type="spellEnd"/>
      <w:r>
        <w:t xml:space="preserve"> de Pandas para extraer el año como variable auxiliar en los análisis de consistencia temporal.</w:t>
      </w:r>
    </w:p>
    <w:p w14:paraId="6D11BBB5" w14:textId="77777777" w:rsidR="00A27E90" w:rsidRDefault="00B73839">
      <w:pPr>
        <w:pStyle w:val="Ttulo2"/>
      </w:pPr>
      <w:r>
        <w:t>2.2. Transformaciones y variables derivadas</w:t>
      </w:r>
    </w:p>
    <w:p w14:paraId="5C5B0FB4" w14:textId="77777777" w:rsidR="00A27E90" w:rsidRDefault="00B73839">
      <w:pPr>
        <w:spacing w:before="80" w:after="80" w:line="276" w:lineRule="auto"/>
        <w:jc w:val="both"/>
      </w:pPr>
      <w:r>
        <w:t xml:space="preserve">Se construyeron tres variables derivadas con justificación metodológica explícita. En primer lugar, se creó la variable </w:t>
      </w:r>
      <w:proofErr w:type="spellStart"/>
      <w:r>
        <w:t>Tramo_descuento</w:t>
      </w:r>
      <w:proofErr w:type="spellEnd"/>
      <w:r>
        <w:t xml:space="preserve"> mediante la función </w:t>
      </w:r>
      <w:proofErr w:type="spellStart"/>
      <w:proofErr w:type="gramStart"/>
      <w:r>
        <w:t>pd.cut</w:t>
      </w:r>
      <w:proofErr w:type="spellEnd"/>
      <w:r>
        <w:t>(</w:t>
      </w:r>
      <w:proofErr w:type="gramEnd"/>
      <w:r>
        <w:t xml:space="preserve">), que agrupa los valores continuos de </w:t>
      </w:r>
      <w:proofErr w:type="spellStart"/>
      <w:r>
        <w:t>Discount</w:t>
      </w:r>
      <w:proofErr w:type="spellEnd"/>
      <w:r>
        <w:t xml:space="preserve"> en seis intervalos: 0-5%, 5-15%, 15-25%, 25-35%, 35-50% y 50-80%. Esta discretización facilita la comparación entre grupos homogéneos y permite visualizar tendencias agregadas antes de proceder a la modelización continua.</w:t>
      </w:r>
    </w:p>
    <w:p w14:paraId="2C765D75" w14:textId="77777777" w:rsidR="00A27E90" w:rsidRDefault="00B73839">
      <w:pPr>
        <w:spacing w:before="80" w:after="80" w:line="276" w:lineRule="auto"/>
        <w:jc w:val="both"/>
      </w:pPr>
      <w:r>
        <w:t xml:space="preserve">En segundo lugar, se calculó el Margen de rentabilidad como cociente entre Profit y Sales, obteniendo así una medida relativa y comparable entre transacciones de distinto tamaño. Un margen positivo indica que la venta generó ganancia neta; un margen negativo, que la empresa vendió por debajo de su costo efectivo. En tercer lugar, se estimó el </w:t>
      </w:r>
      <w:proofErr w:type="spellStart"/>
      <w:r>
        <w:t>Costo_estimado</w:t>
      </w:r>
      <w:proofErr w:type="spellEnd"/>
      <w:r>
        <w:t xml:space="preserve"> como la diferencia entre Sales y Profit, variable que permite representar la curva de costos en la modelización económica posterior.</w:t>
      </w:r>
    </w:p>
    <w:p w14:paraId="53EC2F03" w14:textId="77777777" w:rsidR="00A27E90" w:rsidRDefault="00B73839">
      <w:pPr>
        <w:spacing w:before="80" w:after="80" w:line="276" w:lineRule="auto"/>
        <w:jc w:val="both"/>
      </w:pPr>
      <w:r>
        <w:t xml:space="preserve">Para la etapa de modelización, se aplicó un filtro de valores extremos eliminando el 5% más extremo de la distribución de Profit (percentiles 2,5 y 97,5), con el objeto de evitar que observaciones atípicas distorsionen los coeficientes de la regresión polinómica. Este conjunto de datos depurado recibe el nombre de </w:t>
      </w:r>
      <w:proofErr w:type="spellStart"/>
      <w:r>
        <w:t>df_limpio</w:t>
      </w:r>
      <w:proofErr w:type="spellEnd"/>
      <w:r>
        <w:t xml:space="preserve"> en el código y es el que alimenta las funciones de ajuste.</w:t>
      </w:r>
    </w:p>
    <w:p w14:paraId="26D47A4E" w14:textId="77777777" w:rsidR="00A27E90" w:rsidRDefault="00B73839">
      <w:pPr>
        <w:pStyle w:val="Ttulo2"/>
      </w:pPr>
      <w:r>
        <w:t>2.3. Herramientas y técnicas aplicadas</w:t>
      </w:r>
    </w:p>
    <w:p w14:paraId="4064D19C" w14:textId="77777777" w:rsidR="00A27E90" w:rsidRDefault="00B73839">
      <w:pPr>
        <w:spacing w:before="80" w:after="80" w:line="276" w:lineRule="auto"/>
        <w:jc w:val="both"/>
      </w:pPr>
      <w:r>
        <w:t xml:space="preserve">El análisis se desarrolló íntegramente en Python 3, utilizando Google </w:t>
      </w:r>
      <w:proofErr w:type="spellStart"/>
      <w:r>
        <w:t>Colaboratory</w:t>
      </w:r>
      <w:proofErr w:type="spellEnd"/>
      <w:r>
        <w:t xml:space="preserve"> como entorno de ejecución. Las bibliotecas empleadas fueron: Pandas para la manipulación y agregación de datos; </w:t>
      </w:r>
      <w:proofErr w:type="spellStart"/>
      <w:r>
        <w:t>NumPy</w:t>
      </w:r>
      <w:proofErr w:type="spellEnd"/>
      <w:r>
        <w:t xml:space="preserve"> para las operaciones matriciales y el ajuste de regresiones polinómicas mediante </w:t>
      </w:r>
      <w:proofErr w:type="spellStart"/>
      <w:proofErr w:type="gramStart"/>
      <w:r>
        <w:t>np.polyfit</w:t>
      </w:r>
      <w:proofErr w:type="spellEnd"/>
      <w:proofErr w:type="gramEnd"/>
      <w:r>
        <w:t xml:space="preserve">() y </w:t>
      </w:r>
      <w:proofErr w:type="spellStart"/>
      <w:proofErr w:type="gramStart"/>
      <w:r>
        <w:t>np.roots</w:t>
      </w:r>
      <w:proofErr w:type="spellEnd"/>
      <w:proofErr w:type="gramEnd"/>
      <w:r>
        <w:t xml:space="preserve">(); </w:t>
      </w:r>
      <w:proofErr w:type="spellStart"/>
      <w:r>
        <w:t>Matplotlib</w:t>
      </w:r>
      <w:proofErr w:type="spellEnd"/>
      <w:r>
        <w:t xml:space="preserve"> para la construcción de todos los gráficos, y Seaborn para el mapa de calor suplementario. La modelización económica se basó en la estimación de polinomios de grado 2 por mínimos cuadrados ordinarios, método apropiado para capturar relaciones no lineales moderadas sin </w:t>
      </w:r>
      <w:proofErr w:type="spellStart"/>
      <w:r>
        <w:t>sobreajustar</w:t>
      </w:r>
      <w:proofErr w:type="spellEnd"/>
      <w:r>
        <w:t xml:space="preserve"> el modelo.</w:t>
      </w:r>
    </w:p>
    <w:p w14:paraId="76CA2E40" w14:textId="77777777" w:rsidR="00A27E90" w:rsidRDefault="00B73839">
      <w:pPr>
        <w:pStyle w:val="Ttulo1"/>
      </w:pPr>
      <w:r>
        <w:t>3. Resultados</w:t>
      </w:r>
    </w:p>
    <w:p w14:paraId="455D529F" w14:textId="77777777" w:rsidR="00A27E90" w:rsidRDefault="00B73839">
      <w:pPr>
        <w:pStyle w:val="Ttulo2"/>
      </w:pPr>
      <w:r>
        <w:t>3.1. Estadísticos descriptivos y tablas de resumen</w:t>
      </w:r>
    </w:p>
    <w:p w14:paraId="283783E4" w14:textId="77777777" w:rsidR="00A27E90" w:rsidRDefault="00B73839">
      <w:pPr>
        <w:spacing w:before="80" w:after="80" w:line="276" w:lineRule="auto"/>
        <w:jc w:val="both"/>
      </w:pPr>
      <w:r>
        <w:t xml:space="preserve">La estadística descriptiva de las variables clave revela que el descuento promedio en el </w:t>
      </w:r>
      <w:proofErr w:type="spellStart"/>
      <w:r>
        <w:t>dataset</w:t>
      </w:r>
      <w:proofErr w:type="spellEnd"/>
      <w:r>
        <w:t xml:space="preserve"> es moderado, con una distribución que concentra la mayoría de las transacciones en los tramos bajos. El margen promedio calculado es positivo en el agregado, pero enmascara una heterogeneidad importante cuando se desagrega por tramo de descuento: los tramos inferiores presentan márgenes positivos y estables, mientras que los tramos superiores exhiben márgenes negativos con alta dispersión.</w:t>
      </w:r>
    </w:p>
    <w:p w14:paraId="74CB8B68" w14:textId="0502F5E7" w:rsidR="00A27E90" w:rsidRDefault="00B73839" w:rsidP="00E72F9F">
      <w:pPr>
        <w:pStyle w:val="p1"/>
      </w:pPr>
      <w:r>
        <w:rPr>
          <w:rFonts w:ascii="Arial" w:eastAsia="Arial" w:hAnsi="Arial" w:cs="Arial"/>
          <w:sz w:val="22"/>
          <w:szCs w:val="22"/>
        </w:rPr>
        <w:t xml:space="preserve">La tabla de </w:t>
      </w:r>
      <w:proofErr w:type="spellStart"/>
      <w:r>
        <w:rPr>
          <w:rFonts w:ascii="Arial" w:eastAsia="Arial" w:hAnsi="Arial" w:cs="Arial"/>
          <w:sz w:val="22"/>
          <w:szCs w:val="22"/>
        </w:rPr>
        <w:t>profit</w:t>
      </w:r>
      <w:proofErr w:type="spellEnd"/>
      <w:r>
        <w:rPr>
          <w:rFonts w:ascii="Arial" w:eastAsia="Arial" w:hAnsi="Arial" w:cs="Arial"/>
          <w:sz w:val="22"/>
          <w:szCs w:val="22"/>
        </w:rPr>
        <w:t xml:space="preserve"> promedio por categoría y tramo de descuento confirma que el deterioro de la rentabilidad con el aumento del descuento es consistente en todas las categorías, aunque con intensidades distintas.,</w:t>
      </w:r>
      <w:r w:rsidR="00E72F9F" w:rsidRPr="00E72F9F">
        <w:t xml:space="preserve"> </w:t>
      </w:r>
      <w:proofErr w:type="spellStart"/>
      <w:r w:rsidR="00E72F9F" w:rsidRPr="00E72F9F">
        <w:rPr>
          <w:rFonts w:ascii="Arial" w:hAnsi="Arial" w:cs="Arial"/>
          <w:sz w:val="22"/>
          <w:szCs w:val="22"/>
        </w:rPr>
        <w:t>Furniture</w:t>
      </w:r>
      <w:proofErr w:type="spellEnd"/>
      <w:r w:rsidR="00E72F9F" w:rsidRPr="00E72F9F">
        <w:rPr>
          <w:rFonts w:ascii="Arial" w:hAnsi="Arial" w:cs="Arial"/>
          <w:sz w:val="22"/>
          <w:szCs w:val="22"/>
        </w:rPr>
        <w:t xml:space="preserve"> mantiene rentabilidad positiva en los tramos de descuento bajos, aunque presenta un deterioro más acelerado que las demás categorías a medida que aumentan los descuentos,</w:t>
      </w:r>
      <w:r>
        <w:rPr>
          <w:rFonts w:ascii="Arial" w:eastAsia="Arial" w:hAnsi="Arial" w:cs="Arial"/>
          <w:sz w:val="22"/>
          <w:szCs w:val="22"/>
        </w:rPr>
        <w:t xml:space="preserve"> lo que indica que opera con márgenes estructuralmente reducidos. </w:t>
      </w:r>
      <w:proofErr w:type="spellStart"/>
      <w:r>
        <w:rPr>
          <w:rFonts w:ascii="Arial" w:eastAsia="Arial" w:hAnsi="Arial" w:cs="Arial"/>
          <w:sz w:val="22"/>
          <w:szCs w:val="22"/>
        </w:rPr>
        <w:t>Technology</w:t>
      </w:r>
      <w:proofErr w:type="spellEnd"/>
      <w:r>
        <w:rPr>
          <w:rFonts w:ascii="Arial" w:eastAsia="Arial" w:hAnsi="Arial" w:cs="Arial"/>
          <w:sz w:val="22"/>
          <w:szCs w:val="22"/>
        </w:rPr>
        <w:t xml:space="preserve">, en cambio, mantiene rentabilidad positiva en tramos intermedios, lo que </w:t>
      </w:r>
      <w:proofErr w:type="gramStart"/>
      <w:r>
        <w:rPr>
          <w:rFonts w:ascii="Arial" w:eastAsia="Arial" w:hAnsi="Arial" w:cs="Arial"/>
          <w:sz w:val="22"/>
          <w:szCs w:val="22"/>
        </w:rPr>
        <w:t>le</w:t>
      </w:r>
      <w:proofErr w:type="gramEnd"/>
      <w:r>
        <w:rPr>
          <w:rFonts w:ascii="Arial" w:eastAsia="Arial" w:hAnsi="Arial" w:cs="Arial"/>
          <w:sz w:val="22"/>
          <w:szCs w:val="22"/>
        </w:rPr>
        <w:t xml:space="preserve"> confiere mayor tolerancia a descuentos moderados. Office </w:t>
      </w:r>
      <w:proofErr w:type="spellStart"/>
      <w:r>
        <w:rPr>
          <w:rFonts w:ascii="Arial" w:eastAsia="Arial" w:hAnsi="Arial" w:cs="Arial"/>
          <w:sz w:val="22"/>
          <w:szCs w:val="22"/>
        </w:rPr>
        <w:t>Supplies</w:t>
      </w:r>
      <w:proofErr w:type="spellEnd"/>
      <w:r>
        <w:rPr>
          <w:rFonts w:ascii="Arial" w:eastAsia="Arial" w:hAnsi="Arial" w:cs="Arial"/>
          <w:sz w:val="22"/>
          <w:szCs w:val="22"/>
        </w:rPr>
        <w:t xml:space="preserve"> presenta un comportamiento intermedio.</w:t>
      </w:r>
    </w:p>
    <w:p w14:paraId="3FAFFCDB" w14:textId="77777777" w:rsidR="00A27E90" w:rsidRDefault="00B73839">
      <w:pPr>
        <w:pStyle w:val="Ttulo2"/>
      </w:pPr>
      <w:r>
        <w:t>3.2. Análisis gráfico exploratorio</w:t>
      </w:r>
    </w:p>
    <w:p w14:paraId="5D8442EF" w14:textId="77777777" w:rsidR="00A27E90" w:rsidRDefault="00B73839">
      <w:pPr>
        <w:spacing w:before="80" w:after="80" w:line="276" w:lineRule="auto"/>
        <w:jc w:val="both"/>
      </w:pPr>
      <w:r>
        <w:t>El Gráfico 1, compuesto por tres paneles de barras que muestran ventas promedio, ganancia promedio y margen promedio por tramo de descuento, revela una dinámica clara: las ventas promedio crecen en los primeros tramos y luego se estabilizan, sin mostrar una tendencia sostenida al alza con el incremento del descuento. La ganancia promedio, en cambio, cae de forma continua y cruza el umbral de cero en los tramos altos. El margen desciende de manera sostenida desde valores positivos en los tramos bajos hasta valores negativos en los tramos superiores al 25%. Este gráfico proporciona la primera evidencia visual de que el efecto volumen no compensa el efecto precio a partir de ciertos niveles de descuento.</w:t>
      </w:r>
    </w:p>
    <w:p w14:paraId="3608C1D0" w14:textId="77777777" w:rsidR="00A27E90" w:rsidRDefault="00B73839">
      <w:pPr>
        <w:spacing w:before="80" w:after="80" w:line="276" w:lineRule="auto"/>
        <w:jc w:val="both"/>
      </w:pPr>
      <w:r>
        <w:t xml:space="preserve">El Gráfico 2, que presenta la evolución del </w:t>
      </w:r>
      <w:proofErr w:type="spellStart"/>
      <w:r>
        <w:t>profit</w:t>
      </w:r>
      <w:proofErr w:type="spellEnd"/>
      <w:r>
        <w:t xml:space="preserve"> promedio por año y tramo de descuento, cumple una función de validación temporal: permite verificar que la caída del </w:t>
      </w:r>
      <w:proofErr w:type="spellStart"/>
      <w:r>
        <w:t>profit</w:t>
      </w:r>
      <w:proofErr w:type="spellEnd"/>
      <w:r>
        <w:t xml:space="preserve"> asociada a descuentos altos no es un artefacto de un año particular, sino un patrón estructural reproducible en todos los años del período 2014-2017. Las cuatro series de tiempo muestran una trayectoria descendente similar, con diferencias de </w:t>
      </w:r>
      <w:proofErr w:type="gramStart"/>
      <w:r>
        <w:t>magnitud</w:t>
      </w:r>
      <w:proofErr w:type="gramEnd"/>
      <w:r>
        <w:t xml:space="preserve"> pero no de dirección. Este resultado fortalece la robustez de las conclusiones al descartar explicaciones coyunturales.</w:t>
      </w:r>
    </w:p>
    <w:p w14:paraId="09000D20" w14:textId="679C8C04" w:rsidR="00A27E90" w:rsidRPr="00873051" w:rsidRDefault="00B73839" w:rsidP="00873051">
      <w:pPr>
        <w:pStyle w:val="p1"/>
        <w:rPr>
          <w:rFonts w:ascii="Arial" w:hAnsi="Arial" w:cs="Arial"/>
          <w:sz w:val="22"/>
          <w:szCs w:val="22"/>
        </w:rPr>
      </w:pPr>
      <w:r>
        <w:rPr>
          <w:rFonts w:ascii="Arial" w:eastAsia="Arial" w:hAnsi="Arial" w:cs="Arial"/>
          <w:sz w:val="22"/>
          <w:szCs w:val="22"/>
        </w:rPr>
        <w:t xml:space="preserve">El Gráfico 3, con eje dual, superpone la cantidad promedio vendida (barras) con el </w:t>
      </w:r>
      <w:proofErr w:type="spellStart"/>
      <w:r>
        <w:rPr>
          <w:rFonts w:ascii="Arial" w:eastAsia="Arial" w:hAnsi="Arial" w:cs="Arial"/>
          <w:sz w:val="22"/>
          <w:szCs w:val="22"/>
        </w:rPr>
        <w:t>profit</w:t>
      </w:r>
      <w:proofErr w:type="spellEnd"/>
      <w:r>
        <w:rPr>
          <w:rFonts w:ascii="Arial" w:eastAsia="Arial" w:hAnsi="Arial" w:cs="Arial"/>
          <w:sz w:val="22"/>
          <w:szCs w:val="22"/>
        </w:rPr>
        <w:t xml:space="preserve"> promedio (línea), permitiendo visualizar directamente la relación entre el efecto volumen y el efecto rentabilidad. Lo que se observa es que la cantidad vendida no crece de forma monótona con el descuento, y que en los tramos donde sí aumenta, el </w:t>
      </w:r>
      <w:proofErr w:type="spellStart"/>
      <w:r>
        <w:rPr>
          <w:rFonts w:ascii="Arial" w:eastAsia="Arial" w:hAnsi="Arial" w:cs="Arial"/>
          <w:sz w:val="22"/>
          <w:szCs w:val="22"/>
        </w:rPr>
        <w:t>profit</w:t>
      </w:r>
      <w:proofErr w:type="spellEnd"/>
      <w:r>
        <w:rPr>
          <w:rFonts w:ascii="Arial" w:eastAsia="Arial" w:hAnsi="Arial" w:cs="Arial"/>
          <w:sz w:val="22"/>
          <w:szCs w:val="22"/>
        </w:rPr>
        <w:t xml:space="preserve"> ya ha descendido a territorio negativo. Este gráfico responde de forma directa e intuitiva a la hipótesis central del trabajo: </w:t>
      </w:r>
      <w:r w:rsidR="00E72F9F" w:rsidRPr="00E72F9F">
        <w:rPr>
          <w:rFonts w:ascii="Arial" w:hAnsi="Arial" w:cs="Arial"/>
          <w:sz w:val="22"/>
          <w:szCs w:val="22"/>
        </w:rPr>
        <w:t>El aumento en la cantidad vendida no resulta suficiente para compensar la caída del beneficio promedio.</w:t>
      </w:r>
    </w:p>
    <w:p w14:paraId="62043FD1" w14:textId="77777777" w:rsidR="00A27E90" w:rsidRDefault="00B73839">
      <w:pPr>
        <w:pStyle w:val="Ttulo2"/>
      </w:pPr>
      <w:r>
        <w:t>3.3. Modelización económica y umbral crítico</w:t>
      </w:r>
    </w:p>
    <w:p w14:paraId="666F574C" w14:textId="19D7A0E1" w:rsidR="00873051" w:rsidRDefault="00873051" w:rsidP="00873051">
      <w:pPr>
        <w:pStyle w:val="Ttulo1"/>
        <w:rPr>
          <w:b w:val="0"/>
          <w:bCs w:val="0"/>
          <w:color w:val="auto"/>
          <w:sz w:val="22"/>
          <w:szCs w:val="22"/>
        </w:rPr>
      </w:pPr>
      <w:r>
        <w:rPr>
          <w:b w:val="0"/>
          <w:bCs w:val="0"/>
          <w:color w:val="auto"/>
          <w:sz w:val="22"/>
          <w:szCs w:val="22"/>
        </w:rPr>
        <w:t xml:space="preserve">Se </w:t>
      </w:r>
      <w:r w:rsidRPr="00873051">
        <w:rPr>
          <w:b w:val="0"/>
          <w:bCs w:val="0"/>
          <w:color w:val="auto"/>
          <w:sz w:val="22"/>
          <w:szCs w:val="22"/>
        </w:rPr>
        <w:t>ajustaron funciones polinómicas de grado 2 para representar el comportamiento del Ingreso, el Costo y el Beneficio promedio en función del nivel de descuento aplicado. Estas funciones permiten describir de manera continua la relación entre los descuentos y la rentabilidad, identificando patrones que no siempre son evidentes en los gráficos descriptivos.</w:t>
      </w:r>
    </w:p>
    <w:p w14:paraId="47289A25" w14:textId="67CAB42F" w:rsidR="00873051" w:rsidRDefault="00873051" w:rsidP="00873051">
      <w:pPr>
        <w:pStyle w:val="Ttulo1"/>
        <w:rPr>
          <w:b w:val="0"/>
          <w:bCs w:val="0"/>
          <w:color w:val="auto"/>
          <w:sz w:val="22"/>
          <w:szCs w:val="22"/>
        </w:rPr>
      </w:pPr>
      <w:r w:rsidRPr="00873051">
        <w:rPr>
          <w:b w:val="0"/>
          <w:bCs w:val="0"/>
          <w:color w:val="auto"/>
          <w:sz w:val="22"/>
          <w:szCs w:val="22"/>
        </w:rPr>
        <w:t>El análisis de la función de beneficio (B(d)) mostró que la rentabilidad disminuye a medida que aumentan los descuentos. La forma convexa de la función indica que el beneficio máximo se alcanza cuando no se aplica descuento ((d = 0%)), situación en la que el modelo estima un beneficio promedio de aproximadamente $38,25 por transacción.</w:t>
      </w:r>
    </w:p>
    <w:p w14:paraId="33B11ED1" w14:textId="44CB527F" w:rsidR="00873051" w:rsidRDefault="00873051" w:rsidP="00873051">
      <w:pPr>
        <w:pStyle w:val="Ttulo1"/>
        <w:rPr>
          <w:b w:val="0"/>
          <w:bCs w:val="0"/>
          <w:color w:val="auto"/>
          <w:sz w:val="22"/>
          <w:szCs w:val="22"/>
        </w:rPr>
      </w:pPr>
      <w:r w:rsidRPr="00873051">
        <w:rPr>
          <w:b w:val="0"/>
          <w:bCs w:val="0"/>
          <w:color w:val="auto"/>
          <w:sz w:val="22"/>
          <w:szCs w:val="22"/>
        </w:rPr>
        <w:t xml:space="preserve">Para determinar el punto a partir del cual los descuentos dejan de ser rentables, se resolvió la ecuación (B(d)=0) mediante la función </w:t>
      </w:r>
      <w:proofErr w:type="spellStart"/>
      <w:proofErr w:type="gramStart"/>
      <w:r w:rsidRPr="00873051">
        <w:rPr>
          <w:b w:val="0"/>
          <w:bCs w:val="0"/>
          <w:color w:val="auto"/>
          <w:sz w:val="22"/>
          <w:szCs w:val="22"/>
        </w:rPr>
        <w:t>np.roots</w:t>
      </w:r>
      <w:proofErr w:type="spellEnd"/>
      <w:proofErr w:type="gramEnd"/>
      <w:r w:rsidRPr="00873051">
        <w:rPr>
          <w:b w:val="0"/>
          <w:bCs w:val="0"/>
          <w:color w:val="auto"/>
          <w:sz w:val="22"/>
          <w:szCs w:val="22"/>
        </w:rPr>
        <w:t xml:space="preserve">() de </w:t>
      </w:r>
      <w:proofErr w:type="spellStart"/>
      <w:r w:rsidRPr="00873051">
        <w:rPr>
          <w:b w:val="0"/>
          <w:bCs w:val="0"/>
          <w:color w:val="auto"/>
          <w:sz w:val="22"/>
          <w:szCs w:val="22"/>
        </w:rPr>
        <w:t>NumPy</w:t>
      </w:r>
      <w:proofErr w:type="spellEnd"/>
      <w:r w:rsidRPr="00873051">
        <w:rPr>
          <w:b w:val="0"/>
          <w:bCs w:val="0"/>
          <w:color w:val="auto"/>
          <w:sz w:val="22"/>
          <w:szCs w:val="22"/>
        </w:rPr>
        <w:t>. El resultado obtenido permitió identificar un umbral crítico cercano al 32,68% de descuento. A partir de ese nivel, el beneficio promedio estimado por el modelo se vuelve negativo, indicando que el incremento de ventas asociado a descuentos elevados ya no resulta suficiente para compensar la pérdida de rentabilidad.</w:t>
      </w:r>
    </w:p>
    <w:p w14:paraId="731B9232" w14:textId="21C23D29" w:rsidR="00873051" w:rsidRDefault="00873051" w:rsidP="00873051">
      <w:pPr>
        <w:pStyle w:val="Ttulo1"/>
        <w:rPr>
          <w:b w:val="0"/>
          <w:bCs w:val="0"/>
          <w:color w:val="auto"/>
          <w:sz w:val="22"/>
          <w:szCs w:val="22"/>
        </w:rPr>
      </w:pPr>
      <w:r w:rsidRPr="00873051">
        <w:rPr>
          <w:b w:val="0"/>
          <w:bCs w:val="0"/>
          <w:color w:val="auto"/>
          <w:sz w:val="22"/>
          <w:szCs w:val="22"/>
        </w:rPr>
        <w:t>El gráfico final de Ingreso, Costo y Beneficio sintetiza este resultado de manera visual. En él puede observarse cómo la curva de beneficio disminuye progresivamente a medida que aumenta el descuento, mientras que el umbral crítico marca la transición entre una situación de rentabilidad positiva y una situación de pérdida promedio. De esta forma, la modelización económica proporciona una respuesta cuantitativa a la pregunta de investigación y permite identificar un límite de descuento relevante para la toma de decisiones comerciales.</w:t>
      </w:r>
    </w:p>
    <w:p w14:paraId="1147E871" w14:textId="5E2957D6" w:rsidR="00A27E90" w:rsidRDefault="00B73839" w:rsidP="00873051">
      <w:pPr>
        <w:pStyle w:val="Ttulo1"/>
      </w:pPr>
      <w:r w:rsidRPr="00873051">
        <w:rPr>
          <w:sz w:val="22"/>
          <w:szCs w:val="22"/>
        </w:rPr>
        <w:t>4.</w:t>
      </w:r>
      <w:r>
        <w:t>Aplicación de Conceptos de la Materia</w:t>
      </w:r>
    </w:p>
    <w:p w14:paraId="56042D53" w14:textId="77777777" w:rsidR="00B22BF7" w:rsidRPr="00B22BF7" w:rsidRDefault="00B22BF7" w:rsidP="00B22BF7">
      <w:pPr>
        <w:pStyle w:val="p1"/>
        <w:rPr>
          <w:rFonts w:ascii="Arial" w:hAnsi="Arial" w:cs="Arial"/>
          <w:sz w:val="22"/>
          <w:szCs w:val="22"/>
        </w:rPr>
      </w:pPr>
      <w:r w:rsidRPr="00B22BF7">
        <w:rPr>
          <w:rFonts w:ascii="Arial" w:hAnsi="Arial" w:cs="Arial"/>
          <w:sz w:val="22"/>
          <w:szCs w:val="22"/>
        </w:rPr>
        <w:t xml:space="preserve">El trabajo integra de manera coherente diversos conceptos desarrollados a lo largo de la asignatura. En primer lugar, la noción de rentabilidad se operacionaliza mediante la variable </w:t>
      </w:r>
      <w:r w:rsidRPr="00B22BF7">
        <w:rPr>
          <w:rStyle w:val="s1"/>
          <w:rFonts w:ascii="Arial" w:hAnsi="Arial" w:cs="Arial"/>
          <w:sz w:val="22"/>
          <w:szCs w:val="22"/>
        </w:rPr>
        <w:t>Margen = Profit / Sales</w:t>
      </w:r>
      <w:r w:rsidRPr="00B22BF7">
        <w:rPr>
          <w:rFonts w:ascii="Arial" w:hAnsi="Arial" w:cs="Arial"/>
          <w:sz w:val="22"/>
          <w:szCs w:val="22"/>
        </w:rPr>
        <w:t>, que permite medir la ganancia obtenida por cada dólar vendido y comparar la eficiencia relativa de transacciones de distinto volumen. Esta variable resulta fundamental para analizar cómo los descuentos afectan el desempeño económico de la empresa.</w:t>
      </w:r>
    </w:p>
    <w:p w14:paraId="669BD1BA" w14:textId="77777777" w:rsidR="00B22BF7" w:rsidRPr="00B22BF7" w:rsidRDefault="00B22BF7" w:rsidP="00B22BF7">
      <w:pPr>
        <w:pStyle w:val="p1"/>
        <w:rPr>
          <w:rFonts w:ascii="Arial" w:hAnsi="Arial" w:cs="Arial"/>
          <w:sz w:val="22"/>
          <w:szCs w:val="22"/>
        </w:rPr>
      </w:pPr>
      <w:r w:rsidRPr="00B22BF7">
        <w:rPr>
          <w:rFonts w:ascii="Arial" w:hAnsi="Arial" w:cs="Arial"/>
          <w:sz w:val="22"/>
          <w:szCs w:val="22"/>
        </w:rPr>
        <w:t xml:space="preserve">En segundo lugar, se aplican conceptos de modelización económica mediante la construcción de las funciones de Ingreso </w:t>
      </w:r>
      <w:r w:rsidRPr="00B22BF7">
        <w:rPr>
          <w:rStyle w:val="s1"/>
          <w:rFonts w:ascii="Arial" w:hAnsi="Arial" w:cs="Arial"/>
          <w:sz w:val="22"/>
          <w:szCs w:val="22"/>
        </w:rPr>
        <w:t>I(d)</w:t>
      </w:r>
      <w:r w:rsidRPr="00B22BF7">
        <w:rPr>
          <w:rFonts w:ascii="Arial" w:hAnsi="Arial" w:cs="Arial"/>
          <w:sz w:val="22"/>
          <w:szCs w:val="22"/>
        </w:rPr>
        <w:t xml:space="preserve">, Costo </w:t>
      </w:r>
      <w:r w:rsidRPr="00B22BF7">
        <w:rPr>
          <w:rStyle w:val="s1"/>
          <w:rFonts w:ascii="Arial" w:hAnsi="Arial" w:cs="Arial"/>
          <w:sz w:val="22"/>
          <w:szCs w:val="22"/>
        </w:rPr>
        <w:t>C(d)</w:t>
      </w:r>
      <w:r w:rsidRPr="00B22BF7">
        <w:rPr>
          <w:rFonts w:ascii="Arial" w:hAnsi="Arial" w:cs="Arial"/>
          <w:sz w:val="22"/>
          <w:szCs w:val="22"/>
        </w:rPr>
        <w:t xml:space="preserve"> y Beneficio </w:t>
      </w:r>
      <w:r w:rsidRPr="00B22BF7">
        <w:rPr>
          <w:rStyle w:val="s1"/>
          <w:rFonts w:ascii="Arial" w:hAnsi="Arial" w:cs="Arial"/>
          <w:sz w:val="22"/>
          <w:szCs w:val="22"/>
        </w:rPr>
        <w:t>B(d)</w:t>
      </w:r>
      <w:r w:rsidRPr="00B22BF7">
        <w:rPr>
          <w:rFonts w:ascii="Arial" w:hAnsi="Arial" w:cs="Arial"/>
          <w:sz w:val="22"/>
          <w:szCs w:val="22"/>
        </w:rPr>
        <w:t xml:space="preserve"> en función del nivel de descuento. Estas funciones permiten representar matemáticamente la relación entre las políticas comerciales y los resultados económicos observados en el </w:t>
      </w:r>
      <w:proofErr w:type="spellStart"/>
      <w:r w:rsidRPr="00B22BF7">
        <w:rPr>
          <w:rFonts w:ascii="Arial" w:hAnsi="Arial" w:cs="Arial"/>
          <w:sz w:val="22"/>
          <w:szCs w:val="22"/>
        </w:rPr>
        <w:t>dataset</w:t>
      </w:r>
      <w:proofErr w:type="spellEnd"/>
      <w:r w:rsidRPr="00B22BF7">
        <w:rPr>
          <w:rFonts w:ascii="Arial" w:hAnsi="Arial" w:cs="Arial"/>
          <w:sz w:val="22"/>
          <w:szCs w:val="22"/>
        </w:rPr>
        <w:t>. A partir de ellas, el beneficio se define como la diferencia entre ingresos y costos, lo que posibilita identificar el umbral de rentabilidad donde el resultado económico pasa de positivo a negativo.</w:t>
      </w:r>
    </w:p>
    <w:p w14:paraId="5A82B1CD" w14:textId="77777777" w:rsidR="00B22BF7" w:rsidRPr="00B22BF7" w:rsidRDefault="00B22BF7" w:rsidP="00B22BF7">
      <w:pPr>
        <w:pStyle w:val="p1"/>
        <w:rPr>
          <w:rFonts w:ascii="Arial" w:hAnsi="Arial" w:cs="Arial"/>
          <w:sz w:val="22"/>
          <w:szCs w:val="22"/>
        </w:rPr>
      </w:pPr>
      <w:r w:rsidRPr="00B22BF7">
        <w:rPr>
          <w:rFonts w:ascii="Arial" w:hAnsi="Arial" w:cs="Arial"/>
          <w:sz w:val="22"/>
          <w:szCs w:val="22"/>
        </w:rPr>
        <w:t>Asimismo, el trabajo incorpora herramientas de cálculo diferencial para analizar el comportamiento de la función de beneficio. El estudio de la derivada permitió determinar cómo varía la rentabilidad ante cambios en el nivel de descuento, mientras que el análisis de la segunda derivada confirmó la forma convexa de la función estimada. Esto permitió concluir que el beneficio máximo se alcanza cuando no se aplican descuentos y que la rentabilidad disminuye progresivamente a medida que estos aumentan.</w:t>
      </w:r>
    </w:p>
    <w:p w14:paraId="55936EF7" w14:textId="48B17282" w:rsidR="00B22BF7" w:rsidRPr="00B22BF7" w:rsidRDefault="00B22BF7" w:rsidP="00B22BF7">
      <w:pPr>
        <w:pStyle w:val="p1"/>
        <w:rPr>
          <w:rFonts w:ascii="Arial" w:hAnsi="Arial" w:cs="Arial"/>
          <w:sz w:val="22"/>
          <w:szCs w:val="22"/>
        </w:rPr>
      </w:pPr>
      <w:r w:rsidRPr="00B22BF7">
        <w:rPr>
          <w:rFonts w:ascii="Arial" w:hAnsi="Arial" w:cs="Arial"/>
          <w:sz w:val="22"/>
          <w:szCs w:val="22"/>
        </w:rPr>
        <w:t>Finalmente, el análisis de las funciones marginales profundiza la interpretación económica de los resultados. El comportamiento del Ingreso Marginal (</w:t>
      </w:r>
      <w:proofErr w:type="spellStart"/>
      <w:r w:rsidRPr="00B22BF7">
        <w:rPr>
          <w:rFonts w:ascii="Arial" w:hAnsi="Arial" w:cs="Arial"/>
          <w:sz w:val="22"/>
          <w:szCs w:val="22"/>
        </w:rPr>
        <w:t>IMg</w:t>
      </w:r>
      <w:proofErr w:type="spellEnd"/>
      <w:r w:rsidRPr="00B22BF7">
        <w:rPr>
          <w:rFonts w:ascii="Arial" w:hAnsi="Arial" w:cs="Arial"/>
          <w:sz w:val="22"/>
          <w:szCs w:val="22"/>
        </w:rPr>
        <w:t>) y del Costo Marginal (</w:t>
      </w:r>
      <w:proofErr w:type="spellStart"/>
      <w:r w:rsidRPr="00B22BF7">
        <w:rPr>
          <w:rFonts w:ascii="Arial" w:hAnsi="Arial" w:cs="Arial"/>
          <w:sz w:val="22"/>
          <w:szCs w:val="22"/>
        </w:rPr>
        <w:t>CMg</w:t>
      </w:r>
      <w:proofErr w:type="spellEnd"/>
      <w:r w:rsidRPr="00B22BF7">
        <w:rPr>
          <w:rFonts w:ascii="Arial" w:hAnsi="Arial" w:cs="Arial"/>
          <w:sz w:val="22"/>
          <w:szCs w:val="22"/>
        </w:rPr>
        <w:t>) muestra que, a medida que aumentan los descuentos, los costos tienden a crecer relativamente más rápido que los ingresos. Este fenómeno explica la existencia de un umbral crítico de descuento y refuerza la conclusión principal del trabajo: existe un límite a partir del cual los descuentos dejan de contribuir a la rentabilidad y comienzan a generar pérdidas promedio para la empresa.</w:t>
      </w:r>
    </w:p>
    <w:p w14:paraId="313BF962" w14:textId="77777777" w:rsidR="00A27E90" w:rsidRDefault="00B73839">
      <w:pPr>
        <w:pStyle w:val="Ttulo1"/>
      </w:pPr>
      <w:r>
        <w:t>5. Conclusiones</w:t>
      </w:r>
    </w:p>
    <w:p w14:paraId="6466839C" w14:textId="77777777" w:rsidR="00B22BF7" w:rsidRDefault="00B22BF7" w:rsidP="00B22BF7">
      <w:pPr>
        <w:pStyle w:val="p1"/>
        <w:rPr>
          <w:rFonts w:ascii="Arial" w:hAnsi="Arial" w:cs="Arial"/>
          <w:sz w:val="22"/>
          <w:szCs w:val="22"/>
        </w:rPr>
      </w:pPr>
      <w:r w:rsidRPr="00B22BF7">
        <w:rPr>
          <w:rFonts w:ascii="Arial" w:hAnsi="Arial" w:cs="Arial"/>
          <w:sz w:val="22"/>
          <w:szCs w:val="22"/>
        </w:rPr>
        <w:t>La pregunta de investigación queda respondida de manera afirmativa. Los resultados obtenidos muestran que existe un nivel de descuento a partir del cual el incremento en ventas deja de compensar la reducción de la rentabilidad. El análisis exploratorio, complementado con la modelización económica, permitió identificar un umbral crítico de descuento a partir del cual el beneficio promedio estimado por el modelo se vuelve negativo.</w:t>
      </w:r>
    </w:p>
    <w:p w14:paraId="086AF122" w14:textId="77777777" w:rsidR="00B22BF7" w:rsidRDefault="00B22BF7" w:rsidP="00B22BF7">
      <w:pPr>
        <w:pStyle w:val="p1"/>
        <w:rPr>
          <w:rFonts w:ascii="Arial" w:hAnsi="Arial" w:cs="Arial"/>
          <w:sz w:val="22"/>
          <w:szCs w:val="22"/>
        </w:rPr>
      </w:pPr>
      <w:r w:rsidRPr="00B22BF7">
        <w:rPr>
          <w:rFonts w:ascii="Arial" w:hAnsi="Arial" w:cs="Arial"/>
          <w:sz w:val="22"/>
          <w:szCs w:val="22"/>
        </w:rPr>
        <w:t>El hallazgo principal del trabajo es que el beneficio promedio por transacción disminuye a medida que aumenta el nivel de descuento aplicado. El modelo estimado indica que la situación de mayor rentabilidad se alcanza cuando no se aplican descuentos, mientras que los descuentos elevados deterioran progresivamente el resultado económico hasta alcanzar niveles de pérdida promedio. Asimismo, el análisis de cantidad vendida mostró que el aumento del volumen comercializado no resulta suficiente para compensar la reducción de la rentabilidad asociada a los descuentos más altos.</w:t>
      </w:r>
      <w:r>
        <w:rPr>
          <w:rFonts w:ascii="Arial" w:hAnsi="Arial" w:cs="Arial"/>
          <w:sz w:val="22"/>
          <w:szCs w:val="22"/>
        </w:rPr>
        <w:t xml:space="preserve"> </w:t>
      </w:r>
      <w:r w:rsidRPr="00B22BF7">
        <w:rPr>
          <w:rFonts w:ascii="Arial" w:hAnsi="Arial" w:cs="Arial"/>
          <w:sz w:val="22"/>
          <w:szCs w:val="22"/>
        </w:rPr>
        <w:t>Las implicancias para la gestión son relevantes. Los resultados sugieren que la empresa debería monitorear cuidadosamente los niveles de descuento aplicados y establecer criterios de control que contemplen el impacto sobre la rentabilidad. Además, el análisis por categorías evidencia que los efectos de los descuentos no son homogéneos, por lo que una política comercial segmentada podría resultar más eficiente que la aplicación de criterios uniformes para todos los productos.</w:t>
      </w:r>
    </w:p>
    <w:p w14:paraId="1B5C8177" w14:textId="70585968" w:rsidR="00B22BF7" w:rsidRPr="00B22BF7" w:rsidRDefault="00B22BF7" w:rsidP="00B22BF7">
      <w:pPr>
        <w:pStyle w:val="p1"/>
        <w:rPr>
          <w:rFonts w:ascii="Arial" w:hAnsi="Arial" w:cs="Arial"/>
          <w:sz w:val="22"/>
          <w:szCs w:val="22"/>
        </w:rPr>
      </w:pPr>
      <w:r w:rsidRPr="00B22BF7">
        <w:rPr>
          <w:rFonts w:ascii="Arial" w:hAnsi="Arial" w:cs="Arial"/>
          <w:sz w:val="22"/>
          <w:szCs w:val="22"/>
        </w:rPr>
        <w:t xml:space="preserve">Entre las limitaciones del análisis cabe señalar que el </w:t>
      </w:r>
      <w:proofErr w:type="spellStart"/>
      <w:r w:rsidRPr="00B22BF7">
        <w:rPr>
          <w:rFonts w:ascii="Arial" w:hAnsi="Arial" w:cs="Arial"/>
          <w:sz w:val="22"/>
          <w:szCs w:val="22"/>
        </w:rPr>
        <w:t>dataset</w:t>
      </w:r>
      <w:proofErr w:type="spellEnd"/>
      <w:r w:rsidRPr="00B22BF7">
        <w:rPr>
          <w:rFonts w:ascii="Arial" w:hAnsi="Arial" w:cs="Arial"/>
          <w:sz w:val="22"/>
          <w:szCs w:val="22"/>
        </w:rPr>
        <w:t xml:space="preserve"> no permite estimar directamente la elasticidad precio-demanda de cada categoría ni identificar las motivaciones específicas detrás de la aplicación de descuentos. Asimismo, el modelo polinómico utilizado constituye una aproximación de la relación observada en los datos y sus resultados deben interpretarse dentro del rango analizado. Del mismo modo, la estimación del costo mediante la diferencia entre ventas y beneficio representa una simplificación que no permite distinguir entre costos fijos y variables.</w:t>
      </w:r>
      <w:r>
        <w:rPr>
          <w:rFonts w:ascii="Arial" w:hAnsi="Arial" w:cs="Arial"/>
          <w:sz w:val="22"/>
          <w:szCs w:val="22"/>
        </w:rPr>
        <w:t xml:space="preserve"> </w:t>
      </w:r>
      <w:r w:rsidRPr="00B22BF7">
        <w:rPr>
          <w:rFonts w:ascii="Arial" w:hAnsi="Arial" w:cs="Arial"/>
          <w:sz w:val="22"/>
          <w:szCs w:val="22"/>
        </w:rPr>
        <w:t>Como líneas futuras de investigación se propone profundizar el análisis mediante modelos de elasticidad por categoría, incorporar variables explicativas adicionales como región, estacionalidad o segmento de clientes, y desarrollar modelos de optimización que permitan determinar políticas de precios orientadas a maximizar la rentabilidad bajo diferentes escenarios comerciales</w:t>
      </w:r>
      <w:r>
        <w:t>.</w:t>
      </w:r>
    </w:p>
    <w:p w14:paraId="3A624440" w14:textId="77777777" w:rsidR="00B22BF7" w:rsidRDefault="00B22BF7">
      <w:pPr>
        <w:pStyle w:val="Ttulo1"/>
      </w:pPr>
    </w:p>
    <w:p w14:paraId="3F2EFFBC" w14:textId="77777777" w:rsidR="00A27E90" w:rsidRDefault="00B73839">
      <w:pPr>
        <w:pStyle w:val="Ttulo1"/>
      </w:pPr>
      <w:r>
        <w:t>6. Reflexión Metodológica sobre el Uso de Inteligencia Artificial</w:t>
      </w:r>
    </w:p>
    <w:p w14:paraId="0915AA7D" w14:textId="77777777" w:rsidR="00A27E90" w:rsidRDefault="00B73839">
      <w:pPr>
        <w:spacing w:before="80" w:after="80" w:line="276" w:lineRule="auto"/>
        <w:jc w:val="both"/>
      </w:pPr>
      <w:r>
        <w:t>A lo largo del trabajo, se recurrió a herramientas de inteligencia artificial generativa —particularmente modelos de lenguaje de gran escala— como asistente en diversas etapas del proceso analítico. Es importante precisar el alcance y los límites de esa asistencia, en línea con los principios de transparencia académica.</w:t>
      </w:r>
    </w:p>
    <w:p w14:paraId="1F3A3310" w14:textId="77777777" w:rsidR="00A27E90" w:rsidRDefault="00B73839">
      <w:pPr>
        <w:spacing w:before="80" w:after="80" w:line="276" w:lineRule="auto"/>
        <w:jc w:val="both"/>
      </w:pPr>
      <w:r>
        <w:t xml:space="preserve">La IA colaboró principalmente en tres tipos de tareas: la estructuración del flujo analítico (es decir, la secuencia lógica que va desde el EDA hacia la modelización y la derivación del umbral), la revisión y depuración del código Python (sugerencias sobre el uso de </w:t>
      </w:r>
      <w:proofErr w:type="spellStart"/>
      <w:proofErr w:type="gramStart"/>
      <w:r>
        <w:t>np.polyfit</w:t>
      </w:r>
      <w:proofErr w:type="spellEnd"/>
      <w:proofErr w:type="gramEnd"/>
      <w:r>
        <w:t xml:space="preserve">, </w:t>
      </w:r>
      <w:proofErr w:type="spellStart"/>
      <w:proofErr w:type="gramStart"/>
      <w:r>
        <w:t>np.roots</w:t>
      </w:r>
      <w:proofErr w:type="spellEnd"/>
      <w:proofErr w:type="gramEnd"/>
      <w:r>
        <w:t xml:space="preserve"> y la construcción de gráficos con </w:t>
      </w:r>
      <w:proofErr w:type="spellStart"/>
      <w:r>
        <w:t>Matplotlib</w:t>
      </w:r>
      <w:proofErr w:type="spellEnd"/>
      <w:r>
        <w:t>), y la elaboración de las narrativas de interpretación que acompañan a cada visualización en el notebook.</w:t>
      </w:r>
    </w:p>
    <w:p w14:paraId="16C5A264" w14:textId="77777777" w:rsidR="00A27E90" w:rsidRDefault="00B73839">
      <w:pPr>
        <w:spacing w:before="80" w:after="80" w:line="276" w:lineRule="auto"/>
        <w:jc w:val="both"/>
      </w:pPr>
      <w:r>
        <w:t>Las validaciones humanas realizadas por el grupo fueron las siguientes: verificación de que los coeficientes de los modelos polinómicos eran razonables a la luz de los datos observados; contraste entre el umbral calculado analíticamente (raíz de B(d) = 0) y el umbral aparente en el gráfico de curvas; revisión de la consistencia entre los resultados del EDA por tramos y los resultados del modelo continuo; y evaluación crítica de si el filtro de valores extremos (percentiles 2,5 y 97,5) era metodológicamente justificable o podía sesgar las conclusiones.</w:t>
      </w:r>
    </w:p>
    <w:p w14:paraId="36F384EF" w14:textId="77777777" w:rsidR="00A27E90" w:rsidRDefault="00B73839">
      <w:pPr>
        <w:spacing w:before="80" w:after="80" w:line="276" w:lineRule="auto"/>
        <w:jc w:val="both"/>
      </w:pPr>
      <w:r>
        <w:t>Entre los aprendizajes obtenidos destaca la comprensión de que la IA acelera significativamente la fase de codificación y visualización, pero requiere supervisión constante en la fase de interpretación económica: los modelos de lenguaje tienden a producir explicaciones plausibles que no siempre son precisas en su terminología técnica o en el alcance que atribuyen a los resultados. La ventaja más clara fue la reducción del tiempo dedicado a tareas repetitivas de formato y código; la limitación más relevante fue la necesidad de contrastar cada interpretación generada con los datos reales antes de incorporarla al análisis.</w:t>
      </w:r>
    </w:p>
    <w:p w14:paraId="373F9DEA" w14:textId="77777777" w:rsidR="00A27E90" w:rsidRDefault="00B73839">
      <w:pPr>
        <w:spacing w:before="80" w:after="80" w:line="276" w:lineRule="auto"/>
        <w:jc w:val="both"/>
      </w:pPr>
      <w:r>
        <w:t>En términos formativos, la experiencia permitió al grupo desarrollar una visión crítica sobre el uso responsable de la IA en contextos académicos: como herramienta de productividad, su valor es indudable; como fuente de autoridad analítica, requiere siempre el juicio humano como filtro final.</w:t>
      </w:r>
    </w:p>
    <w:p w14:paraId="1E99F2BA" w14:textId="77777777" w:rsidR="00A27E90" w:rsidRDefault="00A27E90"/>
    <w:p w14:paraId="13017F72" w14:textId="77777777" w:rsidR="00A27E90" w:rsidRDefault="00B73839">
      <w:pPr>
        <w:pBdr>
          <w:top w:val="single" w:sz="4" w:space="1" w:color="AAAAAA"/>
        </w:pBdr>
        <w:spacing w:before="400" w:after="80"/>
        <w:jc w:val="center"/>
      </w:pPr>
      <w:r>
        <w:rPr>
          <w:i/>
          <w:iCs/>
          <w:color w:val="888888"/>
          <w:sz w:val="18"/>
          <w:szCs w:val="18"/>
        </w:rPr>
        <w:t>Trabajo Práctico Integrador — Laboratorio de Métodos Cuantitativos Aplicados a la Gestión</w:t>
      </w:r>
    </w:p>
    <w:p w14:paraId="3B8302E5" w14:textId="77777777" w:rsidR="00A27E90" w:rsidRDefault="00B73839">
      <w:pPr>
        <w:spacing w:before="80" w:after="80"/>
        <w:jc w:val="center"/>
      </w:pPr>
      <w:r>
        <w:rPr>
          <w:i/>
          <w:iCs/>
          <w:color w:val="888888"/>
          <w:sz w:val="18"/>
          <w:szCs w:val="18"/>
        </w:rPr>
        <w:t>Facultad de Ciencias Económicas — Universidad de Buenos Aires</w:t>
      </w:r>
    </w:p>
    <w:sectPr w:rsidR="00A27E90">
      <w:footerReference w:type="default" r:id="rId7"/>
      <w:pgSz w:w="11906" w:h="16838"/>
      <w:pgMar w:top="1418" w:right="1134" w:bottom="1418"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104D6" w14:textId="77777777" w:rsidR="00F35F06" w:rsidRDefault="00F35F06">
      <w:r>
        <w:separator/>
      </w:r>
    </w:p>
  </w:endnote>
  <w:endnote w:type="continuationSeparator" w:id="0">
    <w:p w14:paraId="387C2C7B" w14:textId="77777777" w:rsidR="00F35F06" w:rsidRDefault="00F35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3343E" w14:textId="77777777" w:rsidR="00A27E90" w:rsidRDefault="00B73839">
    <w:pPr>
      <w:jc w:val="center"/>
    </w:pPr>
    <w:r>
      <w:rPr>
        <w:color w:val="888888"/>
        <w:sz w:val="18"/>
        <w:szCs w:val="18"/>
      </w:rPr>
      <w:t xml:space="preserve">Laboratorio de Métodos Cuantitativos Aplicados a la Gestión — FCE-UBA   |   </w:t>
    </w:r>
    <w:r>
      <w:rPr>
        <w:color w:val="888888"/>
        <w:sz w:val="18"/>
        <w:szCs w:val="18"/>
      </w:rPr>
      <w:fldChar w:fldCharType="begin"/>
    </w:r>
    <w:r>
      <w:rPr>
        <w:color w:val="888888"/>
        <w:sz w:val="18"/>
        <w:szCs w:val="18"/>
      </w:rPr>
      <w:instrText>PAGE</w:instrText>
    </w:r>
    <w:r>
      <w:rPr>
        <w:color w:val="888888"/>
        <w:sz w:val="18"/>
        <w:szCs w:val="18"/>
      </w:rPr>
      <w:fldChar w:fldCharType="separate"/>
    </w:r>
    <w:r w:rsidR="001F272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58DC4" w14:textId="77777777" w:rsidR="00F35F06" w:rsidRDefault="00F35F06">
      <w:r>
        <w:separator/>
      </w:r>
    </w:p>
  </w:footnote>
  <w:footnote w:type="continuationSeparator" w:id="0">
    <w:p w14:paraId="78F82601" w14:textId="77777777" w:rsidR="00F35F06" w:rsidRDefault="00F35F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F1EB6"/>
    <w:multiLevelType w:val="hybridMultilevel"/>
    <w:tmpl w:val="10B440A6"/>
    <w:lvl w:ilvl="0" w:tplc="83FCB9CE">
      <w:start w:val="1"/>
      <w:numFmt w:val="bullet"/>
      <w:lvlText w:val="●"/>
      <w:lvlJc w:val="left"/>
      <w:pPr>
        <w:ind w:left="720" w:hanging="360"/>
      </w:pPr>
    </w:lvl>
    <w:lvl w:ilvl="1" w:tplc="C5165068">
      <w:start w:val="1"/>
      <w:numFmt w:val="bullet"/>
      <w:lvlText w:val="○"/>
      <w:lvlJc w:val="left"/>
      <w:pPr>
        <w:ind w:left="1440" w:hanging="360"/>
      </w:pPr>
    </w:lvl>
    <w:lvl w:ilvl="2" w:tplc="01D0DD38">
      <w:start w:val="1"/>
      <w:numFmt w:val="bullet"/>
      <w:lvlText w:val="■"/>
      <w:lvlJc w:val="left"/>
      <w:pPr>
        <w:ind w:left="2160" w:hanging="360"/>
      </w:pPr>
    </w:lvl>
    <w:lvl w:ilvl="3" w:tplc="375049AA">
      <w:start w:val="1"/>
      <w:numFmt w:val="bullet"/>
      <w:lvlText w:val="●"/>
      <w:lvlJc w:val="left"/>
      <w:pPr>
        <w:ind w:left="2880" w:hanging="360"/>
      </w:pPr>
    </w:lvl>
    <w:lvl w:ilvl="4" w:tplc="8998F842">
      <w:start w:val="1"/>
      <w:numFmt w:val="bullet"/>
      <w:lvlText w:val="○"/>
      <w:lvlJc w:val="left"/>
      <w:pPr>
        <w:ind w:left="3600" w:hanging="360"/>
      </w:pPr>
    </w:lvl>
    <w:lvl w:ilvl="5" w:tplc="9BE2C01A">
      <w:start w:val="1"/>
      <w:numFmt w:val="bullet"/>
      <w:lvlText w:val="■"/>
      <w:lvlJc w:val="left"/>
      <w:pPr>
        <w:ind w:left="4320" w:hanging="360"/>
      </w:pPr>
    </w:lvl>
    <w:lvl w:ilvl="6" w:tplc="3AF071AA">
      <w:start w:val="1"/>
      <w:numFmt w:val="bullet"/>
      <w:lvlText w:val="●"/>
      <w:lvlJc w:val="left"/>
      <w:pPr>
        <w:ind w:left="5040" w:hanging="360"/>
      </w:pPr>
    </w:lvl>
    <w:lvl w:ilvl="7" w:tplc="F2B0146A">
      <w:start w:val="1"/>
      <w:numFmt w:val="bullet"/>
      <w:lvlText w:val="●"/>
      <w:lvlJc w:val="left"/>
      <w:pPr>
        <w:ind w:left="5760" w:hanging="360"/>
      </w:pPr>
    </w:lvl>
    <w:lvl w:ilvl="8" w:tplc="86364E20">
      <w:start w:val="1"/>
      <w:numFmt w:val="bullet"/>
      <w:lvlText w:val="●"/>
      <w:lvlJc w:val="left"/>
      <w:pPr>
        <w:ind w:left="6480" w:hanging="360"/>
      </w:pPr>
    </w:lvl>
  </w:abstractNum>
  <w:num w:numId="1" w16cid:durableId="1015821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E90"/>
    <w:rsid w:val="001F2729"/>
    <w:rsid w:val="00395905"/>
    <w:rsid w:val="005806C7"/>
    <w:rsid w:val="007E221F"/>
    <w:rsid w:val="00851FF9"/>
    <w:rsid w:val="00873051"/>
    <w:rsid w:val="00A27E90"/>
    <w:rsid w:val="00B22BF7"/>
    <w:rsid w:val="00B27F65"/>
    <w:rsid w:val="00B73839"/>
    <w:rsid w:val="00B772E1"/>
    <w:rsid w:val="00CD5874"/>
    <w:rsid w:val="00D672EC"/>
    <w:rsid w:val="00E72F9F"/>
    <w:rsid w:val="00F35F0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7DBA5490"/>
  <w15:docId w15:val="{2EA88F54-0D03-A246-A9BC-20288F33E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864"/>
      <w:sz w:val="28"/>
      <w:szCs w:val="28"/>
    </w:rPr>
  </w:style>
  <w:style w:type="paragraph" w:styleId="Ttulo2">
    <w:name w:val="heading 2"/>
    <w:uiPriority w:val="9"/>
    <w:unhideWhenUsed/>
    <w:qFormat/>
    <w:pPr>
      <w:spacing w:before="240" w:after="120"/>
      <w:outlineLvl w:val="1"/>
    </w:pPr>
    <w:rPr>
      <w:b/>
      <w:bCs/>
      <w:color w:val="2E5090"/>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p1">
    <w:name w:val="p1"/>
    <w:basedOn w:val="Normal"/>
    <w:rsid w:val="001F2729"/>
    <w:pPr>
      <w:spacing w:before="100" w:beforeAutospacing="1" w:after="100" w:afterAutospacing="1"/>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1F2729"/>
    <w:rPr>
      <w:rFonts w:ascii="Courier New" w:eastAsia="Times New Roman" w:hAnsi="Courier New" w:cs="Courier New"/>
      <w:sz w:val="20"/>
      <w:szCs w:val="20"/>
    </w:rPr>
  </w:style>
  <w:style w:type="character" w:customStyle="1" w:styleId="s1">
    <w:name w:val="s1"/>
    <w:basedOn w:val="Fuentedeprrafopredeter"/>
    <w:rsid w:val="001F2729"/>
  </w:style>
  <w:style w:type="character" w:customStyle="1" w:styleId="apple-converted-space">
    <w:name w:val="apple-converted-space"/>
    <w:basedOn w:val="Fuentedeprrafopredeter"/>
    <w:rsid w:val="00E72F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3043</Words>
  <Characters>16740</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Ezequiel Franco Isla Toconas</cp:lastModifiedBy>
  <cp:revision>5</cp:revision>
  <dcterms:created xsi:type="dcterms:W3CDTF">2026-06-11T19:05:00Z</dcterms:created>
  <dcterms:modified xsi:type="dcterms:W3CDTF">2026-06-11T19:09:00Z</dcterms:modified>
</cp:coreProperties>
</file>