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Microsoft YaHei" w:hAnsi="Microsoft YaHei" w:eastAsia="Microsoft YaHei"/>
          <w:b/>
          <w:color w:val="2E74B5"/>
          <w:sz w:val="20"/>
        </w:rPr>
        <w:t>ECHO · 内部执行手册</w:t>
      </w:r>
    </w:p>
    <w:p>
      <w:pPr>
        <w:spacing w:before="0" w:after="80"/>
      </w:pPr>
      <w:r>
        <w:rPr>
          <w:rFonts w:ascii="Microsoft YaHei" w:hAnsi="Microsoft YaHei" w:eastAsia="Microsoft YaHei"/>
          <w:b/>
          <w:color w:val="0B2545"/>
          <w:sz w:val="46"/>
        </w:rPr>
        <w:t>成员 D 收尾任务与数据冻结指南</w:t>
      </w:r>
    </w:p>
    <w:p>
      <w:pPr>
        <w:spacing w:after="280"/>
      </w:pPr>
      <w:r>
        <w:rPr>
          <w:rFonts w:ascii="Microsoft YaHei" w:hAnsi="Microsoft YaHei" w:eastAsia="Microsoft YaHei"/>
          <w:color w:val="5B6573"/>
          <w:sz w:val="25"/>
        </w:rPr>
        <w:t>官方材料、63 道正式题、资源检查标准与 50 组评测参考数据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责任人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成员 D：member/d-content-data；负责人接管时由 A 记录 takeover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文档范围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材料来源与版本、题库正式口径、三类资源标准、评测案例和负责人接管流程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未完成；数据基础较多，但正式材料、题库口径和评测集仍需冻结与审核</w:t>
            </w:r>
          </w:p>
        </w:tc>
      </w:tr>
      <w:tr>
        <w:tc>
          <w:tcPr>
            <w:tcW w:type="dxa" w:w="1650"/>
            <w:shd w:fill="F2F4F7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阅读顺序</w:t>
            </w:r>
          </w:p>
        </w:tc>
        <w:tc>
          <w:tcPr>
            <w:tcW w:type="dxa" w:w="771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先读本手册，再读 AGENTS.md、docs/team-ownership.md、docs/service-contracts.md 和 docs/testing-and-quality.md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1"/>
              </w:rPr>
              <w:t xml:space="preserve">给成员和其他 AI 的执行规则  </w:t>
            </w:r>
            <w:r>
              <w:rPr>
                <w:rFonts w:ascii="Microsoft YaHei" w:hAnsi="Microsoft YaHei" w:eastAsia="Microsoft YaHei"/>
                <w:color w:val="111111"/>
                <w:sz w:val="21"/>
              </w:rPr>
              <w:t>本手册是收尾验收清单，不是授权跨边界重写代码的指令。先确认固定分支和责任范围，再修改接口、数据或测试；不要把“页面存在、适配器存在、Mock 通过或模板生成”当成完成证据。每个完成结论都必须附文件、测试、数据统计或可复现运行结果。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先给结论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D 的工作不是“完全没有做”，而是尚未达到可以让 A 直接导入和评测的冻结状态。最容易修的是评测 JSON 的重复编号，但只删重复记录仍不够：动态调整目前只有 3 组而要求 9 组；题目文档有 66 道而项目正式口径是 63 道；正式官方材料清单和原文包也尚未形成可核对交付。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 w:val="clea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7A5A00"/>
                <w:sz w:val="21"/>
              </w:rPr>
              <w:t xml:space="preserve">审计快照  </w:t>
            </w:r>
            <w:r>
              <w:rPr>
                <w:rFonts w:ascii="Microsoft YaHei" w:hAnsi="Microsoft YaHei" w:eastAsia="Microsoft YaHei"/>
                <w:color w:val="111111"/>
                <w:sz w:val="21"/>
              </w:rPr>
              <w:t>以下数量来自 2026-08-17 工作区中缓存的 D 分支引用。提交前必须重新 fetch 并重新运行静态校验；如果远端发生变化，以最新分支为准。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当前观察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达标要求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评测 JSON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声明 50，实际 55；046-050 各重复；唯一编号 50</w:t>
            </w:r>
          </w:p>
        </w:tc>
        <w:tc>
          <w:tcPr>
            <w:tcW w:type="dxa" w:w="3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50 条、50 个唯一编号、36/9/5 分布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场景分布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基础类 47、动态 3、异常 5</w:t>
            </w:r>
          </w:p>
        </w:tc>
        <w:tc>
          <w:tcPr>
            <w:tcW w:type="dxa" w:w="3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基础 36、动态 9、异常 5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题库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27 前测、27 后测、12 操作题，共 66</w:t>
            </w:r>
          </w:p>
        </w:tc>
        <w:tc>
          <w:tcPr>
            <w:tcW w:type="dxa" w:w="3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冻结 27+27+9=63 道正式题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资源标准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D 分支已有 resource_checklist.md，未合并</w:t>
            </w:r>
          </w:p>
        </w:tc>
        <w:tc>
          <w:tcPr>
            <w:tcW w:type="dxa" w:w="3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进入 main，并可供 A 实现独立检查</w:t>
            </w:r>
          </w:p>
        </w:tc>
      </w:tr>
      <w:tr>
        <w:tc>
          <w:tcPr>
            <w:tcW w:type="dxa" w:w="17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官方材料</w:t>
            </w:r>
          </w:p>
        </w:tc>
        <w:tc>
          <w:tcPr>
            <w:tcW w:type="dxa" w:w="39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已有题目链接，但未见正式材料清单、完整原文包和导入核对报告</w:t>
            </w:r>
          </w:p>
        </w:tc>
        <w:tc>
          <w:tcPr>
            <w:tcW w:type="dxa" w:w="3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12 知识点均有可定位官方依据和版本哈希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D 的责任边界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D 负责内容数据和参考标准，不负责检索引擎、资源生成、内容检查程序、评测运行器、MIRT、SimpleMem 或微表征系统。A 可以使用 D 的材料和标准，但不能替 D 猜测正式题范围、补造官方出处或自行解释模糊评分规则。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2.1 内容来源底线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专业内容只来自 Microsoft Learn Semantic Kernel 文档、microsoft/semantic-kernel 官方仓库和官方示例。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博客、问答、个人教程和模型生成文本不能作为标准答案或官方证据。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题目答案、评分方法和资源检查规则必须可执行，不能写“由系统判断”或“回答合理即可”。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来源、章节、版本或日期必须可追溯；链接失效或章节不对应时不得标记为正式。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D1：正式官方材料包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新增官方材料清单。完整原文可放入供管理端导入的私有材料包，Git 中提交清单、哈希和核对结果；不要提交大体积上传文件、模型、密钥或真实运行数据。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docs/member-d/official_materials_manifest.json</w:t>
        <w:br/>
        <w:t>docs/member-d/material_import_verification.md</w:t>
        <w:br/>
        <w:t>私有材料包示例：data/official-materials/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清单字段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material_id</w:t>
            </w:r>
          </w:p>
        </w:tc>
        <w:tc>
          <w:tcPr>
            <w:tcW w:type="dxa" w:w="6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稳定的材料编号，题目和评测案例引用它</w:t>
            </w:r>
          </w:p>
        </w:tc>
      </w:tr>
      <w:tr>
        <w:tc>
          <w:tcPr>
            <w:tcW w:type="dxa" w:w="2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title / type</w:t>
            </w:r>
          </w:p>
        </w:tc>
        <w:tc>
          <w:tcPr>
            <w:tcW w:type="dxa" w:w="6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资料名称和类型，例如 Learn 文档、官方仓库文件、官方示例</w:t>
            </w:r>
          </w:p>
        </w:tc>
      </w:tr>
      <w:tr>
        <w:tc>
          <w:tcPr>
            <w:tcW w:type="dxa" w:w="2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url / version</w:t>
            </w:r>
          </w:p>
        </w:tc>
        <w:tc>
          <w:tcPr>
            <w:tcW w:type="dxa" w:w="6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官方链接、提交号、版本或获取日期</w:t>
            </w:r>
          </w:p>
        </w:tc>
      </w:tr>
      <w:tr>
        <w:tc>
          <w:tcPr>
            <w:tcW w:type="dxa" w:w="2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module_id / knowledge_point_ids</w:t>
            </w:r>
          </w:p>
        </w:tc>
        <w:tc>
          <w:tcPr>
            <w:tcW w:type="dxa" w:w="6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与 apps/api/catalog.py 的模块和知识点一致</w:t>
            </w:r>
          </w:p>
        </w:tc>
      </w:tr>
      <w:tr>
        <w:tc>
          <w:tcPr>
            <w:tcW w:type="dxa" w:w="2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section</w:t>
            </w:r>
          </w:p>
        </w:tc>
        <w:tc>
          <w:tcPr>
            <w:tcW w:type="dxa" w:w="6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题目或资源实际引用的章节、标题或代码位置</w:t>
            </w:r>
          </w:p>
        </w:tc>
      </w:tr>
      <w:tr>
        <w:tc>
          <w:tcPr>
            <w:tcW w:type="dxa" w:w="2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local_file / sha256</w:t>
            </w:r>
          </w:p>
        </w:tc>
        <w:tc>
          <w:tcPr>
            <w:tcW w:type="dxa" w:w="6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私有原文文件名和内容哈希，证明导入版本稳定</w:t>
            </w:r>
          </w:p>
        </w:tc>
      </w:tr>
      <w:tr>
        <w:tc>
          <w:tcPr>
            <w:tcW w:type="dxa" w:w="26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import_status</w:t>
            </w:r>
          </w:p>
        </w:tc>
        <w:tc>
          <w:tcPr>
            <w:tcW w:type="dxa" w:w="67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待导入、已导入、失败及失败原因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12 个知识点都要至少有一份官方依据。材料导入核对报告由 D 根据导入返回的来源链接和章节填写；A 负责真实检索引擎、切片、重排和导入程序。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D2：冻结 63 道正式题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项目当前文档口径是 27 道前测、27 道后测和 9 道操作题，共 63 道。现有 12 道操作题不能让 A 在导入时自行猜测取舍。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docs/member-d/quiz_formal_manifest.json</w:t>
        <w:br/>
        <w:t>docs/member-d/quiz_validation_report.md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6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正式用途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数量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验收要求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pretest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27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三模块覆盖，固定下发，不返回答案和评分方法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posttest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27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三模块覆盖，与前测不同题面但范围可比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practice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9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建议每模块 3 道操作题，服务器判分或保存原始答案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合计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63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manifest 正好 63，question_id 唯一，不能重复导入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剩余 3 道操作题可以保留为候选题，但必须在 manifest 中明确标记为非正式，不进入本轮固定前后测/阶段测试。如果团队决定正式交付 66 道，必须先统一修改 AGENTS.md、赛题映射、系统说明和分工文档，不能只改数据文件。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4.1 每道正式题的字段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唯一 question_id、原文件路径和题目序号。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module_id、knowledge_point_id、题型、用途和难度。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题干、答案、满分和可执行评分方法。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资料名称、material_id、官方链接和出处章节。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counts_for_mirt，以及是否允许本题更新 U/A/R。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预览解析状态、重复检查状态和修正记录。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D 负责用现有预览流程逐题核对并记录失败；A 负责修复导入程序和最终写库。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D3：三类资源检查标准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将 D 分支中的 resource_checklist.md 整理后提交 PR。它是 A 的检查规则来源，不是资源生成代码。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资源类型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标准必须覆盖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定制学习资料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知识点准确、解释深度、盲区针对性、难度、官方引用、无证据只存草稿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实践操作指南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前置条件、至少可执行步骤、输入输出、预期结果、错误处理、复现性和引用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阶段测试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范围、题型、难度、答案/评分的服务端边界、是否更新 MIRT、失败重做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每类资源还要明确通过项、可修改项、禁止发布项、内容错误/难度不匹配/知识遗漏/出处不可查的判定，以及 P1/P2/P3 的讲解深度、步骤多少和推荐难度。检查失败时要指出需要重做的部分，不能只写“全部重新生成”。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D4：重做并冻结 50 组评测参考数据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docs/member-d/eval_50_cases.json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6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类别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数量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最低覆盖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基础对话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36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P1/P2/P3 × M1/M2/M3 × 4 类基础任务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动态调整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9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答错降难、答对升难、犹豫后改变提示均覆盖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异常情况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5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无资料、校验失败、重复提交、服务不可用、切换模块</w:t>
            </w:r>
          </w:p>
        </w:tc>
      </w:tr>
      <w:tr>
        <w:tc>
          <w:tcPr>
            <w:tcW w:type="dxa" w:w="2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合计</w:t>
            </w:r>
          </w:p>
        </w:tc>
        <w:tc>
          <w:tcPr>
            <w:tcW w:type="dxa" w:w="11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50</w:t>
            </w:r>
          </w:p>
        </w:tc>
        <w:tc>
          <w:tcPr>
            <w:tcW w:type="dxa" w:w="6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case_id 001-050 唯一且连续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每组必须包含 learner_type、module、knowledge_point、输入、预期 intent、唯一 primary_action、难度、官方材料和章节、回复特点、是否发布、是否更新 MIRT、失败原因和可重现判断条件。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6.1 冻结前静态校验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total_cases 等于数组实际长度，且二者都等于 50。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case_id 唯一、连续，不能通过覆盖同名键隐藏重复数据。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基础/动态/异常数量严格为 36/9/5；不能只删掉重复编号。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三类学习者、三个模块、三类资源和失败重试均有覆盖。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每个 source_url 和 source_section 都能从正式材料清单定位。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每个案例的判断规则可以区分内容错误、难度不匹配、知识点遗漏和出处不可查。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D 只冻结参考输入和人工判定标准；A 负责批量运行、统计幻觉率、难度匹配率、知识覆盖率和出处可查率。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负责人 A 接管 D 的安全流程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如果 D 时间不足，你可以接管修正，但必须保留作者和责任记录，不要直接改写 D 的固定分支。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让 D 先 Push 当前分支，并在 PR 或交接记录中列出尚未完成项。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A 在 member/a-integration 同步最新 origin/main，再通过普通合并或挑选提交引入 D 的有效文件。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A 在自己的分支修正材料清单、63 题 manifest、资源标准和 50 组数据。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使用清晰的 fix(content-data): freeze formal quiz and evaluation data Commit，不使用强制覆盖。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运行静态数据校验和项目质量门禁，创建目标为 main 的 PR；由负责人按普通 Merge 合并。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 w:val="clear"/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9B1C1C"/>
                <w:sz w:val="21"/>
              </w:rPr>
              <w:t xml:space="preserve">不要这样做  </w:t>
            </w:r>
            <w:r>
              <w:rPr>
                <w:rFonts w:ascii="Microsoft YaHei" w:hAnsi="Microsoft YaHei" w:eastAsia="Microsoft YaHei"/>
                <w:color w:val="111111"/>
                <w:sz w:val="21"/>
              </w:rPr>
              <w:t>不要直接推送 main、不要 force-push member/d-content-data、不要只删重复编号后宣布 50 组完成、不要用模型生成内容补齐官方材料或评分答案。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提交建议与完成判定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i w:val="0"/>
          <w:color w:val="111111"/>
          <w:sz w:val="22"/>
        </w:rPr>
        <w:t>D 自己完成时，建议拆成四个 PR 内 Commit：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docs(materials): add official material manifest and verification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fix(quiz-data): freeze 63 formal questions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docs(resources): finalize personalized resource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Microsoft YaHei"/>
          <w:color w:val="111111"/>
          <w:sz w:val="21"/>
        </w:rPr>
        <w:t>fix(eval-data): freeze fifty unique evaluation cases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完成条件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/>
                <w:color w:val="0B2545"/>
                <w:sz w:val="20"/>
              </w:rPr>
              <w:t>必须看到的证据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官方材料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manifest、哈希、来源、章节、私有原文包和导入核对报告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正式题库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正好 63 道通过预览，模块/知识点/答案/评分/出处完整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资源标准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resource_checklist.md 已合并，三类资源和 P1/P2/P3 规则完整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评测数据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50 条唯一案例，36/9/5 分布，参考结果可复现</w:t>
            </w:r>
          </w:p>
        </w:tc>
      </w:tr>
      <w:tr>
        <w:tc>
          <w:tcPr>
            <w:tcW w:type="dxa" w:w="220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协作质量</w:t>
            </w:r>
          </w:p>
        </w:tc>
        <w:tc>
          <w:tcPr>
            <w:tcW w:type="dxa" w:w="7160"/>
          </w:tcPr>
          <w:p>
            <w:pPr>
              <w:spacing w:after="4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11111"/>
                <w:sz w:val="20"/>
              </w:rPr>
              <w:t>D PR 已审核合并，未提交敏感文件，项目质量门禁通过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给执行 AI 的最小任务提示</w:t>
      </w:r>
    </w:p>
    <w:p>
      <w:pPr>
        <w:spacing w:before="40" w:after="120" w:line="264" w:lineRule="auto"/>
        <w:ind w:left="259" w:right="259"/>
        <w:shd w:fill="F2F4F7"/>
      </w:pPr>
      <w:r>
        <w:rPr>
          <w:rFonts w:ascii="Cascadia Mono" w:hAnsi="Cascadia Mono" w:eastAsia="Microsoft YaHei"/>
          <w:color w:val="0B2545"/>
          <w:sz w:val="18"/>
        </w:rPr>
        <w:t>你是成员 D 的内容数据助手。先读取 AGENTS.md、docs/team-ownership.md、docs/quiz-import-template.md、docs/service-contracts.md 和本指南。只使用 Microsoft 官方材料；不要写检索引擎、生成器、检查器、评测运行器、MIRT、SimpleMem 或微表征代码。先校验数量、唯一编号、模块映射、字段完整性和来源可追溯性，再提交固定分支。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color w:val="5B6573"/>
        <w:sz w:val="17"/>
      </w:rPr>
      <w:t xml:space="preserve">ECHO | 成员 D 收尾指南  ·  </w:t>
    </w:r>
    <w:r>
      <w:rPr>
        <w:rFonts w:ascii="Microsoft YaHei" w:hAnsi="Microsoft YaHei" w:eastAsia="Microsoft YaHei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5B6573"/>
        <w:sz w:val="17"/>
      </w:rPr>
      <w:t>ECHO Adaptive Skill Training  |  团队收尾执行指南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