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Microsoft YaHei" w:hAnsi="Microsoft YaHei" w:eastAsia="Microsoft YaHei"/>
          <w:b/>
          <w:color w:val="2E74B5"/>
          <w:sz w:val="20"/>
        </w:rPr>
        <w:t>ECHO · 内部执行手册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0B2545"/>
          <w:sz w:val="46"/>
        </w:rPr>
        <w:t>成员 C 收尾任务与验收指南</w:t>
      </w:r>
    </w:p>
    <w:p>
      <w:pPr>
        <w:spacing w:after="280"/>
      </w:pPr>
      <w:r>
        <w:rPr>
          <w:rFonts w:ascii="Microsoft YaHei" w:hAnsi="Microsoft YaHei" w:eastAsia="Microsoft YaHei"/>
          <w:color w:val="5B6573"/>
          <w:sz w:val="25"/>
        </w:rPr>
        <w:t>MIRT、学习总结与 SimpleMem：从“核心服务存在”到“证据、案例和报告可验收”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责任人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成员 C：member/c-mirt-memory</w:t>
            </w:r>
          </w:p>
        </w:tc>
      </w:tr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文档范围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U/A/R 能力边界、学习洞察、个人报告、SimpleMem 生命周期、P1/P2/P3 样例和记忆案例</w:t>
            </w:r>
          </w:p>
        </w:tc>
      </w:tr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状态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部分完成；核心服务和测试已具备，三类画像、10 组记忆案例和交接样例仍需补齐</w:t>
            </w:r>
          </w:p>
        </w:tc>
      </w:tr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阅读顺序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先读本手册，再读 AGENTS.md、docs/team-ownership.md、docs/service-contracts.md 和 docs/testing-and-quality.md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 xml:space="preserve">给成员和其他 AI 的执行规则  </w:t>
            </w:r>
            <w:r>
              <w:rPr>
                <w:rFonts w:ascii="Microsoft YaHei" w:hAnsi="Microsoft YaHei" w:eastAsia="Microsoft YaHei"/>
                <w:color w:val="111111"/>
                <w:sz w:val="21"/>
              </w:rPr>
              <w:t>本手册是收尾验收清单，不是授权跨边界重写代码的指令。先确认固定分支和责任范围，再修改接口、数据或测试；不要把“页面存在、适配器存在、Mock 通过或模板生成”当成完成证据。每个完成结论都必须附文件、测试、数据统计或可复现运行结果。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先给结论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C 的核心算法和服务边界已经存在，剩余工作不是重新写 MIRT，而是把规则冻结成可供成员、A 和其他 AI 复用的样例与验收证据。重点是：同一模块中的 P1/P2/P3 必须因真实证据得到不同建议；10 组跨会话记忆案例必须覆盖权限、冲突、幂等和降级；个人报告必须保留三部分结构和证据链。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范围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已经具备或待确认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完成证据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MIRT</w:t>
            </w:r>
          </w:p>
        </w:tc>
        <w:tc>
          <w:tcPr>
            <w:tcW w:type="dxa" w:w="34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U/A/R 更新边界和重复提交保护已有</w:t>
            </w:r>
          </w:p>
        </w:tc>
        <w:tc>
          <w:tcPr>
            <w:tcW w:type="dxa" w:w="4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有效判分答案更新；无效输入、微表征和记忆不更新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学习洞察</w:t>
            </w:r>
          </w:p>
        </w:tc>
        <w:tc>
          <w:tcPr>
            <w:tcW w:type="dxa" w:w="34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能力趋势、盲区、难度和路线服务已有</w:t>
            </w:r>
          </w:p>
        </w:tc>
        <w:tc>
          <w:tcPr>
            <w:tcW w:type="dxa" w:w="4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每条建议可追溯到题目、分数、时间或记忆记录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SimpleMem</w:t>
            </w:r>
          </w:p>
        </w:tc>
        <w:tc>
          <w:tcPr>
            <w:tcW w:type="dxa" w:w="34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候选、权限、生命周期和降级基础已有</w:t>
            </w:r>
          </w:p>
        </w:tc>
        <w:tc>
          <w:tcPr>
            <w:tcW w:type="dxa" w:w="4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10 组跨会话案例 + 权限/冲突/幂等/不可用测试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学习者画像</w:t>
            </w:r>
          </w:p>
        </w:tc>
        <w:tc>
          <w:tcPr>
            <w:tcW w:type="dxa" w:w="34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尚缺冻结 P1/P2/P3 样例</w:t>
            </w:r>
          </w:p>
        </w:tc>
        <w:tc>
          <w:tcPr>
            <w:tcW w:type="dxa" w:w="4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同一模块同一知识点得到有证据支持的不同建议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A 交接</w:t>
            </w:r>
          </w:p>
        </w:tc>
        <w:tc>
          <w:tcPr>
            <w:tcW w:type="dxa" w:w="34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尚缺成功和降级响应样例</w:t>
            </w:r>
          </w:p>
        </w:tc>
        <w:tc>
          <w:tcPr>
            <w:tcW w:type="dxa" w:w="4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handoff 文档与 service-contracts、Pydantic 输出一致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C 的责任边界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C 负责统计能力、诊断证据、学习总结和长期语义记忆的规则与服务。C 不负责微表征模型、课程材料、题目生成、内容检查程序、公共数据库迁移、公共导航和最终页面。A 可以消费 C 的结构化输出，但不能要求 C 用模型替代统计证据。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2.1 必须遵守的 MIRT 不变量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MIRT 只维护 U（理解/掌握）、A（应用/操作）和 R（推理/评估）。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只有已经判分且题目允许更新能力的答案才能修改 U/A/R；同一 attempt_id 只能计算一次。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微表征、互动表现和长期记忆只影响诊断置信度、解释方式和提示策略，不直接改写能力值。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没有作答证据时必须输出“暂不能判断”，不能凭空生成盲区或能力趋势。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每轮只给 A 一个主要内容决定，不能同时要求判题、生成多份资源和推进阶段。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C1：冻结 P1/P2/P3 学习者样例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新增三个固定、脱敏且可复算的学习者样例。三个人最好处于同一模块、面对同一个目标知识点，差异来自作答证据、能力值和长期记忆，而不是只靠 learner_type 字符串硬编码。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docs/member-c/learner_profiles_p1_p2_p3.json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900"/>
        <w:gridCol w:w="361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字段组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至少包含的内容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验收规则</w:t>
            </w:r>
          </w:p>
        </w:tc>
      </w:tr>
      <w:tr>
        <w:tc>
          <w:tcPr>
            <w:tcW w:type="dxa" w:w="18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身份和范围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learner_type、program_id、module_id、knowledge_point_id</w:t>
            </w:r>
          </w:p>
        </w:tc>
        <w:tc>
          <w:tcPr>
            <w:tcW w:type="dxa" w:w="36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三人范围相同，标识脱敏且可复现</w:t>
            </w:r>
          </w:p>
        </w:tc>
      </w:tr>
      <w:tr>
        <w:tc>
          <w:tcPr>
            <w:tcW w:type="dxa" w:w="18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能力证据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U/A/R、答题编号、分数、正确性、作答时间</w:t>
            </w:r>
          </w:p>
        </w:tc>
        <w:tc>
          <w:tcPr>
            <w:tcW w:type="dxa" w:w="36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能力结论能回到可评分答案</w:t>
            </w:r>
          </w:p>
        </w:tc>
      </w:tr>
      <w:tr>
        <w:tc>
          <w:tcPr>
            <w:tcW w:type="dxa" w:w="18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知识诊断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已掌握点、盲区、置信度</w:t>
            </w:r>
          </w:p>
        </w:tc>
        <w:tc>
          <w:tcPr>
            <w:tcW w:type="dxa" w:w="36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无证据的盲区必须为空或暂不能判断</w:t>
            </w:r>
          </w:p>
        </w:tc>
      </w:tr>
      <w:tr>
        <w:tc>
          <w:tcPr>
            <w:tcW w:type="dxa" w:w="18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长期记忆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误区、偏好、干预效果、来源记忆编号</w:t>
            </w:r>
          </w:p>
        </w:tc>
        <w:tc>
          <w:tcPr>
            <w:tcW w:type="dxa" w:w="36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记忆只影响方式，不直接改 U/A/R</w:t>
            </w:r>
          </w:p>
        </w:tc>
      </w:tr>
      <w:tr>
        <w:tc>
          <w:tcPr>
            <w:tcW w:type="dxa" w:w="18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下一步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难度、下一知识点、内容形式、辅导方式、原因</w:t>
            </w:r>
          </w:p>
        </w:tc>
        <w:tc>
          <w:tcPr>
            <w:tcW w:type="dxa" w:w="36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同一轮只有一个主要内容决定</w:t>
            </w:r>
          </w:p>
        </w:tc>
      </w:tr>
      <w:tr>
        <w:tc>
          <w:tcPr>
            <w:tcW w:type="dxa" w:w="18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追溯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题目/分数/时间/记忆记录的 evidence_refs</w:t>
            </w:r>
          </w:p>
        </w:tc>
        <w:tc>
          <w:tcPr>
            <w:tcW w:type="dxa" w:w="36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每条建议至少一条可核对证据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类型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样例目标（不是标签硬编码）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应看到的证据</w:t>
            </w:r>
          </w:p>
        </w:tc>
      </w:tr>
      <w:tr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P1</w:t>
            </w:r>
          </w:p>
        </w:tc>
        <w:tc>
          <w:tcPr>
            <w:tcW w:type="dxa" w:w="4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基础薄弱或证据少；foundation 为主、分步提示</w:t>
            </w:r>
          </w:p>
        </w:tc>
        <w:tc>
          <w:tcPr>
            <w:tcW w:type="dxa" w:w="3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低分/少量有效作答/明确基础盲区</w:t>
            </w:r>
          </w:p>
        </w:tc>
      </w:tr>
      <w:tr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P2</w:t>
            </w:r>
          </w:p>
        </w:tc>
        <w:tc>
          <w:tcPr>
            <w:tcW w:type="dxa" w:w="4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部分掌握但应用弱；standard 和针对性练习</w:t>
            </w:r>
          </w:p>
        </w:tc>
        <w:tc>
          <w:tcPr>
            <w:tcW w:type="dxa" w:w="3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理解题较好、操作题或应用题存在问题</w:t>
            </w:r>
          </w:p>
        </w:tc>
      </w:tr>
      <w:tr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P3</w:t>
            </w:r>
          </w:p>
        </w:tc>
        <w:tc>
          <w:tcPr>
            <w:tcW w:type="dxa" w:w="4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能力稳定且能迁移；standard/advanced 和综合任务</w:t>
            </w:r>
          </w:p>
        </w:tc>
        <w:tc>
          <w:tcPr>
            <w:tcW w:type="dxa" w:w="3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连续有效作答、应用与推理证据充分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验收时要调用真实学习洞察服务或同等服务函数，保存输入、输出和断言。不能只人工阅读 JSON 后宣布完成。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C2：冻结 10 组跨会话记忆案例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新增 10 个唯一 case_id 的跨会话案例，案例必须描述第一会话如何形成或拒绝记忆、第二会话如何检索并改变解释方式，以及哪些数据仍由业务数据库负责。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docs/member-c/memory_10_cases.json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覆盖主题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至少一组必须证明的行为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记忆形成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稳定误区、学习偏好、有效辅导方式各至少 1 组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生命周期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新增、查询、修改、删除、同义合并、语义冲突拒绝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权限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跨用户或跨组织访问被拒绝；组织/用户/项目/模块范围正确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可靠性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相同幂等键重复写入不重复；SimpleMem 不可用时业务答题和能力仍可用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证据门槛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证据不足时不形成稳定记忆，并返回明确原因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每组还要记录 memory_type、scope、evidence_refs、expected_status、expected_reason、expected_u_a_r_change（纯记忆操作必须为“不直接更新”）和对 A 的提示方式影响。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C3：验收三部分个人报告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4600"/>
        <w:gridCol w:w="291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报告部分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固定内容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禁止行为</w:t>
            </w:r>
          </w:p>
        </w:tc>
      </w:tr>
      <w:tr>
        <w:tc>
          <w:tcPr>
            <w:tcW w:type="dxa" w:w="18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能力与变化</w:t>
            </w:r>
          </w:p>
        </w:tc>
        <w:tc>
          <w:tcPr>
            <w:tcW w:type="dxa" w:w="46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M1/M2/M3 的 U/A/R 现状、趋势和有效作答数量</w:t>
            </w:r>
          </w:p>
        </w:tc>
        <w:tc>
          <w:tcPr>
            <w:tcW w:type="dxa" w:w="29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用微表征或记忆直接改能力值</w:t>
            </w:r>
          </w:p>
        </w:tc>
      </w:tr>
      <w:tr>
        <w:tc>
          <w:tcPr>
            <w:tcW w:type="dxa" w:w="18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证据与盲区</w:t>
            </w:r>
          </w:p>
        </w:tc>
        <w:tc>
          <w:tcPr>
            <w:tcW w:type="dxa" w:w="46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掌握点、盲区、置信度、题目/分数/时间/记忆证据</w:t>
            </w:r>
          </w:p>
        </w:tc>
        <w:tc>
          <w:tcPr>
            <w:tcW w:type="dxa" w:w="29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没有证据却断言能力或盲区</w:t>
            </w:r>
          </w:p>
        </w:tc>
      </w:tr>
      <w:tr>
        <w:tc>
          <w:tcPr>
            <w:tcW w:type="dxa" w:w="18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路线与资源</w:t>
            </w:r>
          </w:p>
        </w:tc>
        <w:tc>
          <w:tcPr>
            <w:tcW w:type="dxa" w:w="46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难度、下一知识点、内容形式、辅导方式、原因和来源</w:t>
            </w:r>
          </w:p>
        </w:tc>
        <w:tc>
          <w:tcPr>
            <w:tcW w:type="dxa" w:w="29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一轮返回多个互相冲突的主要动作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5.1 必须补测的边界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证据不足：固定输出“暂不能判断”，并保留完整统计结果。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大模型不可用：使用固定模板，不让报告空白；模型只负责改写，不补充统计结论。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每一条盲区、难度和路线建议：可以找到题目、得分、时间或长期记录。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已确认微表征变化：只能调整提示节奏、步骤多少或辅导方式。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SimpleMem 故障：业务数据库中的作答、分数和 U/A/R 结果仍可用。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同一 attempt_id 重复提交：历史、能力和日统计不重复更新。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C4：向 A 提供稳定交接样例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新增交接文档，提供一份完整成功响应和三份降级响应。响应必须与 docs/service-contracts.md 和当前 Pydantic 模型一致，不能在文档中发明一套字段。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docs/member-c/learner-insight-handoff.md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必须展示的内容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成功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三部分报告、结构化能力、盲区、路线、证据和唯一主要内容决定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无有效作答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暂不能判断、空盲区或证据不足说明、下一步收集证据建议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SimpleMem 不可用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降级原因、数据库能力结果、缺失的长期记忆字段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模型不可用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固定模板、完整统计字段和可追溯证据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自动测试、提交和完成判定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建议新增的测试重点：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三个画像样例在同一模块中得到不同且可解释的推荐。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10 组记忆案例的权限、幂等、冲突、删除和降级状态与预期一致。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无证据、模型不可用和 SimpleMem 不可用时报告仍有固定结构。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微表征/记忆输入变化不会直接修改 U/A/R。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每条洞察建议都存在 evidence_refs，且引用的题目或记录真实存在。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提交前运行：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python -m ruff check apps tests</w:t>
        <w:br/>
        <w:t>python -m pytest -q</w:t>
        <w:br/>
        <w:t>python -m compileall apps/api</w:t>
        <w:br/>
        <w:t>docker compose config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 xml:space="preserve">完成条件与 AI 执行边界  </w:t>
            </w:r>
            <w:r>
              <w:rPr>
                <w:rFonts w:ascii="Microsoft YaHei" w:hAnsi="Microsoft YaHei" w:eastAsia="Microsoft YaHei"/>
                <w:color w:val="111111"/>
                <w:sz w:val="21"/>
              </w:rPr>
              <w:t>完成：P1/P2/P3、10 组记忆案例、三部分报告和降级测试通过，SimpleMem 可安全降级，PR 已审核合并。AI 仅改 C 范围；先读 AGENTS、分工和契约文档；只据可评分作答更新 U/A/R，记忆与微表征不可直接改能力，禁止跨改 B、D 或公共层。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color w:val="5B6573"/>
        <w:sz w:val="17"/>
      </w:rPr>
      <w:t xml:space="preserve">ECHO | 成员 C 收尾指南  ·  </w:t>
    </w:r>
    <w:r>
      <w:rPr>
        <w:rFonts w:ascii="Microsoft YaHei" w:hAnsi="Microsoft YaHei" w:eastAsia="Microsoft YaHei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5B6573"/>
        <w:sz w:val="17"/>
      </w:rPr>
      <w:t>ECHO Adaptive Skill Training  |  团队收尾执行指南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