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header1.xml" ContentType="application/vnd.openxmlformats-officedocument.wordprocessingml.header+xml"/>
  <Override PartName="/word/header7.xml" ContentType="application/vnd.openxmlformats-officedocument.wordprocessingml.header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7.xml" ContentType="application/vnd.openxmlformats-officedocument.wordprocessingml.footer+xml"/>
  <Override PartName="/word/footer9.xml" ContentType="application/vnd.openxmlformats-officedocument.wordprocessingml.footer+xml"/>
  <Override PartName="/word/footer6.xml" ContentType="application/vnd.openxmlformats-officedocument.wordprocessingml.footer+xml"/>
  <Override PartName="/word/footer3.xml" ContentType="application/vnd.openxmlformats-officedocument.wordprocessingml.footer+xml"/>
  <Override PartName="/word/footer8.xml" ContentType="application/vnd.openxmlformats-officedocument.wordprocessingml.foot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media/rId20.png" ContentType="image/png"/>
  <Override PartName="/word/media/rId35.png" ContentType="image/png"/>
  <Override PartName="/word/media/rId45.png" ContentType="image/png"/>
  <Override PartName="/word/media/image2.png" ContentType="image/png"/>
  <Override PartName="/word/media/image1.png" ContentType="image/png"/>
  <Override PartName="/word/media/image3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第3章-方法论重整结构补强论证与可追溯引用修订版"/>
    <w:p>
      <w:pPr>
        <w:pStyle w:val="1"/>
      </w:pPr>
      <w:r>
        <w:t xml:space="preserve">第3章 方法论（重整结构、补强论证与可追溯引用｜修订版）</w:t>
      </w:r>
    </w:p>
    <w:p>
      <w:pPr>
        <w:pStyle w:val="11"/>
      </w:pPr>
      <w:r>
        <w:t xml:space="preserve">本章面向“稀疏观测驱动的时空场重建（sparse-to-full spatiotemporal field reconstruction）”任务，给出一套可复现、可审计、可工程落地的方法学框架。与仅强调网络结构改进的写法不同，本章将“</w:t>
      </w:r>
      <w:r>
        <w:rPr>
          <w:bCs/>
          <w:b/>
        </w:rPr>
        <w:t xml:space="preserve">观测口径一致性</w:t>
      </w:r>
      <w:r>
        <w:t xml:space="preserve">”提升为方法论硬约束，并将其落实为</w:t>
      </w:r>
      <w:r>
        <w:rPr>
          <w:bCs/>
          <w:b/>
        </w:rPr>
        <w:t xml:space="preserve">可执行的算子定义、等价性审计与材料产出链路</w:t>
      </w:r>
      <w:r>
        <w:t xml:space="preserve">。</w:t>
      </w:r>
    </w:p>
    <w:p>
      <w:pPr>
        <w:pStyle w:val="11"/>
      </w:pPr>
      <w:r>
        <w:t xml:space="preserve">本章核心思想可概括为两条硬约束与一个统一接口：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硬约束 A（采样/退化口径一致）</w:t>
      </w:r>
      <w:r>
        <w:t xml:space="preserve">：数据侧观测算子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与训练侧退化算子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复用同一实现与同一参数（同插值、同边界、同对齐、同预滤）。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硬约束 B（评测口径回灌训练）</w:t>
      </w:r>
      <w:r>
        <w:t xml:space="preserve">：在空间域重建误差之外，引入“原值域的观测一致性”项，使评测口径误差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被直接优化，而非仅在测试阶段被动暴露。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统一接口（可替换模型栈）</w:t>
      </w:r>
      <w:r>
        <w:t xml:space="preserve">：将不同模型（CNN/UNet/Transformer/Neural Operator/Hybrid）约束在统一输入打包与统一输出签名下，确保对比实验可审计、可复核。</w:t>
      </w:r>
    </w:p>
    <w:p>
      <w:r>
        <w:pict>
          <v:rect style="width:0;height:1.5pt" o:hralign="center" o:hrstd="t" o:hr="t"/>
        </w:pict>
      </w:r>
    </w:p>
    <w:bookmarkStart w:id="25" w:name="问题定义与数学形式化"/>
    <w:p>
      <w:pPr>
        <w:pStyle w:val="2"/>
      </w:pPr>
      <w:r>
        <w:t xml:space="preserve">3.1 问题定义与数学形式化</w:t>
      </w:r>
    </w:p>
    <w:p>
      <w:pPr>
        <w:pStyle w:val="11"/>
      </w:pPr>
      <w:r>
        <w:rPr>
          <w:bCs/>
          <w:b/>
        </w:rPr>
        <w:t xml:space="preserve">图 3-1：评测口径一致性优先的时空场重建方法论全景图。</w:t>
      </w:r>
      <w:r>
        <w:t xml:space="preserve"> </w:t>
      </w:r>
      <w:r>
        <w:t xml:space="preserve">&gt; (a)</w:t>
      </w:r>
      <w:r>
        <w:t xml:space="preserve"> </w:t>
      </w:r>
      <w:r>
        <w:rPr>
          <w:bCs/>
          <w:b/>
        </w:rPr>
        <w:t xml:space="preserve">观测生成（左）</w:t>
      </w:r>
      <w:r>
        <w:t xml:space="preserve">：统一观测算子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包含抗混叠预滤、插值与边界策略；</w:t>
      </w:r>
      <w:r>
        <w:t xml:space="preserve"> </w:t>
      </w:r>
      <w:r>
        <w:t xml:space="preserve">&gt; (b)</w:t>
      </w:r>
      <w:r>
        <w:t xml:space="preserve"> </w:t>
      </w:r>
      <w:r>
        <w:rPr>
          <w:bCs/>
          <w:b/>
        </w:rPr>
        <w:t xml:space="preserve">序列化训练（中）</w:t>
      </w:r>
      <w:r>
        <w:t xml:space="preserve">：采用“空间重构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时序演化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联合微调”的三阶段课程学习策略；</w:t>
      </w:r>
      <w:r>
        <w:t xml:space="preserve"> </w:t>
      </w:r>
      <w:r>
        <w:t xml:space="preserve">&gt; (c)</w:t>
      </w:r>
      <w:r>
        <w:t xml:space="preserve"> </w:t>
      </w:r>
      <w:r>
        <w:rPr>
          <w:bCs/>
          <w:b/>
        </w:rPr>
        <w:t xml:space="preserve">三元一致性约束（右）</w:t>
      </w:r>
      <w:r>
        <w:t xml:space="preserve">：通过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≡</m:t>
        </m:r>
        <m:r>
          <m:t>H</m:t>
        </m:r>
      </m:oMath>
      <w:r>
        <w:t xml:space="preserve"> </w:t>
      </w:r>
      <w:r>
        <w:t xml:space="preserve">硬约束，协同优化重建误差、谱一致性与观测口径误差。</w:t>
      </w:r>
      <w:r>
        <w:t xml:space="preserve"> </w:t>
      </w:r>
      <w:r>
        <w:t xml:space="preserve">&gt; (d)</w:t>
      </w:r>
      <w:r>
        <w:t xml:space="preserve"> </w:t>
      </w:r>
      <w:r>
        <w:rPr>
          <w:bCs/>
          <w:b/>
        </w:rPr>
        <w:t xml:space="preserve">物理评估（下）</w:t>
      </w:r>
      <w:r>
        <w:t xml:space="preserve">：验证解的物理可信度。</w:t>
      </w:r>
    </w:p>
    <w:p>
      <w:pPr>
        <w:pStyle w:val="CaptionedFigure"/>
      </w:pPr>
      <w:r>
        <w:drawing>
          <wp:inline>
            <wp:extent cx="5753100" cy="4745853"/>
            <wp:effectExtent b="0" l="0" r="0" t="0"/>
            <wp:docPr descr="图 3-1 方法论全景图" title="" id="21" name="Picture"/>
            <a:graphic>
              <a:graphicData uri="http://schemas.openxmlformats.org/drawingml/2006/picture">
                <pic:pic>
                  <pic:nvPicPr>
                    <pic:cNvPr descr="figures/fig_3_1_framework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45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3-1 方法论全景图</w:t>
      </w:r>
    </w:p>
    <w:bookmarkStart w:id="23" w:name="离散时空场与学习目标"/>
    <w:p>
      <w:pPr>
        <w:pStyle w:val="3"/>
      </w:pPr>
      <w:r>
        <w:t xml:space="preserve">3.1.1 离散时空场与学习目标</w:t>
      </w:r>
    </w:p>
    <w:p>
      <w:pPr>
        <w:pStyle w:val="Formula"/>
      </w:pPr>
      <w:r>
        <w:t xml:space="preserve">设空间域</w:t>
      </w:r>
      <w:r>
        <w:t xml:space="preserve"> </w:t>
      </w:r>
      <m:oMath>
        <m:r>
          <m:t>Ω</m:t>
        </m:r>
        <m:r>
          <m:rPr>
            <m:sty m:val="p"/>
          </m:rPr>
          <m:t>⊂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</m:sup>
        </m:sSup>
      </m:oMath>
      <w:r>
        <w:t xml:space="preserve">，离散网格为</w:t>
      </w:r>
      <w:r>
        <w:t xml:space="preserve"> </w:t>
      </w:r>
      <m:oMath>
        <m:sSub>
          <m:e>
            <m:r>
              <m:t>Ω</m:t>
            </m:r>
          </m:e>
          <m:sub>
            <m:r>
              <m:t>h</m:t>
            </m:r>
          </m:sub>
        </m:sSub>
      </m:oMath>
      <w:r>
        <w:t xml:space="preserve">，网格分辨率为</w:t>
      </w:r>
      <w:r>
        <w:t xml:space="preserve"> </w:t>
      </w:r>
      <m:oMath>
        <m:sSub>
          <m:e>
            <m:r>
              <m:t>N</m:t>
            </m:r>
          </m:e>
          <m:sub>
            <m:r>
              <m:t>x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y</m:t>
            </m:r>
          </m:sub>
        </m:sSub>
      </m:oMath>
      <w:r>
        <w:t xml:space="preserve">。离散时间索引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}</m:t>
        </m:r>
      </m:oMath>
      <w:r>
        <w:t xml:space="preserve">。目标物理场为标量或多通道张量场：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:</m:t>
          </m:r>
          <m:sSub>
            <m:e>
              <m:r>
                <m:t>Ω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→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sSubSup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ormula"/>
      </w:pPr>
      <w:r>
        <w:t xml:space="preserve">观测由观测算子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与噪声项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生成：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sSubSup>
            <m:e>
              <m:r>
                <m:rPr>
                  <m:sty m:val="p"/>
                </m:rPr>
                <m:t>}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ormula"/>
      </w:pPr>
      <w:r>
        <w:t xml:space="preserve">学习映射</w:t>
      </w:r>
      <w:r>
        <w:t xml:space="preserve"> </w:t>
      </w:r>
      <m:oMath>
        <m:sSub>
          <m:e>
            <m:r>
              <m:t>Φ</m:t>
            </m:r>
          </m:e>
          <m:sub>
            <m:r>
              <m:t>ω</m:t>
            </m:r>
          </m:sub>
        </m:sSub>
      </m:oMath>
      <w:r>
        <w:t xml:space="preserve">（参数为</w:t>
      </w:r>
      <w:r>
        <w:t xml:space="preserve"> </w:t>
      </w:r>
      <m:oMath>
        <m:r>
          <m:t>ω</m:t>
        </m:r>
      </m:oMath>
      <w:r>
        <w:t xml:space="preserve">），从观测序列与辅助信息恢复全场：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t>ω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p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其中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为观测掩码（观测位置/缺失区域指示），</w:t>
      </w:r>
      <m:oMath>
        <m:r>
          <m:t>p</m:t>
        </m:r>
      </m:oMath>
      <w:r>
        <w:t xml:space="preserve"> </w:t>
      </w:r>
      <w:r>
        <w:t xml:space="preserve">为显式坐标编码（可包含 Fourier 特征）。</w:t>
      </w:r>
    </w:p>
    <w:bookmarkEnd w:id="23"/>
    <w:bookmarkStart w:id="24" w:name="两类误差口径重建域误差与观测口径误差"/>
    <w:p>
      <w:pPr>
        <w:pStyle w:val="3"/>
      </w:pPr>
      <w:r>
        <w:t xml:space="preserve">3.1.2 两类误差口径：重建域误差与观测口径误差</w:t>
      </w:r>
    </w:p>
    <w:p>
      <w:pPr>
        <w:pStyle w:val="11"/>
      </w:pPr>
      <w:r>
        <w:t xml:space="preserve">为避免“训练指标改善但评测口径不降”的断裂，本研究同时报告两类误差：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重建域误差（逼近真值）</w:t>
      </w:r>
      <w:r>
        <w:t xml:space="preserve">：如 Rel-L2、MAE 等。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nor/>
              <m:sty m:val="p"/>
            </m:rPr>
            <m:t>-</m:t>
          </m:r>
          <m:r>
            <m:rPr>
              <m:sty m:val="p"/>
            </m:rPr>
            <m:t>L</m:t>
          </m:r>
          <m:r>
            <m:rPr>
              <m:sty m:val="p"/>
            </m:rPr>
            <m:t>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acc>
                <m:accPr>
                  <m:chr m:val="̂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−</m:t>
              </m:r>
              <m:r>
                <m:t>u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∥</m:t>
              </m:r>
              <m:r>
                <m:t>u</m:t>
              </m:r>
              <m:sSub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观测口径误差（口径一致性）</w:t>
      </w:r>
      <w:r>
        <w:t xml:space="preserve">：将预测回到原值域后再施加</w:t>
      </w:r>
      <w:r>
        <w:t xml:space="preserve"> </w:t>
      </w:r>
      <m:oMath>
        <m:r>
          <m:t>H</m:t>
        </m:r>
      </m:oMath>
      <w:r>
        <w:t xml:space="preserve">，与观测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比较：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≜</m:t>
          </m:r>
          <m:r>
            <m:rPr>
              <m:sty m:val="p"/>
            </m:rPr>
            <m:t>∥</m:t>
          </m:r>
          <m:r>
            <m:t>H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rPr>
              <m:sty m:val="p"/>
            </m:rPr>
            <m:t>−</m:t>
          </m:r>
          <m:r>
            <m:t>y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其中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为反标准化后的预测（见 3.5.1）。</w:t>
      </w:r>
    </w:p>
    <w:p>
      <w:pPr>
        <w:pStyle w:val="11"/>
      </w:pPr>
      <w:r>
        <w:t xml:space="preserve">解释性要点：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nor/>
            <m:sty m:val="p"/>
          </m:rPr>
          <m:t>-</m:t>
        </m:r>
        <m:r>
          <m:rPr>
            <m:sty m:val="p"/>
          </m:rPr>
          <m:t>L</m:t>
        </m:r>
        <m:r>
          <m:rPr>
            <m:sty m:val="p"/>
          </m:rPr>
          <m:t>2</m:t>
        </m:r>
      </m:oMath>
      <w:r>
        <w:t xml:space="preserve"> </w:t>
      </w:r>
      <w:r>
        <w:t xml:space="preserve">衡量“数学意义上接近真值”的程度；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衡量“观测意义上与真实测量口径一致”的程度。两者同步下降，才对应可部署的工程改进。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统一观测算子-h抗混叠插值边界与对齐的口径声明"/>
    <w:p>
      <w:pPr>
        <w:pStyle w:val="2"/>
      </w:pPr>
      <w:r>
        <w:t xml:space="preserve">3.2 统一观测算子</w:t>
      </w:r>
      <w:r>
        <w:t xml:space="preserve"> </w:t>
      </w:r>
      <m:oMath>
        <m:r>
          <m:t>H</m:t>
        </m:r>
      </m:oMath>
      <w:r>
        <w:t xml:space="preserve">：抗混叠、插值、边界与对齐的口径声明</w:t>
      </w:r>
    </w:p>
    <w:p>
      <w:pPr>
        <w:pStyle w:val="11"/>
      </w:pPr>
      <w:r>
        <w:t xml:space="preserve">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不仅决定“观测长什么样”，还决定“评测如何裁判”。因此，本研究把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视为</w:t>
      </w:r>
      <w:r>
        <w:rPr>
          <w:bCs/>
          <w:b/>
        </w:rPr>
        <w:t xml:space="preserve">唯一口径入口</w:t>
      </w:r>
      <w:r>
        <w:t xml:space="preserve">：数据生成、训练退化、一致性损失与测试评测均从同一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实现出发。</w:t>
      </w:r>
    </w:p>
    <w:bookmarkStart w:id="26" w:name="sr下采样观测口径先低通再缩小"/>
    <w:p>
      <w:pPr>
        <w:pStyle w:val="3"/>
      </w:pPr>
      <w:r>
        <w:t xml:space="preserve">3.2.1 SR（下采样）观测口径：先低通、再缩小</w:t>
      </w:r>
    </w:p>
    <w:p>
      <w:pPr>
        <w:pStyle w:val="11"/>
      </w:pPr>
      <w:r>
        <w:t xml:space="preserve">对超分辨/降采样观测，抗混叠的工程流程为“先低通、再缩小”。OpenCV 的官方教程明确给出经验性建议：缩小时优先使用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，放大时常用</w:t>
      </w:r>
      <w:r>
        <w:t xml:space="preserve"> </w:t>
      </w:r>
      <w:r>
        <w:rPr>
          <w:rStyle w:val="VerbatimChar"/>
        </w:rPr>
        <w:t xml:space="preserve">INTER_CUBIC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INTER_LINEAR</w:t>
      </w:r>
      <w:r>
        <w:t xml:space="preserve">。:contentReference</w:t>
      </w:r>
      <w:r>
        <w:t xml:space="preserve">oaicite:0</w:t>
      </w:r>
    </w:p>
    <w:p>
      <w:pPr>
        <w:pStyle w:val="Formula"/>
      </w:pPr>
      <w:r>
        <w:t xml:space="preserve">本文将 SR 观测口径写为：</w:t>
      </w:r>
    </w:p>
    <w:p>
      <w:pPr>
        <w:pStyle w:val="Formula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R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s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sSub>
                    <m:e>
                      <m:r>
                        <m:t>σ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u</m:t>
                      </m:r>
                      <m:r>
                        <m:rPr>
                          <m:sty m:val="p"/>
                        </m:rPr>
                        <m:t>r</m:t>
                      </m:r>
                    </m:sub>
                  </m:sSub>
                </m:sub>
              </m:sSub>
              <m:r>
                <m:rPr>
                  <m:sty m:val="p"/>
                </m:rPr>
                <m:t>*</m:t>
              </m:r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11"/>
      </w:pPr>
      <w:r>
        <w:t xml:space="preserve">其中</w:t>
      </w:r>
      <w:r>
        <w:t xml:space="preserve"> </w:t>
      </w:r>
      <m:oMath>
        <m:sSub>
          <m:e>
            <m:r>
              <m:t>G</m:t>
            </m:r>
          </m:e>
          <m:sub>
            <m:sSub>
              <m:e>
                <m:r>
                  <m:t>σ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r</m:t>
                </m:r>
              </m:sub>
            </m:sSub>
          </m:sub>
        </m:sSub>
      </m:oMath>
      <w:r>
        <w:t xml:space="preserve"> </w:t>
      </w:r>
      <w:r>
        <w:t xml:space="preserve">为高斯低通核，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为模糊尺度，</w:t>
      </w:r>
      <m:oMath>
        <m:sSub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为倍率为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的缩小算子（实现时使用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 </w:t>
      </w:r>
      <w:r>
        <w:t xml:space="preserve">作为默认缩小插值）。:contentReference</w:t>
      </w:r>
      <w:r>
        <w:t xml:space="preserve">oaicite:1</w:t>
      </w:r>
    </w:p>
    <w:p>
      <w:pPr>
        <w:pStyle w:val="11"/>
      </w:pPr>
      <w:r>
        <w:rPr>
          <w:bCs/>
          <w:b/>
        </w:rPr>
        <w:t xml:space="preserve">必须显式声明并写入配置（论文与 YAML 同步）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预滤核：核大小</w:t>
      </w:r>
      <w:r>
        <w:t xml:space="preserve"> </w:t>
      </w:r>
      <m:oMath>
        <m:r>
          <m:t>k</m:t>
        </m:r>
      </m:oMath>
      <w:r>
        <w:t xml:space="preserve">、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</m:oMath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插值策略：缩小使用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；:contentReference</w:t>
      </w:r>
      <w:r>
        <w:t xml:space="preserve">oaicite:2</w:t>
      </w:r>
    </w:p>
    <w:p>
      <w:pPr>
        <w:numPr>
          <w:ilvl w:val="0"/>
          <w:numId w:val="1003"/>
        </w:numPr>
        <w:pStyle w:val="Compact"/>
      </w:pPr>
      <w:r>
        <w:t xml:space="preserve">边界策略：</w:t>
      </w:r>
      <w:r>
        <w:rPr>
          <w:rStyle w:val="VerbatimChar"/>
        </w:rPr>
        <w:t xml:space="preserve">reflect/replicate/wrap/constant</w:t>
      </w:r>
      <w:r>
        <w:t xml:space="preserve">；</w:t>
      </w:r>
    </w:p>
    <w:p>
      <w:pPr>
        <w:numPr>
          <w:ilvl w:val="0"/>
          <w:numId w:val="1003"/>
        </w:numPr>
        <w:pStyle w:val="Compact"/>
      </w:pPr>
      <w:r>
        <w:t xml:space="preserve">对齐策略：缩小前后坐标对齐（如是否</w:t>
      </w:r>
      <w:r>
        <w:t xml:space="preserve"> </w:t>
      </w:r>
      <w:r>
        <w:rPr>
          <w:rStyle w:val="VerbatimChar"/>
        </w:rPr>
        <w:t xml:space="preserve">align_corners</w:t>
      </w:r>
      <w:r>
        <w:t xml:space="preserve"> </w:t>
      </w:r>
      <w:r>
        <w:t xml:space="preserve">等价语义）；</w:t>
      </w:r>
    </w:p>
    <w:p>
      <w:pPr>
        <w:numPr>
          <w:ilvl w:val="0"/>
          <w:numId w:val="1003"/>
        </w:numPr>
        <w:pStyle w:val="Compact"/>
      </w:pPr>
      <w:r>
        <w:t xml:space="preserve">噪声模型：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的分布、强度与是否逐通道。</w:t>
      </w:r>
    </w:p>
    <w:p>
      <w:pPr>
        <w:pStyle w:val="11"/>
      </w:pPr>
      <w:r>
        <w:t xml:space="preserve">工程可追溯性：OpenCV 的</w:t>
      </w:r>
      <w:r>
        <w:t xml:space="preserve"> </w:t>
      </w:r>
      <w:r>
        <w:rPr>
          <w:rStyle w:val="VerbatimChar"/>
        </w:rPr>
        <w:t xml:space="preserve">GaussianBlur</w:t>
      </w:r>
      <w:r>
        <w:t xml:space="preserve"> </w:t>
      </w:r>
      <w:r>
        <w:t xml:space="preserve">在函数层面明确给出参数含义（如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、核大小、边界类型等），可作为“预滤实现细节”的可核验依据。:contentReference</w:t>
      </w:r>
      <w:r>
        <w:t xml:space="preserve">oaicite:3</w:t>
      </w:r>
    </w:p>
    <w:bookmarkEnd w:id="26"/>
    <w:bookmarkStart w:id="27" w:name="crop裁剪观测口径对齐规则与掩码同步"/>
    <w:p>
      <w:pPr>
        <w:pStyle w:val="3"/>
      </w:pPr>
      <w:r>
        <w:t xml:space="preserve">3.2.2 Crop（裁剪）观测口径：对齐规则与掩码同步</w:t>
      </w:r>
    </w:p>
    <w:p>
      <w:pPr>
        <w:pStyle w:val="Formula"/>
      </w:pPr>
      <w:r>
        <w:t xml:space="preserve">裁剪观测可写为：</w:t>
      </w:r>
    </w:p>
    <w:p>
      <w:pPr>
        <w:pStyle w:val="Formula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其中</w:t>
      </w:r>
      <w:r>
        <w:t xml:space="preserve"> </w:t>
      </w:r>
      <m:oMath>
        <m:sSub>
          <m:e>
            <m:r>
              <m:t>C</m:t>
            </m:r>
          </m:e>
          <m:sub>
            <m:sSub>
              <m:e>
                <m:r>
                  <m:t>h</m:t>
                </m:r>
              </m:e>
              <m:sub>
                <m:r>
                  <m:t>c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sub>
        </m:sSub>
      </m:oMath>
      <w:r>
        <w:t xml:space="preserve"> </w:t>
      </w:r>
      <w:r>
        <w:t xml:space="preserve">为裁剪算子（常用中心对齐裁剪）。</w:t>
      </w:r>
    </w:p>
    <w:p>
      <w:pPr>
        <w:pStyle w:val="11"/>
      </w:pPr>
      <w:r>
        <w:t xml:space="preserve">裁剪任务的口径风险集中在“对齐偏移”和“掩码是否同步更新”。因此本文要求：</w:t>
      </w:r>
    </w:p>
    <w:p>
      <w:pPr>
        <w:numPr>
          <w:ilvl w:val="0"/>
          <w:numId w:val="1004"/>
        </w:numPr>
        <w:pStyle w:val="Compact"/>
      </w:pPr>
      <w:r>
        <w:t xml:space="preserve">裁剪窗口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</m:oMath>
      </m:oMathPara>
    </w:p>
    <w:p>
      <w:pPr>
        <w:numPr>
          <w:ilvl w:val="0"/>
          <w:numId w:val="1000"/>
        </w:numPr>
        <w:pStyle w:val="Compact"/>
      </w:pPr>
      <w:r>
        <w:t xml:space="preserve">与网络 patch/stride 的整倍数约束显式记录；</w:t>
      </w:r>
    </w:p>
    <w:p>
      <w:pPr>
        <w:numPr>
          <w:ilvl w:val="0"/>
          <w:numId w:val="1004"/>
        </w:numPr>
        <w:pStyle w:val="Compact"/>
      </w:pPr>
      <w:r>
        <w:t xml:space="preserve">采用中心对齐时，中心点与像素网格的定义方式（偶数尺寸时的偏移规则）需要固定；</w:t>
      </w:r>
    </w:p>
    <w:p>
      <w:pPr>
        <w:numPr>
          <w:ilvl w:val="0"/>
          <w:numId w:val="1004"/>
        </w:numPr>
        <w:pStyle w:val="Compact"/>
      </w:pPr>
      <w:r>
        <w:t xml:space="preserve">裁剪同时更新掩码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：否则输入与标签不在同一几何口径上，指标不可比。</w:t>
      </w:r>
    </w:p>
    <w:bookmarkEnd w:id="27"/>
    <w:bookmarkStart w:id="28" w:name="点采样稀疏传感器观测可选扩展口径"/>
    <w:p>
      <w:pPr>
        <w:pStyle w:val="3"/>
      </w:pPr>
      <w:r>
        <w:t xml:space="preserve">3.2.3 点采样/稀疏传感器观测（可选扩展口径）</w:t>
      </w:r>
    </w:p>
    <w:p>
      <w:pPr>
        <w:pStyle w:val="Formula"/>
      </w:pPr>
      <w:r>
        <w:t xml:space="preserve">当观测来自稀疏点集（传感器阵列/探针），可将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写为“采样矩阵/插值到点集”的组合：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Π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ormula"/>
      </w:pPr>
      <w:r>
        <w:t xml:space="preserve">其中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为从网格场到连续场的插值（或从连续场到点的投影），</w:t>
      </w:r>
      <m:oMath>
        <m:r>
          <m:t>S</m:t>
        </m:r>
      </m:oMath>
      <w:r>
        <w:t xml:space="preserve"> </w:t>
      </w:r>
      <w:r>
        <w:t xml:space="preserve">为点采样算子。该形式为后续将“真实传感器口径”纳入统一框架提供接口（本研究如暂不涉及真实点集部署，可在实验章作为扩展讨论）。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hdc-单一口径复用从原则到硬约束与阻断式审计"/>
    <w:p>
      <w:pPr>
        <w:pStyle w:val="2"/>
      </w:pPr>
      <w:r>
        <w:t xml:space="preserve">3.3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D</m:t>
        </m:r>
        <m:r>
          <m:t>C</m:t>
        </m:r>
      </m:oMath>
      <w:r>
        <w:t xml:space="preserve"> </w:t>
      </w:r>
      <w:r>
        <w:t xml:space="preserve">单一口径复用：从原则到硬约束与阻断式审计</w:t>
      </w:r>
    </w:p>
    <w:bookmarkStart w:id="30" w:name="硬约束定义"/>
    <w:p>
      <w:pPr>
        <w:pStyle w:val="3"/>
      </w:pPr>
      <w:r>
        <w:t xml:space="preserve">3.3.1 硬约束定义</w:t>
      </w:r>
    </w:p>
    <w:p>
      <w:pPr>
        <w:pStyle w:val="Formula"/>
      </w:pPr>
      <w:r>
        <w:t xml:space="preserve">训练侧退化算子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用于（1）合成训练输入；（2）构建一致性损失。本文采用硬约束：</w:t>
      </w:r>
    </w:p>
    <w:p>
      <w:pPr>
        <w:pStyle w:val="Formula"/>
      </w:pPr>
      <m:oMathPara>
        <m:oMathParaPr>
          <m:jc m:val="center"/>
        </m:oMathParaPr>
        <m:oMath>
          <m:r>
            <m:t>D</m:t>
          </m:r>
          <m:r>
            <m:t>C</m:t>
          </m:r>
          <m:r>
            <m:rPr>
              <m:sty m:val="p"/>
            </m:rPr>
            <m:t>≡</m:t>
          </m:r>
          <m:r>
            <m:t>H</m:t>
          </m:r>
          <m:r>
            <m:t> </m:t>
          </m:r>
          <m:r>
            <m:rPr>
              <m:nor/>
              <m:sty m:val="p"/>
            </m:rPr>
            <m:t>（同一实现、同一参数、同一边界与对齐策略）</m:t>
          </m:r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该约束的目标是消除“训练端自造口径”带来的隐性域偏差，使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不再成为测试阶段才出现的系统性误差。</w:t>
      </w:r>
    </w:p>
    <w:bookmarkEnd w:id="30"/>
    <w:bookmarkStart w:id="31" w:name="阻断式等价性审计不通过即终止实验统计"/>
    <w:p>
      <w:pPr>
        <w:pStyle w:val="3"/>
      </w:pPr>
      <w:r>
        <w:t xml:space="preserve">3.3.2 阻断式等价性审计（不通过即终止实验统计）</w:t>
      </w:r>
    </w:p>
    <w:p>
      <w:pPr>
        <w:pStyle w:val="11"/>
      </w:pPr>
      <w:r>
        <w:t xml:space="preserve">为保证“口径一致性”从口号变为可执行证据，本研究在工程流程中加入阻断式审计：</w:t>
      </w:r>
    </w:p>
    <w:p>
      <w:pPr>
        <w:numPr>
          <w:ilvl w:val="0"/>
          <w:numId w:val="1005"/>
        </w:numPr>
        <w:pStyle w:val="Compact"/>
      </w:pPr>
      <w:r>
        <w:t xml:space="preserve">抽样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100</m:t>
        </m:r>
      </m:oMath>
      <w:r>
        <w:t xml:space="preserve"> </w:t>
      </w:r>
      <w:r>
        <w:t xml:space="preserve">个样本</w:t>
      </w:r>
      <w:r>
        <w:t xml:space="preserve"> </w:t>
      </w:r>
      <m:oMath>
        <m:sSup>
          <m:e>
            <m:r>
              <m:t>u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i</m:t>
                </m:r>
              </m:e>
            </m:d>
          </m:sup>
        </m:sSup>
      </m:oMath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t xml:space="preserve">计算 $y</w:t>
      </w:r>
      <w:r>
        <w:rPr>
          <w:vertAlign w:val="superscript"/>
        </w:rPr>
        <w:t xml:space="preserve">{(i)}=H(u</w:t>
      </w:r>
      <w:r>
        <w:t xml:space="preserve">{(i)})；</w:t>
      </w:r>
    </w:p>
    <w:p>
      <w:pPr>
        <w:numPr>
          <w:ilvl w:val="0"/>
          <w:numId w:val="1005"/>
        </w:numPr>
        <w:pStyle w:val="Compact"/>
      </w:pPr>
      <w:r>
        <w:t xml:space="preserve">计算 $DC(u^{(i)})；</w:t>
      </w:r>
    </w:p>
    <w:p>
      <w:pPr>
        <w:numPr>
          <w:ilvl w:val="0"/>
          <w:numId w:val="1005"/>
        </w:numPr>
        <w:pStyle w:val="Compact"/>
      </w:pPr>
      <w:r>
        <w:t xml:space="preserve">验证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p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r>
                <m:t>D</m:t>
              </m:r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sup>
                  </m:sSup>
                </m:e>
              </m:d>
            </m:e>
          </m:d>
          <m:r>
            <m:rPr>
              <m:sty m:val="p"/>
            </m:rPr>
            <m:t>&lt;</m:t>
          </m:r>
          <m:r>
            <m:t>ε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其中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默认取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（浮点实现下可根据 dtype 放宽到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）；</w:t>
      </w:r>
    </w:p>
    <w:p>
      <w:pPr>
        <w:numPr>
          <w:ilvl w:val="0"/>
          <w:numId w:val="1005"/>
        </w:numPr>
        <w:pStyle w:val="Compact"/>
      </w:pPr>
      <w:r>
        <w:t xml:space="preserve">失败则输出差异来源（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s</m:t>
        </m:r>
      </m:oMath>
      <w:r>
        <w:t xml:space="preserve">、插值、边界、对齐）并归档到</w:t>
      </w:r>
      <w:r>
        <w:t xml:space="preserve"> </w:t>
      </w:r>
      <w:r>
        <w:rPr>
          <w:rStyle w:val="VerbatimChar"/>
        </w:rPr>
        <w:t xml:space="preserve">runs/&lt;exp&gt;/consistency_report.json</w:t>
      </w:r>
      <w:r>
        <w:t xml:space="preserve">。</w:t>
      </w:r>
    </w:p>
    <w:p>
      <w:pPr>
        <w:pStyle w:val="11"/>
      </w:pPr>
      <w:r>
        <w:t xml:space="preserve">建议写法：在论文中给出“审计失败样例 + 差异热力图 + 配置差异 diff”，用于支撑“训练/评测断裂会造成指标断裂”的论证力度。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模型架构统一接口时空耦合与可替换算子层"/>
    <w:p>
      <w:pPr>
        <w:pStyle w:val="2"/>
      </w:pPr>
      <w:r>
        <w:t xml:space="preserve">3.4 模型架构：统一接口、时空耦合与可替换算子层</w:t>
      </w:r>
    </w:p>
    <w:p>
      <w:pPr>
        <w:pStyle w:val="11"/>
      </w:pPr>
      <w:r>
        <w:t xml:space="preserve">本研究不把贡献限定为某个特定网络，而把网络视为“可替换模块”。为保证对比实验可审计，先定义统一输入/输出接口，再讨论可替换结构族。</w:t>
      </w:r>
    </w:p>
    <w:bookmarkStart w:id="33" w:name="统一输入打包接口契约"/>
    <w:p>
      <w:pPr>
        <w:pStyle w:val="3"/>
      </w:pPr>
      <w:r>
        <w:t xml:space="preserve">3.4.1 统一输入打包（接口契约）</w:t>
      </w:r>
    </w:p>
    <w:p>
      <w:pPr>
        <w:pStyle w:val="Formula"/>
      </w:pPr>
      <w:r>
        <w:t xml:space="preserve">对单帧输入，按通道拼接：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baseline</w:t>
      </w:r>
      <w:r>
        <w:t xml:space="preserve">：如双线性上采样或简单插值，提供稳定的初始解；</w:t>
      </w:r>
    </w:p>
    <w:p>
      <w:pPr>
        <w:numPr>
          <w:ilvl w:val="0"/>
          <w:numId w:val="1006"/>
        </w:numPr>
        <w:pStyle w:val="Compact"/>
      </w:pP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：掩码（观测位置/缺失区域）；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coords</w:t>
      </w:r>
      <w:r>
        <w:t xml:space="preserve">：归一化坐标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；</w:t>
      </w:r>
    </w:p>
    <w:p>
      <w:pPr>
        <w:numPr>
          <w:ilvl w:val="0"/>
          <w:numId w:val="1006"/>
        </w:numPr>
        <w:pStyle w:val="Compact"/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</m:sub>
        </m:sSub>
      </m:oMath>
      <w:r>
        <w:t xml:space="preserve">：Fourier 特征，提升高频表达能力。Fourier 特征的经典结果表明：将输入映射到随机 Fourier 特征空间可显著改善网络对高频函数的学习能力。:contentReference</w:t>
      </w:r>
      <w:r>
        <w:t xml:space="preserve">oaicite:4</w:t>
      </w:r>
    </w:p>
    <w:p>
      <w:pPr>
        <w:pStyle w:val="Formula"/>
      </w:pPr>
      <w:r>
        <w:t xml:space="preserve">统一模型签名：</w:t>
      </w:r>
    </w:p>
    <w:p>
      <w:pPr>
        <w:pStyle w:val="Formula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rPr>
              <m:sty m:val="p"/>
            </m:rPr>
            <m:t>o</m:t>
          </m:r>
          <m:r>
            <m:rPr>
              <m:sty m:val="p"/>
            </m:rPr>
            <m:t>r</m:t>
          </m:r>
          <m:r>
            <m:rPr>
              <m:sty m:val="p"/>
            </m:rPr>
            <m:t>w</m:t>
          </m:r>
          <m:r>
            <m:rPr>
              <m:sty m:val="p"/>
            </m:rPr>
            <m:t>a</m:t>
          </m:r>
          <m:r>
            <m:rPr>
              <m:sty m:val="p"/>
            </m:rPr>
            <m:t>r</m:t>
          </m:r>
          <m:r>
            <m:rPr>
              <m:sty m:val="p"/>
            </m:rPr>
            <m:t>d</m:t>
          </m:r>
          <m:r>
            <m:rPr>
              <m:sty m:val="p"/>
            </m:rPr>
            <m:t>: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t>y</m:t>
                  </m:r>
                </m:sub>
              </m:sSub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ty m:val="p"/>
                  <m:scr m:val="double-struck"/>
                </m:rPr>
                <m:t>R</m:t>
              </m:r>
            </m:e>
            <m:sup>
              <m:r>
                <m:t>B</m:t>
              </m:r>
              <m:r>
                <m:rPr>
                  <m:sty m:val="p"/>
                </m:rPr>
                <m:t>×</m:t>
              </m:r>
              <m:sSub>
                <m:e>
                  <m:r>
                    <m:t>C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N</m:t>
                  </m:r>
                </m:e>
                <m:sub>
                  <m:r>
                    <m:t>y</m:t>
                  </m:r>
                </m:sub>
              </m:sSub>
            </m:sup>
          </m:sSup>
          <m:r>
            <m:rPr>
              <m:sty m:val="p"/>
            </m:rPr>
            <m:t>.</m:t>
          </m:r>
        </m:oMath>
      </m:oMathPara>
    </w:p>
    <w:bookmarkEnd w:id="33"/>
    <w:bookmarkStart w:id="34" w:name="可替换结构族时空耦合的三种实现路径"/>
    <w:p>
      <w:pPr>
        <w:pStyle w:val="3"/>
      </w:pPr>
      <w:r>
        <w:t xml:space="preserve">3.4.2 可替换结构族：时空耦合的三种实现路径</w:t>
      </w:r>
    </w:p>
    <w:p>
      <w:pPr>
        <w:pStyle w:val="Formula"/>
      </w:pPr>
      <w:r>
        <w:rPr>
          <w:bCs/>
          <w:b/>
        </w:rPr>
        <w:t xml:space="preserve">路径 A：时序显式建模（autoregressive / seq2seq）</w:t>
      </w:r>
      <w:r>
        <w:br/>
      </w:r>
      <w:r>
        <w:t xml:space="preserve">将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</m:sub>
          </m:sSub>
        </m:oMath>
      </m:oMathPara>
    </w:p>
    <w:p>
      <w:pPr>
        <w:pStyle w:val="Formula"/>
      </w:pPr>
      <w:r>
        <w:t xml:space="preserve">映射到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t</m:t>
                  </m:r>
                </m:sub>
              </m:sSub>
            </m:sub>
          </m:sSub>
        </m:oMath>
      </m:oMathPara>
    </w:p>
    <w:p>
      <w:pPr>
        <w:pStyle w:val="Formula"/>
      </w:pPr>
      <w:r>
        <w:t xml:space="preserve">，适合长时滚动误差分析。</w:t>
      </w:r>
    </w:p>
    <w:p>
      <w:pPr>
        <w:pStyle w:val="11"/>
      </w:pPr>
      <w:r>
        <w:rPr>
          <w:bCs/>
          <w:b/>
        </w:rPr>
        <w:t xml:space="preserve">路径 B：把时间当作额外维度（3D 卷积/时空注意力）</w:t>
      </w:r>
      <w:r>
        <w:br/>
      </w:r>
      <w:r>
        <w:t xml:space="preserve">将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共同建模，适合短窗高质量重建。</w:t>
      </w:r>
    </w:p>
    <w:p>
      <w:pPr>
        <w:pStyle w:val="11"/>
      </w:pPr>
      <w:r>
        <w:rPr>
          <w:bCs/>
          <w:b/>
        </w:rPr>
        <w:t xml:space="preserve">路径 C：神经算子/算子层（operator block）</w:t>
      </w:r>
      <w:r>
        <w:br/>
      </w:r>
      <w:r>
        <w:t xml:space="preserve">神经算子强调学习函数空间之间的映射，并讨论离散化变化下的建模与泛化问题，可作为“跨分辨率/跨网格”讨论的结构基础。:contentReference</w:t>
      </w:r>
      <w:r>
        <w:t xml:space="preserve">oaicite:5</w:t>
      </w:r>
      <w:r>
        <w:br/>
      </w:r>
      <w:r>
        <w:t xml:space="preserve">在算子学习脉络中，DeepONet 通过 branch/trunk 的结构逼近算子映射，并在 Nature Machine Intelligence 论文中给出系统化论证。:contentReference</w:t>
      </w:r>
      <w:r>
        <w:t xml:space="preserve">oaicite:6</w:t>
      </w:r>
    </w:p>
    <w:p>
      <w:pPr>
        <w:pStyle w:val="11"/>
      </w:pPr>
      <w:r>
        <w:t xml:space="preserve">论文落笔建议：将算子层抽象为</w:t>
      </w:r>
      <w:r>
        <w:t xml:space="preserve"> </w:t>
      </w:r>
      <w:r>
        <w:rPr>
          <w:rStyle w:val="VerbatimChar"/>
        </w:rPr>
        <w:t xml:space="preserve">OperatorBlock</w:t>
      </w:r>
      <w:r>
        <w:t xml:space="preserve">，实验章中以“替换 block”方式对比（FNO-family / DeepONet-family / Conv-Attn hybrid），并同步报告资源四项（参数量、FLOPs、显存峰值、推理延迟）。</w:t>
      </w:r>
    </w:p>
    <w:bookmarkEnd w:id="34"/>
    <w:bookmarkStart w:id="38" w:name="分阶段时空顺序训练策略工程落地"/>
    <w:p>
      <w:pPr>
        <w:pStyle w:val="3"/>
      </w:pPr>
      <w:r>
        <w:t xml:space="preserve">3.4.4 分阶段时空顺序训练策略（工程落地）</w:t>
      </w:r>
    </w:p>
    <w:p>
      <w:pPr>
        <w:pStyle w:val="11"/>
      </w:pPr>
      <w:r>
        <w:t xml:space="preserve">针对时空耦合模型直接端到端训练收敛难、梯度不稳定的问题，本研究提出并实施了</w:t>
      </w:r>
      <w:r>
        <w:rPr>
          <w:bCs/>
          <w:b/>
        </w:rPr>
        <w:t xml:space="preserve">三阶段顺序训练策略（Sequential Training Strategy）</w:t>
      </w:r>
      <w:r>
        <w:t xml:space="preserve">，将空间重建与时序演化解耦学习：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阶段一：空间预训练（Spatial Pretraining）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目标</w:t>
      </w:r>
      <w:r>
        <w:t xml:space="preserve">：建立高质量的空间重建算子。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操作</w:t>
      </w:r>
      <w:r>
        <w:t xml:space="preserve">：冻结时序模块或仅实例化空间网络（如 SwinUNet、FNO），将时序输入视为独立批次（Batch），仅优化单帧空间重建损失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+</m:t>
        </m:r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  <w:r>
        <w:t xml:space="preserve">。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收益</w:t>
      </w:r>
      <w:r>
        <w:t xml:space="preserve">：确保模型首先具备从稀疏/低质观测恢复高频细节的能力，为时序模块提供可信特征。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阶段二：时序预训练（Temporal Pretraining）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目标</w:t>
      </w:r>
      <w:r>
        <w:t xml:space="preserve">：学习潜在空间的动力学演化。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操作</w:t>
      </w:r>
      <w:r>
        <w:t xml:space="preserve">：冻结已训练的空间编码器与解码器，仅训练时序演化模块（如 ARWrapper、LSTM、Transformer）。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策略</w:t>
      </w:r>
      <w:r>
        <w:t xml:space="preserve">：采用 Teacher Forcing 策略，输入真实历史特征，预测下一时刻特征。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阶段三：联合微调（Joint Fine-tuning）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目标</w:t>
      </w:r>
      <w:r>
        <w:t xml:space="preserve">：端到端协同优化，消除模块间适配误差。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操作</w:t>
      </w:r>
      <w:r>
        <w:t xml:space="preserve">：解冻所有参数，进行</w:t>
      </w:r>
      <w:r>
        <w:rPr>
          <w:bCs/>
          <w:b/>
        </w:rPr>
        <w:t xml:space="preserve">20步自回归（AR）滚动预测</w:t>
      </w:r>
      <w:r>
        <w:t xml:space="preserve">（20-step Autoregressive Rollout）。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课程学习</w:t>
      </w:r>
      <w:r>
        <w:t xml:space="preserve">：引入</w:t>
      </w:r>
      <w:r>
        <w:t xml:space="preserve"> </w:t>
      </w:r>
      <w:r>
        <w:rPr>
          <w:bCs/>
          <w:b/>
        </w:rPr>
        <w:t xml:space="preserve">Teacher Forcing Decay</w:t>
      </w:r>
      <w:r>
        <w:t xml:space="preserve">，训练初期高频使用真值引导，随 Epoch 增加逐步切换为完全自回归模式（使用前一步预测值），以缓解 Exposure Bias 并提升长时稳定性。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注</w:t>
      </w:r>
      <w:r>
        <w:t xml:space="preserve">：关于该序列化训练策略降低优化复杂度与缓解 Exposure Bias 的理论动机分析，请详见</w:t>
      </w:r>
      <w:r>
        <w:t xml:space="preserve"> </w:t>
      </w:r>
      <w:r>
        <w:rPr>
          <w:bCs/>
          <w:b/>
        </w:rPr>
        <w:t xml:space="preserve">第 4.5.5 节（序列化训练的课程学习视角）</w:t>
      </w:r>
      <w:r>
        <w:t xml:space="preserve">。</w:t>
      </w:r>
    </w:p>
    <w:p>
      <w:pPr>
        <w:pStyle w:val="11"/>
      </w:pPr>
      <w:r>
        <w:rPr>
          <w:bCs/>
          <w:b/>
        </w:rPr>
        <w:t xml:space="preserve">图 3-2：三阶段序列化训练策略流程图。</w:t>
      </w:r>
      <w:r>
        <w:t xml:space="preserve"> </w:t>
      </w:r>
      <w:r>
        <w:t xml:space="preserve">&gt; Stage 1 聚焦空间重建（时序冻结）；Stage 2 聚焦动力学演化（空间冻结）；Stage 3 进行联合微调与长时滚动预测。</w:t>
      </w:r>
    </w:p>
    <w:p>
      <w:pPr>
        <w:pStyle w:val="CaptionedFigure"/>
      </w:pPr>
      <w:r>
        <w:drawing>
          <wp:inline>
            <wp:extent cx="5753100" cy="511520"/>
            <wp:effectExtent b="0" l="0" r="0" t="0"/>
            <wp:docPr descr="图 3-2 序列化训练流程" title="" id="36" name="Picture"/>
            <a:graphic>
              <a:graphicData uri="http://schemas.openxmlformats.org/drawingml/2006/picture">
                <pic:pic>
                  <pic:nvPicPr>
                    <pic:cNvPr descr="figures/fig_3_2_sequential_trainin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11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3-2 序列化训练流程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9" w:name="三件套损失重建低频谱一致性原值域观测一致性"/>
    <w:p>
      <w:pPr>
        <w:pStyle w:val="2"/>
      </w:pPr>
      <w:r>
        <w:t xml:space="preserve">3.5 三件套损失：重建、低频谱一致性、原值域观测一致性</w:t>
      </w:r>
    </w:p>
    <w:bookmarkStart w:id="40" w:name="标准化域与原值域避免尺度口径偏差"/>
    <w:p>
      <w:pPr>
        <w:pStyle w:val="3"/>
      </w:pPr>
      <w:r>
        <w:t xml:space="preserve">3.5.1 标准化域与原值域：避免尺度口径偏差</w:t>
      </w:r>
    </w:p>
    <w:p>
      <w:pPr>
        <w:pStyle w:val="Formula"/>
      </w:pPr>
      <w:r>
        <w:t xml:space="preserve">逐通道 z-score 标准化：</w:t>
      </w:r>
    </w:p>
    <w:p>
      <w:pPr>
        <w:pStyle w:val="Formula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b>
                <m:e>
                  <m:r>
                    <m:t>σ</m:t>
                  </m:r>
                </m:e>
                <m:sub>
                  <m:r>
                    <m:t>z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sup>
          </m:sSup>
          <m:r>
            <m:rPr>
              <m:sty m:val="p"/>
            </m:rPr>
            <m:t>=</m:t>
          </m:r>
          <m:sSub>
            <m:e>
              <m:r>
                <m:t>Φ</m:t>
              </m:r>
            </m:e>
            <m:sub>
              <m:r>
                <m:t>ω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⋅</m:t>
              </m:r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sSub>
            <m:e>
              <m:r>
                <m:t>σ</m:t>
              </m:r>
            </m:e>
            <m:sub>
              <m:r>
                <m:t>z</m:t>
              </m:r>
            </m:sub>
          </m:sSub>
          <m:sSup>
            <m:e>
              <m:acc>
                <m:accPr>
                  <m:chr m:val="̂"/>
                </m:accPr>
                <m:e>
                  <m:r>
                    <m:t>u</m:t>
                  </m:r>
                </m:e>
              </m:acc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sup>
          </m:sSup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其中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用于计算与观测口径一致的损失与指标（因为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的实现通常定义在原值域或工程量纲域上）。</w:t>
      </w:r>
    </w:p>
    <w:bookmarkEnd w:id="40"/>
    <w:bookmarkStart w:id="41" w:name="重建损失-l_mathrmrec"/>
    <w:p>
      <w:pPr>
        <w:pStyle w:val="3"/>
      </w:pPr>
      <w:r>
        <w:t xml:space="preserve">3.5.2 重建损失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</w:p>
    <w:p>
      <w:pPr>
        <w:pStyle w:val="Formula"/>
      </w:pPr>
      <w:r>
        <w:t xml:space="preserve">在 z-score 域计算：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sSub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u</m:t>
                      </m:r>
                    </m:e>
                    <m:sup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sup>
                  </m:sSup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bookmarkEnd w:id="41"/>
    <w:bookmarkStart w:id="42" w:name="低频谱一致性损失-l_mathrmspec"/>
    <w:p>
      <w:pPr>
        <w:pStyle w:val="3"/>
      </w:pPr>
      <w:r>
        <w:t xml:space="preserve">3.5.3 低频谱一致性损失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</w:p>
    <w:p>
      <w:pPr>
        <w:pStyle w:val="Formula"/>
      </w:pPr>
      <w:r>
        <w:t xml:space="preserve">对二维 FFT，仅在低频集合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K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上约束：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k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u</m:t>
                                      </m:r>
                                    </m:e>
                                  </m:acc>
                                </m:e>
                                <m:sup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z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  <m:scr m:val="script"/>
                        </m:rPr>
                        <m:t>F</m:t>
                      </m:r>
                      <m:sSub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u</m:t>
                                  </m:r>
                                </m:e>
                                <m:sup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z</m:t>
                                      </m:r>
                                    </m:e>
                                  </m:d>
                                </m:sup>
                              </m:sSup>
                            </m:e>
                          </m:d>
                        </m:e>
                        <m:sub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k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  <m:scr m:val="script"/>
                </m:rPr>
                <m:t>K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  <m:r>
            <m:t> 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设置该项的工程动机是：低频结构往往对应大尺度主导形态（平均流、主涡、锋面/团簇），对下游任务（识别、控制、诊断）具有更稳定的意义；同时低频约束对抗“仅靠像素误差导致的结构漂移”。</w:t>
      </w:r>
    </w:p>
    <w:bookmarkEnd w:id="42"/>
    <w:bookmarkStart w:id="43" w:name="原值域观测一致性损失-l_mathrmdc"/>
    <w:p>
      <w:pPr>
        <w:pStyle w:val="3"/>
      </w:pPr>
      <w:r>
        <w:t xml:space="preserve">3.5.4 原值域观测一致性损失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</w:p>
    <w:p>
      <w:pPr>
        <w:pStyle w:val="Formula"/>
      </w:pPr>
      <w:r>
        <w:t xml:space="preserve">以统一口径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直接约束评测口径一致性：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=</m:t>
          </m:r>
          <m:sSub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11"/>
      </w:pPr>
      <w:r>
        <w:t xml:space="preserve">该项的关键在于：把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 </w:t>
      </w:r>
      <w:r>
        <w:t xml:space="preserve">内生到训练目标，从机制上削弱“训练域好看、评测口径失真”的风险。</w:t>
      </w:r>
    </w:p>
    <w:bookmarkEnd w:id="43"/>
    <w:bookmarkStart w:id="44" w:name="时序一致性正则化ar特化"/>
    <w:p>
      <w:pPr>
        <w:pStyle w:val="3"/>
      </w:pPr>
      <w:r>
        <w:t xml:space="preserve">3.5.5 时序一致性正则化（AR特化）</w:t>
      </w:r>
    </w:p>
    <w:p>
      <w:pPr>
        <w:pStyle w:val="11"/>
      </w:pPr>
      <w:r>
        <w:t xml:space="preserve">针对自回归（AR）长时预测中可能出现的误差累积与物理量漂移，本研究引入两项辅助正则化损失（权重由 Teacher Forcing Decay 动态调制）：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时序导数一致性（Derivative Consistency）</w:t>
      </w:r>
      <w:r>
        <w:t xml:space="preserve">：约束预测序列的时间差分与真值一致，强化动力学趋势捕捉。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</m:sub>
          </m:sSub>
          <m:r>
            <m:rPr>
              <m:sty m:val="p"/>
            </m:rPr>
            <m:t>=</m:t>
          </m:r>
          <m:sSubSup>
            <m:e>
              <m:d>
                <m:dPr>
                  <m:begChr m:val="∥"/>
                  <m:endChr m:val="∥"/>
                  <m:sepChr m:val="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t>t</m:t>
                      </m:r>
                    </m:sub>
                  </m:sSub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t>u</m:t>
                  </m:r>
                </m:e>
              </m:d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sSubSup>
                <m:e>
                  <m:d>
                    <m:dPr>
                      <m:begChr m:val="∥"/>
                      <m:endChr m:val="∥"/>
                      <m:sepChr m:val=""/>
                      <m:grow/>
                    </m:dP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u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u</m:t>
                                  </m:r>
                                </m:e>
                              </m:acc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t</m:t>
                              </m:r>
                            </m:sub>
                          </m:sSub>
                        </m:e>
                      </m:d>
                    </m:e>
                  </m:d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nary>
        </m:oMath>
      </m:oMathPara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能量演化一致性（Energy Consistency）</w:t>
      </w:r>
      <w:r>
        <w:t xml:space="preserve">：约束全场能量（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范数）的演化轨迹，防止长时预测中的能量耗散或爆炸。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y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∥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sSub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∥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</m:sSub>
                  <m:sSub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nary>
        </m:oMath>
      </m:oMathPara>
    </w:p>
    <w:p>
      <w:pPr>
        <w:pStyle w:val="11"/>
      </w:pPr>
      <w:r>
        <w:t xml:space="preserve">工程注记：这两项正则化通常在联合微调阶段随 Teacher Forcing 退出而逐步生效，作为“三件套”的补充。</w:t>
      </w:r>
    </w:p>
    <w:bookmarkEnd w:id="44"/>
    <w:bookmarkStart w:id="48" w:name="总损失与权重审计"/>
    <w:p>
      <w:pPr>
        <w:pStyle w:val="3"/>
      </w:pPr>
      <w:r>
        <w:t xml:space="preserve">3.5.6 总损失与权重审计</w:t>
      </w:r>
    </w:p>
    <w:p>
      <w:pPr>
        <w:pStyle w:val="Formula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sSub>
            <m:e>
              <m:r>
                <m:t>L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ormula"/>
      </w:pPr>
      <w:r>
        <w:t xml:space="preserve">权重</w:t>
      </w:r>
    </w:p>
    <w:p>
      <w:pPr>
        <w:pStyle w:val="Formula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c</m:t>
              </m:r>
            </m:sub>
          </m:sSub>
        </m:oMath>
      </m:oMathPara>
    </w:p>
    <w:p>
      <w:pPr>
        <w:pStyle w:val="Formula"/>
      </w:pPr>
      <w:r>
        <w:t xml:space="preserve">不采用“经验拍参”写法，而在实验章通过扫描表、效应量与显著性检验给出证据链（见 3.8 与第6章设置）。</w:t>
      </w:r>
    </w:p>
    <w:p>
      <w:pPr>
        <w:pStyle w:val="11"/>
      </w:pPr>
      <w:r>
        <w:rPr>
          <w:bCs/>
          <w:b/>
        </w:rPr>
        <w:t xml:space="preserve">图 3-3：三重一致性损失计算架构。</w:t>
      </w:r>
      <w:r>
        <w:t xml:space="preserve"> </w:t>
      </w:r>
      <w:r>
        <w:t xml:space="preserve">&gt; 清晰展示了 z-score 域的重建与谱损失，以及经过反标准化与退化算子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后在原值域计算的观测一致性损失</w:t>
      </w:r>
      <w:r>
        <w:t xml:space="preserve"> </w:t>
      </w:r>
      <m:oMath>
        <m:sSub>
          <m:e>
            <m:r>
              <m:t>L</m:t>
            </m:r>
          </m:e>
          <m:sub>
            <m:r>
              <m:t>d</m:t>
            </m:r>
            <m:r>
              <m:t>c</m:t>
            </m:r>
          </m:sub>
        </m:sSub>
      </m:oMath>
      <w:r>
        <w:t xml:space="preserve">。</w:t>
      </w:r>
    </w:p>
    <w:p>
      <w:pPr>
        <w:pStyle w:val="CaptionedFigure"/>
      </w:pPr>
      <w:r>
        <w:drawing>
          <wp:inline>
            <wp:extent cx="5753100" cy="2927372"/>
            <wp:effectExtent b="0" l="0" r="0" t="0"/>
            <wp:docPr descr="图 3-3 三重损失架构" title="" id="46" name="Picture"/>
            <a:graphic>
              <a:graphicData uri="http://schemas.openxmlformats.org/drawingml/2006/picture">
                <pic:pic>
                  <pic:nvPicPr>
                    <pic:cNvPr descr="figures/fig_3_3_triple_los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27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3-3 三重损失架构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训练确定性与复现闭环可执行证据要求"/>
    <w:p>
      <w:pPr>
        <w:pStyle w:val="2"/>
      </w:pPr>
      <w:r>
        <w:t xml:space="preserve">3.6 训练确定性与复现闭环（可执行证据要求）</w:t>
      </w:r>
    </w:p>
    <w:p>
      <w:pPr>
        <w:pStyle w:val="11"/>
      </w:pPr>
      <w:r>
        <w:t xml:space="preserve">为满足研究生论文对“可复核、可追溯”的要求，本研究将复现实验的关键要素固化为</w:t>
      </w:r>
      <w:r>
        <w:rPr>
          <w:bCs/>
          <w:b/>
        </w:rPr>
        <w:t xml:space="preserve">必须产物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t xml:space="preserve">配置快照：</w:t>
      </w:r>
      <w:r>
        <w:rPr>
          <w:rStyle w:val="VerbatimChar"/>
        </w:rPr>
        <w:t xml:space="preserve">runs/&lt;exp&gt;/config_merged.yaml</w:t>
      </w:r>
      <w:r>
        <w:t xml:space="preserve">；</w:t>
      </w:r>
    </w:p>
    <w:p>
      <w:pPr>
        <w:numPr>
          <w:ilvl w:val="0"/>
          <w:numId w:val="1012"/>
        </w:numPr>
        <w:pStyle w:val="Compact"/>
      </w:pPr>
      <w:r>
        <w:t xml:space="preserve">环境指纹：</w:t>
      </w:r>
      <w:r>
        <w:rPr>
          <w:rStyle w:val="VerbatimChar"/>
        </w:rPr>
        <w:t xml:space="preserve">runs/&lt;exp&gt;/env_fingerprint.json</w:t>
      </w:r>
      <w:r>
        <w:t xml:space="preserve">（CUDA/驱动、PyTorch、混合精度、确定性开关、随机种子等）；</w:t>
      </w:r>
    </w:p>
    <w:p>
      <w:pPr>
        <w:numPr>
          <w:ilvl w:val="0"/>
          <w:numId w:val="1012"/>
        </w:numPr>
        <w:pStyle w:val="Compact"/>
      </w:pPr>
      <w:r>
        <w:t xml:space="preserve">口径一致性审计：</w:t>
      </w:r>
      <w:r>
        <w:rPr>
          <w:rStyle w:val="VerbatimChar"/>
        </w:rPr>
        <w:t xml:space="preserve">runs/&lt;exp&gt;/consistency_report.json</w:t>
      </w:r>
      <w:r>
        <w:t xml:space="preserve">（H/DC 等价性检验）；</w:t>
      </w:r>
    </w:p>
    <w:p>
      <w:pPr>
        <w:numPr>
          <w:ilvl w:val="0"/>
          <w:numId w:val="1012"/>
        </w:numPr>
        <w:pStyle w:val="Compact"/>
      </w:pPr>
      <w:r>
        <w:t xml:space="preserve">训练曲线与指标主表：</w:t>
      </w:r>
      <w:r>
        <w:rPr>
          <w:rStyle w:val="VerbatimChar"/>
        </w:rPr>
        <w:t xml:space="preserve">runs/&lt;exp&gt;/metrics.csv</w:t>
      </w:r>
      <w:r>
        <w:t xml:space="preserve"> </w:t>
      </w:r>
      <w:r>
        <w:t xml:space="preserve">+ 可视化图；</w:t>
      </w:r>
    </w:p>
    <w:p>
      <w:pPr>
        <w:numPr>
          <w:ilvl w:val="0"/>
          <w:numId w:val="1012"/>
        </w:numPr>
        <w:pStyle w:val="Compact"/>
      </w:pPr>
      <w:r>
        <w:t xml:space="preserve">失败样例归档：</w:t>
      </w:r>
      <w:r>
        <w:rPr>
          <w:rStyle w:val="VerbatimChar"/>
        </w:rPr>
        <w:t xml:space="preserve">runs/&lt;exp&gt;/failure_cases/</w:t>
      </w:r>
      <w:r>
        <w:t xml:space="preserve">（边界伪影、振铃、相位漂移等类型化保存）。</w:t>
      </w:r>
    </w:p>
    <w:p>
      <w:pPr>
        <w:pStyle w:val="11"/>
      </w:pPr>
      <w:r>
        <w:t xml:space="preserve">论文写作建议：把“产物列表 + 文件树 + 每项产物用于回答的审稿问题”写成方法章的“可审计性小节”，通常比“口头承诺可复现”更有说服力。</w:t>
      </w:r>
    </w:p>
    <w:p>
      <w:r>
        <w:pict>
          <v:rect style="width:0;height:1.5pt" o:hralign="center" o:hrstd="t" o:hr="t"/>
        </w:pict>
      </w:r>
    </w:p>
    <w:bookmarkEnd w:id="50"/>
    <w:bookmarkStart w:id="54" w:name="研究设计对照消融敏感性与失败模式归档"/>
    <w:p>
      <w:pPr>
        <w:pStyle w:val="2"/>
      </w:pPr>
      <w:r>
        <w:t xml:space="preserve">3.7 研究设计：对照、消融、敏感性与失败模式归档</w:t>
      </w:r>
    </w:p>
    <w:bookmarkStart w:id="51" w:name="核心消融建议表-3-3"/>
    <w:p>
      <w:pPr>
        <w:pStyle w:val="3"/>
      </w:pPr>
      <w:r>
        <w:t xml:space="preserve">3.7.1 核心消融（建议表 3-3）</w:t>
      </w:r>
    </w:p>
    <w:p>
      <w:pPr>
        <w:numPr>
          <w:ilvl w:val="0"/>
          <w:numId w:val="1013"/>
        </w:numPr>
        <w:pStyle w:val="Compact"/>
      </w:pPr>
      <w:r>
        <w:t xml:space="preserve">A0：仅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</w:p>
    <w:p>
      <w:pPr>
        <w:numPr>
          <w:ilvl w:val="0"/>
          <w:numId w:val="1013"/>
        </w:numPr>
        <w:pStyle w:val="Compact"/>
      </w:pPr>
      <w:r>
        <w:t xml:space="preserve">A1：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d</m:t>
            </m:r>
            <m:r>
              <m:t>c</m:t>
            </m:r>
          </m:sub>
        </m:sSub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  <w:r>
        <w:t xml:space="preserve">（检验口径一致性约束贡献）</w:t>
      </w:r>
    </w:p>
    <w:p>
      <w:pPr>
        <w:numPr>
          <w:ilvl w:val="0"/>
          <w:numId w:val="1013"/>
        </w:numPr>
        <w:pStyle w:val="Compact"/>
      </w:pPr>
      <w:r>
        <w:t xml:space="preserve">A2：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t>s</m:t>
            </m:r>
          </m:sub>
        </m:sSub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（检验低频结构约束贡献）</w:t>
      </w:r>
    </w:p>
    <w:p>
      <w:pPr>
        <w:numPr>
          <w:ilvl w:val="0"/>
          <w:numId w:val="1013"/>
        </w:numPr>
        <w:pStyle w:val="Compact"/>
      </w:pPr>
      <w:r>
        <w:t xml:space="preserve">A3：三件套全开（主方法）</w:t>
      </w:r>
    </w:p>
    <w:bookmarkEnd w:id="51"/>
    <w:bookmarkStart w:id="52" w:name="敏感性分析建议表-3-4"/>
    <w:p>
      <w:pPr>
        <w:pStyle w:val="3"/>
      </w:pPr>
      <w:r>
        <w:t xml:space="preserve">3.7.2 敏感性分析（建议表 3-4）</w:t>
      </w:r>
    </w:p>
    <w:p>
      <w:pPr>
        <w:numPr>
          <w:ilvl w:val="0"/>
          <w:numId w:val="1014"/>
        </w:numPr>
        <w:pStyle w:val="Compact"/>
      </w:pPr>
      <w:r>
        <w:t xml:space="preserve">观测参数：</w:t>
      </w:r>
    </w:p>
    <w:p>
      <w:pPr>
        <w:pStyle w:val="Compac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,</m:t>
          </m:r>
          <m:r>
            <m:t>k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或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,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</m:oMath>
      </m:oMathPara>
    </w:p>
    <w:p>
      <w:pPr>
        <w:numPr>
          <w:ilvl w:val="0"/>
          <w:numId w:val="1000"/>
        </w:numPr>
        <w:pStyle w:val="Compact"/>
      </w:pPr>
      <w:r>
        <w:t xml:space="preserve">、边界策略；</w:t>
      </w:r>
    </w:p>
    <w:p>
      <w:pPr>
        <w:numPr>
          <w:ilvl w:val="0"/>
          <w:numId w:val="1014"/>
        </w:numPr>
        <w:pStyle w:val="Compact"/>
      </w:pPr>
      <w:r>
        <w:t xml:space="preserve">频域参数：低频阈值</w:t>
      </w:r>
      <w:r>
        <w:t xml:space="preserve"> </w:t>
      </w:r>
      <m:oMath>
        <m:r>
          <m:t>K</m:t>
        </m:r>
      </m:oMath>
      <w:r>
        <w:t xml:space="preserve">（建议 8–24 扫描）；</w:t>
      </w:r>
    </w:p>
    <w:p>
      <w:pPr>
        <w:numPr>
          <w:ilvl w:val="0"/>
          <w:numId w:val="1014"/>
        </w:numPr>
        <w:pStyle w:val="Compact"/>
      </w:pPr>
      <w:r>
        <w:t xml:space="preserve">编码参数：Fourier 特征维度与频带（可据 Fourier 特征论文设置范围）。:contentReference</w:t>
      </w:r>
      <w:r>
        <w:t xml:space="preserve">oaicite:7</w:t>
      </w:r>
    </w:p>
    <w:p>
      <w:pPr>
        <w:numPr>
          <w:ilvl w:val="0"/>
          <w:numId w:val="1014"/>
        </w:numPr>
        <w:pStyle w:val="Compact"/>
      </w:pPr>
      <w:r>
        <w:t xml:space="preserve">训练随机性：seed、batch size、梯度裁剪阈值等。</w:t>
      </w:r>
    </w:p>
    <w:bookmarkEnd w:id="52"/>
    <w:bookmarkStart w:id="53" w:name="失败模式类型化方法章-实验章双份证据"/>
    <w:p>
      <w:pPr>
        <w:pStyle w:val="3"/>
      </w:pPr>
      <w:r>
        <w:t xml:space="preserve">3.7.3 失败模式类型化（方法章 + 实验章双份证据）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边界伪影</w:t>
      </w:r>
      <w:r>
        <w:t xml:space="preserve">：边界策略不一致、掩码未同步更新；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相位漂移/时序漂移</w:t>
      </w:r>
      <w:r>
        <w:t xml:space="preserve">：时空耦合不足或谱约束缺失；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振铃/能量泄露</w:t>
      </w:r>
      <w:r>
        <w:t xml:space="preserve">：抗混叠不足或谱约束权重过强；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指标断裂</w:t>
      </w:r>
      <w:r>
        <w:t xml:space="preserve">：</w:t>
      </w:r>
      <m:oMath>
        <m:r>
          <m:t>H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D</m:t>
        </m:r>
        <m:r>
          <m:t>C</m:t>
        </m:r>
      </m:oMath>
      <w:r>
        <w:t xml:space="preserve"> </w:t>
      </w:r>
      <w:r>
        <w:t xml:space="preserve">未严格复用（由审计报告定位）。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统计检验显著性与效应量写作规范"/>
    <w:p>
      <w:pPr>
        <w:pStyle w:val="2"/>
      </w:pPr>
      <w:r>
        <w:t xml:space="preserve">3.8 统计检验：显著性与效应量（写作规范）</w:t>
      </w:r>
    </w:p>
    <w:p>
      <w:pPr>
        <w:pStyle w:val="11"/>
      </w:pPr>
      <w:r>
        <w:t xml:space="preserve">仅报告“单次最好结果”难以支撑稳健结论。本文建议在同一测试样本集合上进行多种子重复，并报告：</w:t>
      </w:r>
    </w:p>
    <w:p>
      <w:pPr>
        <w:numPr>
          <w:ilvl w:val="0"/>
          <w:numId w:val="1016"/>
        </w:numPr>
        <w:pStyle w:val="Compact"/>
      </w:pPr>
      <w:r>
        <w:t xml:space="preserve">配对设计的显著性检验（paired t-test）；</w:t>
      </w:r>
    </w:p>
    <w:p>
      <w:pPr>
        <w:numPr>
          <w:ilvl w:val="0"/>
          <w:numId w:val="1016"/>
        </w:numPr>
        <w:pStyle w:val="Compact"/>
      </w:pPr>
      <w:r>
        <w:t xml:space="preserve">配对设计的效应量（Cohen’s d 或其配对变体口径）。</w:t>
      </w:r>
    </w:p>
    <w:p>
      <w:pPr>
        <w:pStyle w:val="11"/>
      </w:pPr>
      <w:r>
        <w:t xml:space="preserve">效应量计算与报告规范可参考 Lakens 的实践指南，该文针对 t-test/ANOVA 的效应量报告给出可操作建议。:contentReference</w:t>
      </w:r>
      <w:r>
        <w:t xml:space="preserve">oaicite:8</w:t>
      </w:r>
    </w:p>
    <w:p>
      <w:r>
        <w:pict>
          <v:rect style="width:0;height:1.5pt" o:hralign="center" o:hrstd="t" o:hr="t"/>
        </w:pict>
      </w:r>
    </w:p>
    <w:bookmarkEnd w:id="55"/>
    <w:bookmarkStart w:id="56" w:name="与物理约束学习pinn-视角的关系与边界定位"/>
    <w:p>
      <w:pPr>
        <w:pStyle w:val="2"/>
      </w:pPr>
      <w:r>
        <w:t xml:space="preserve">3.9 与物理约束学习（PINN 视角）的关系与边界定位</w:t>
      </w:r>
    </w:p>
    <w:p>
      <w:pPr>
        <w:pStyle w:val="11"/>
      </w:pPr>
      <w:r>
        <w:t xml:space="preserve">PINN 通过 PDE 残差引入物理一致性，但在多尺度、混沌或湍流类动力系统上可能出现训练困难。相关研究从 NTK 视角解释了 PINN 的训练病理，并讨论了损失项收敛速率不一致等问题。:contentReference</w:t>
      </w:r>
      <w:r>
        <w:t xml:space="preserve">oaicite:9</w:t>
      </w:r>
      <w:r>
        <w:br/>
      </w:r>
      <w:r>
        <w:t xml:space="preserve">另外，因果结构约束被用于改善 PINN 在动态系统上的训练稳定性与长期预测表现。:contentReference</w:t>
      </w:r>
      <w:r>
        <w:t xml:space="preserve">oaicite:10</w:t>
      </w:r>
    </w:p>
    <w:p>
      <w:pPr>
        <w:pStyle w:val="11"/>
      </w:pPr>
      <w:r>
        <w:t xml:space="preserve">因此，本研究对 PINN 的定位为：</w:t>
      </w:r>
    </w:p>
    <w:p>
      <w:pPr>
        <w:numPr>
          <w:ilvl w:val="0"/>
          <w:numId w:val="1017"/>
        </w:numPr>
        <w:pStyle w:val="Compact"/>
      </w:pPr>
      <w:r>
        <w:t xml:space="preserve">PINN 残差项可作为可选正则或对照基线；</w:t>
      </w:r>
    </w:p>
    <w:p>
      <w:pPr>
        <w:numPr>
          <w:ilvl w:val="0"/>
          <w:numId w:val="1017"/>
        </w:numPr>
        <w:pStyle w:val="Compact"/>
      </w:pPr>
      <w:r>
        <w:t xml:space="preserve">主方法以“统一口径下的数据一致性（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c</m:t>
            </m:r>
          </m:sub>
        </m:sSub>
      </m:oMath>
      <w:r>
        <w:t xml:space="preserve">）+ 结构性谱约束（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</m:sub>
        </m:sSub>
      </m:oMath>
      <w:r>
        <w:t xml:space="preserve">）+ 可替换时空模型栈”为中心。</w:t>
      </w:r>
    </w:p>
    <w:p>
      <w:r>
        <w:pict>
          <v:rect style="width:0;height:1.5pt" o:hralign="center" o:hrstd="t" o:hr="t"/>
        </w:pict>
      </w:r>
    </w:p>
    <w:bookmarkEnd w:id="56"/>
    <w:bookmarkStart w:id="57" w:name="图表与表格建议可直接落地到论文"/>
    <w:p>
      <w:pPr>
        <w:pStyle w:val="2"/>
      </w:pPr>
      <w:r>
        <w:t xml:space="preserve">3.10 图表与表格建议（可直接落地到论文）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图 3-1（方法总流程图）</w:t>
      </w:r>
      <w:r>
        <w:t xml:space="preserve">：</w:t>
      </w:r>
      <m:oMath>
        <m:r>
          <m:t>u</m:t>
        </m:r>
        <m:r>
          <m:rPr>
            <m:sty m:val="p"/>
          </m:rPr>
          <m:t>→</m:t>
        </m:r>
        <m:r>
          <m:t>H</m:t>
        </m:r>
        <m:r>
          <m:rPr>
            <m:sty m:val="p"/>
          </m:rPr>
          <m:t>→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m</m:t>
            </m:r>
          </m:e>
        </m:d>
        <m:r>
          <m:rPr>
            <m:sty m:val="p"/>
          </m:rPr>
          <m:t>→</m:t>
        </m:r>
      </m:oMath>
      <w:r>
        <w:t xml:space="preserve"> </w:t>
      </w:r>
      <w:r>
        <w:t xml:space="preserve">输入打包</w:t>
      </w:r>
      <w:r>
        <w:t xml:space="preserve"> </w:t>
      </w:r>
      <m:oMath>
        <m:r>
          <m:rPr>
            <m:sty m:val="p"/>
          </m:rPr>
          <m:t>→</m:t>
        </m:r>
        <m:sSub>
          <m:e>
            <m:r>
              <m:t>Φ</m:t>
            </m:r>
          </m:e>
          <m:sub>
            <m:r>
              <m:t>ω</m:t>
            </m:r>
          </m:sub>
        </m:sSub>
        <m:r>
          <m:rPr>
            <m:sty m:val="p"/>
          </m:rPr>
          <m:t>→</m:t>
        </m:r>
        <m:acc>
          <m:accPr>
            <m:chr m:val="̂"/>
          </m:accPr>
          <m:e>
            <m:r>
              <m:t>u</m:t>
            </m:r>
          </m:e>
        </m:acc>
        <m:r>
          <m:rPr>
            <m:sty m:val="p"/>
          </m:rPr>
          <m:t>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→</m:t>
        </m:r>
      </m:oMath>
      <w:r>
        <w:t xml:space="preserve"> </w:t>
      </w:r>
      <w:r>
        <w:t xml:space="preserve">三件套损失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审计与统计产物。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表 3-1（符号表）</w:t>
      </w:r>
      <w:r>
        <w:t xml:space="preserve">：区分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r</m:t>
            </m:r>
          </m:sub>
        </m:sSub>
      </m:oMath>
      <w:r>
        <w:t xml:space="preserve">（预滤）与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（标准化），列出边界策略与对齐偏移。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表 3-2（观测口径参数表）</w:t>
      </w:r>
      <w:r>
        <w:t xml:space="preserve">：</w:t>
      </w:r>
    </w:p>
    <w:p>
      <w:pPr>
        <w:pStyle w:val="Compac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,</m:t>
          </m:r>
          <m:sSub>
            <m:e>
              <m:r>
                <m:t>σ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,</m:t>
          </m:r>
          <m:r>
            <m:t>s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、</w:t>
      </w:r>
      <w:r>
        <w:rPr>
          <w:rStyle w:val="VerbatimChar"/>
        </w:rPr>
        <w:t xml:space="preserve">INTER_AREA</w:t>
      </w:r>
      <w:r>
        <w:t xml:space="preserve">、边界策略、裁剪窗口与对齐规则。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表 3-3（消融设置）</w:t>
      </w:r>
      <w:r>
        <w:t xml:space="preserve">：A0–A3。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表 3-4（敏感性扫描表）</w:t>
      </w:r>
      <w:r>
        <w:t xml:space="preserve">：参数范围、步长、固定变量、输出指标、资源四项。</w:t>
      </w:r>
    </w:p>
    <w:p>
      <w:r>
        <w:pict>
          <v:rect style="width:0;height:1.5pt" o:hralign="center" o:hrstd="t" o:hr="t"/>
        </w:pict>
      </w:r>
    </w:p>
    <w:bookmarkEnd w:id="57"/>
    <w:bookmarkStart w:id="58" w:name="本章小结"/>
    <w:p>
      <w:pPr>
        <w:pStyle w:val="2"/>
      </w:pPr>
      <w:r>
        <w:t xml:space="preserve">3.11 本章小结</w:t>
      </w:r>
    </w:p>
    <w:p>
      <w:pPr>
        <w:pStyle w:val="11"/>
      </w:pPr>
      <w:r>
        <w:t xml:space="preserve">本章围绕“稀疏观测驱动的时空场重建”任务，给出以观测口径一致性为核心的可执行方法论：用统一观测算子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固化评测口径，并通过硬约束</w:t>
      </w:r>
      <w:r>
        <w:t xml:space="preserve"> </w:t>
      </w:r>
      <m:oMath>
        <m:r>
          <m:t>D</m:t>
        </m:r>
        <m:r>
          <m:t>C</m:t>
        </m:r>
        <m:r>
          <m:rPr>
            <m:sty m:val="p"/>
          </m:rPr>
          <m:t>≡</m:t>
        </m:r>
        <m:r>
          <m:t>H</m:t>
        </m:r>
      </m:oMath>
      <w:r>
        <w:t xml:space="preserve"> </w:t>
      </w:r>
      <w:r>
        <w:t xml:space="preserve">与阻断式等价性审计消除训练/评测断裂；在模型层面采用统一输入打包与可替换架构接口；在目标函数层面采用重建损失、低频谱一致性与原值域观测一致性三件套，直接优化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r</m:t>
            </m:r>
          </m:sub>
        </m:sSub>
      </m:oMath>
      <w:r>
        <w:t xml:space="preserve">；在实验规范层面固化配置快照、环境指纹与统计检验，为后续章节的严格评测与可复核讨论奠定基础。</w:t>
      </w:r>
    </w:p>
    <w:p>
      <w:r>
        <w:pict>
          <v:rect style="width:0;height:1.5pt" o:hralign="center" o:hrstd="t" o:hr="t"/>
        </w:pict>
      </w:r>
    </w:p>
    <w:bookmarkEnd w:id="58"/>
    <w:bookmarkStart w:id="59" w:name="本章参考文献apa建议全文统一-bibtexapa"/>
    <w:p>
      <w:pPr>
        <w:pStyle w:val="2"/>
      </w:pPr>
      <w:r>
        <w:t xml:space="preserve">本章参考文献（APA｜建议全文统一 BibTeX/APA）</w:t>
      </w:r>
    </w:p>
    <w:p>
      <w:pPr>
        <w:numPr>
          <w:ilvl w:val="0"/>
          <w:numId w:val="1019"/>
        </w:numPr>
        <w:pStyle w:val="Compact"/>
      </w:pPr>
      <w:r>
        <w:t xml:space="preserve">Lakens, D. (2013). Calculating and reporting effect sizes to facilitate cumulative science: A practical primer for t-tests and ANOVAs.</w:t>
      </w:r>
      <w:r>
        <w:t xml:space="preserve"> </w:t>
      </w:r>
      <w:r>
        <w:rPr>
          <w:iCs/>
          <w:i/>
        </w:rPr>
        <w:t xml:space="preserve">Frontiers in Psychology, 4</w:t>
      </w:r>
      <w:r>
        <w:t xml:space="preserve">, 863. doi:10.3389/fpsyg.2013.00863 :contentReference</w:t>
      </w:r>
      <w:r>
        <w:t xml:space="preserve">oaicite:11</w:t>
      </w:r>
    </w:p>
    <w:p>
      <w:pPr>
        <w:numPr>
          <w:ilvl w:val="0"/>
          <w:numId w:val="1019"/>
        </w:numPr>
        <w:pStyle w:val="Compact"/>
      </w:pPr>
      <w:r>
        <w:t xml:space="preserve">Lu, L., Jin, P., Pang, G., Zhang, Z., &amp; Karniadakis, G. E. (2021). Learning nonlinear operators via DeepONet based on the universal approximation theorem of operators.</w:t>
      </w:r>
      <w:r>
        <w:t xml:space="preserve"> </w:t>
      </w:r>
      <w:r>
        <w:rPr>
          <w:iCs/>
          <w:i/>
        </w:rPr>
        <w:t xml:space="preserve">Nature Machine Intelligence, 3</w:t>
      </w:r>
      <w:r>
        <w:t xml:space="preserve">(3), 218–229. doi:10.1038/s42256-021-00302-5 :contentReference</w:t>
      </w:r>
      <w:r>
        <w:t xml:space="preserve">oaicite:12</w:t>
      </w:r>
    </w:p>
    <w:p>
      <w:pPr>
        <w:numPr>
          <w:ilvl w:val="0"/>
          <w:numId w:val="1019"/>
        </w:numPr>
        <w:pStyle w:val="Compact"/>
      </w:pPr>
      <w:r>
        <w:t xml:space="preserve">Kovachki, N., Li, Z., Liu, B., Azizzadenesheli, K., Bhattacharya, K., Stuart, A. M., &amp; Anandkumar, A. (2023). Neural operator: Learning maps between function spaces with applications to PDEs.</w:t>
      </w:r>
      <w:r>
        <w:t xml:space="preserve"> </w:t>
      </w:r>
      <w:r>
        <w:rPr>
          <w:iCs/>
          <w:i/>
        </w:rPr>
        <w:t xml:space="preserve">Journal of Machine Learning Research, 24</w:t>
      </w:r>
      <w:r>
        <w:t xml:space="preserve">(89), 1–97. :contentReference</w:t>
      </w:r>
      <w:r>
        <w:t xml:space="preserve">oaicite:13</w:t>
      </w:r>
    </w:p>
    <w:p>
      <w:pPr>
        <w:numPr>
          <w:ilvl w:val="0"/>
          <w:numId w:val="1019"/>
        </w:numPr>
        <w:pStyle w:val="Compact"/>
      </w:pPr>
      <w:r>
        <w:t xml:space="preserve">Tancik, M., Srinivasan, P. P., Mildenhall, B., et al. (2020). Fourier features let networks learn high frequency functions in low dimensional domains.</w:t>
      </w:r>
      <w:r>
        <w:t xml:space="preserve"> </w:t>
      </w:r>
      <w:r>
        <w:rPr>
          <w:iCs/>
          <w:i/>
        </w:rPr>
        <w:t xml:space="preserve">NeurIPS 2020</w:t>
      </w:r>
      <w:r>
        <w:t xml:space="preserve">. arXiv:2006.10739. :contentReference</w:t>
      </w:r>
      <w:r>
        <w:t xml:space="preserve">oaicite:14</w:t>
      </w:r>
    </w:p>
    <w:p>
      <w:pPr>
        <w:numPr>
          <w:ilvl w:val="0"/>
          <w:numId w:val="1019"/>
        </w:numPr>
        <w:pStyle w:val="Compact"/>
      </w:pPr>
      <w:r>
        <w:t xml:space="preserve">Wang, S., Yu, X., &amp; Perdikaris, P. (2022). When and why PINNs fail to train: A neural tangent kernel perspective.</w:t>
      </w:r>
      <w:r>
        <w:t xml:space="preserve"> </w:t>
      </w:r>
      <w:r>
        <w:rPr>
          <w:iCs/>
          <w:i/>
        </w:rPr>
        <w:t xml:space="preserve">Journal of Computational Physics, 449</w:t>
      </w:r>
      <w:r>
        <w:t xml:space="preserve">, 110768. doi:10.1016/j.jcp.2021.110768 :contentReference</w:t>
      </w:r>
      <w:r>
        <w:t xml:space="preserve">oaicite:15</w:t>
      </w:r>
    </w:p>
    <w:p>
      <w:pPr>
        <w:numPr>
          <w:ilvl w:val="0"/>
          <w:numId w:val="1019"/>
        </w:numPr>
        <w:pStyle w:val="Compact"/>
      </w:pPr>
      <w:r>
        <w:t xml:space="preserve">Wang, S., Sankaran, S., &amp; Perdikaris, P. (2022). Respecting causality is all you need for training physics-informed neural networks. arXiv:2203.07404. :contentReference</w:t>
      </w:r>
      <w:r>
        <w:t xml:space="preserve">oaicite:16</w:t>
      </w:r>
    </w:p>
    <w:p>
      <w:pPr>
        <w:numPr>
          <w:ilvl w:val="0"/>
          <w:numId w:val="1019"/>
        </w:numPr>
        <w:pStyle w:val="Compact"/>
      </w:pPr>
      <w:r>
        <w:t xml:space="preserve">OpenCV Documentation. Geometric Transformations of Images: Preferable interpolation methods are</w:t>
      </w:r>
      <w:r>
        <w:t xml:space="preserve"> </w:t>
      </w:r>
      <w:r>
        <w:rPr>
          <w:rStyle w:val="VerbatimChar"/>
        </w:rPr>
        <w:t xml:space="preserve">INTER_AREA</w:t>
      </w:r>
      <w:r>
        <w:t xml:space="preserve"> </w:t>
      </w:r>
      <w:r>
        <w:t xml:space="preserve">for shrinking. :contentReference</w:t>
      </w:r>
      <w:r>
        <w:t xml:space="preserve">oaicite:17</w:t>
      </w:r>
    </w:p>
    <w:p>
      <w:pPr>
        <w:numPr>
          <w:ilvl w:val="0"/>
          <w:numId w:val="1019"/>
        </w:numPr>
        <w:pStyle w:val="Compact"/>
      </w:pPr>
      <w:r>
        <w:t xml:space="preserve">OpenCV Documentation.</w:t>
      </w:r>
      <w:r>
        <w:t xml:space="preserve"> </w:t>
      </w:r>
      <w:r>
        <w:rPr>
          <w:rStyle w:val="VerbatimChar"/>
        </w:rPr>
        <w:t xml:space="preserve">GaussianBlur</w:t>
      </w:r>
      <w:r>
        <w:t xml:space="preserve"> </w:t>
      </w:r>
      <w:r>
        <w:t xml:space="preserve">function reference (parameters include ksize, sigma, borderType). :contentReference</w:t>
      </w:r>
      <w:r>
        <w:t xml:space="preserve">oaicite:18</w:t>
      </w:r>
    </w:p>
    <w:bookmarkEnd w:id="59"/>
    <w:bookmarkEnd w:id="60"/>
    <w:sectPr w:rsidR="00000000">
      <w:headerReference r:id="rId12" w:type="even"/>
      <w:headerReference r:id="rId10" w:type="default"/>
      <w:footerReference r:id="rId16" w:type="even"/>
      <w:footerReference r:id="rId23" w:type="default"/>
      <w:headerReference r:id="rId14" w:type="first"/>
      <w:footerReference r:id="rId20" w:type="first"/>
      <w:pgSz w:h="16838" w:w="11906"/>
      <w:pgMar w:bottom="1418" w:footer="1134" w:gutter="0" w:header="1418" w:left="1418" w:right="1418" w:top="1985"/>
      <w:cols w:space="720"/>
      <w:docGrid w:charSpace="-2048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小标宋简体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0C9C8" w14:textId="77777777" w:rsidR="00000000" w:rsidRDefault="00000000">
    <w:pPr>
      <w:pStyle w:val="af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F5227" w14:textId="77777777" w:rsidR="00000000" w:rsidRDefault="00000000">
    <w:pPr>
      <w:pStyle w:val="af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9C481" w14:textId="77777777" w:rsidR="00000000" w:rsidRDefault="00000000">
    <w:pPr>
      <w:pStyle w:val="aff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96BD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2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  <w:p w14:paraId="6E968123" w14:textId="77777777" w:rsidR="00000000" w:rsidRDefault="0000000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C97E0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I</w:t>
    </w:r>
    <w:r>
      <w:fldChar w:fldCharType="end"/>
    </w:r>
    <w: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B714C" w14:textId="77777777" w:rsidR="00000000" w:rsidRDefault="00000000">
    <w:pPr>
      <w:pStyle w:val="affb"/>
      <w:ind w:firstLine="360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lang w:val="en-US" w:eastAsia="zh-CN"/>
      </w:rPr>
      <w:t>V</w:t>
    </w:r>
    <w:r>
      <w:fldChar w:fldCharType="end"/>
    </w:r>
    <w: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5083A" w14:textId="77777777" w:rsidR="00000000" w:rsidRDefault="00000000">
    <w:pPr>
      <w:pStyle w:val="affb"/>
      <w:ind w:firstLine="360"/>
      <w:rPr>
        <w:rFonts w:ascii="宋体" w:hAnsi="宋体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>
      <w:rPr>
        <w:rFonts w:ascii="宋体" w:hAnsi="宋体"/>
        <w:lang w:val="en-US" w:eastAsia="zh-CN"/>
      </w:rPr>
      <w:t>1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3C99" w14:textId="77777777" w:rsidR="00000000" w:rsidRDefault="00000000">
    <w:pPr>
      <w:pStyle w:val="affb"/>
      <w:ind w:firstLine="36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5220" w14:textId="77777777" w:rsidR="00000000" w:rsidRDefault="00000000">
    <w:pPr>
      <w:pStyle w:val="affb"/>
      <w:ind w:firstLine="360"/>
    </w:pP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F83D6" w14:textId="77777777" w:rsidR="00000000" w:rsidRDefault="00000000">
    <w:pPr>
      <w:pStyle w:val="affc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D6805" w14:textId="77777777" w:rsidR="00000000" w:rsidRDefault="00000000"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A9F6C" w14:textId="77777777" w:rsidR="00000000" w:rsidRDefault="00000000">
    <w:pPr>
      <w:pStyle w:val="affc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81338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大连海事大学硕士学位论文格式规范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F0519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1FED5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8998B" w14:textId="77777777" w:rsidR="00000000" w:rsidRDefault="00000000">
    <w:pPr>
      <w:pStyle w:val="affc"/>
      <w:ind w:firstLine="400"/>
    </w:pPr>
    <w:r>
      <w:rPr>
        <w:rFonts w:hint="eastAsia"/>
      </w:rPr>
      <w:t>大连海事大学硕士学位论文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420"/>
  <w:evenAndOddHeaders/>
  <w:drawingGridHorizontalSpacing w:val="2"/>
  <w:drawingGridVerticalSpacing w:val="2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imes New Roman" w:eastAsia="宋体" w:hAnsi="Calibr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6" w:semiHidden="1"/>
    <w:lsdException w:name="toc 7" w:semiHidden="1"/>
    <w:lsdException w:name="caption" w:qFormat="1" w:semiHidden="1" w:unhideWhenUsed="1"/>
    <w:lsdException w:name="Title" w:qFormat="1" w:uiPriority="10"/>
    <w:lsdException w:name="Default Paragraph Font" w:semiHidden="1" w:uiPriority="1" w:unhideWhenUsed="1"/>
    <w:lsdException w:name="Subtitle" w:qFormat="1" w:uiPriority="11"/>
    <w:lsdException w:name="Strong" w:qFormat="1" w:uiPriority="22"/>
    <w:lsdException w:name="Emphasis" w:qFormat="1" w:uiPriority="20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qFormat="1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uiPriority="3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napToGrid w:val="0"/>
      <w:spacing w:line="300" w:lineRule="auto"/>
      <w:ind w:firstLine="480" w:firstLineChars="200"/>
    </w:pPr>
    <w:rPr>
      <w:rFonts w:ascii="Times New Roman" w:hAnsi="Times New Roman"/>
      <w:sz w:val="24"/>
      <w:lang w:bidi="en-US" w:eastAsia="en-US"/>
    </w:rPr>
  </w:style>
  <w:style w:styleId="1" w:type="paragraph">
    <w:name w:val="heading 1"/>
    <w:basedOn w:val="a"/>
    <w:next w:val="a"/>
    <w:link w:val="10"/>
    <w:uiPriority w:val="9"/>
    <w:qFormat/>
    <w:pPr>
      <w:keepNext/>
      <w:spacing w:afterLines="100" w:line="360" w:lineRule="auto"/>
      <w:ind w:firstLine="0" w:firstLineChars="0"/>
      <w:outlineLvl w:val="0"/>
    </w:pPr>
    <w:rPr>
      <w:rFonts w:ascii="Cambria" w:eastAsia="黑体" w:hAnsi="Cambria"/>
      <w:bCs/>
      <w:kern w:val="32"/>
      <w:sz w:val="32"/>
      <w:szCs w:val="32"/>
      <w:lang w:eastAsia="zh-CN"/>
    </w:rPr>
  </w:style>
  <w:style w:styleId="2" w:type="paragraph">
    <w:name w:val="heading 2"/>
    <w:basedOn w:val="a"/>
    <w:next w:val="a"/>
    <w:link w:val="20"/>
    <w:uiPriority w:val="9"/>
    <w:qFormat/>
    <w:pPr>
      <w:keepNext/>
      <w:spacing w:beforeLines="50" w:line="360" w:lineRule="auto"/>
      <w:ind w:firstLine="0" w:firstLineChars="0"/>
      <w:outlineLvl w:val="1"/>
    </w:pPr>
    <w:rPr>
      <w:rFonts w:ascii="黑体" w:eastAsia="黑体" w:hAnsi="黑体"/>
      <w:iCs/>
      <w:sz w:val="28"/>
      <w:szCs w:val="28"/>
      <w:lang w:eastAsia="zh-CN"/>
    </w:rPr>
  </w:style>
  <w:style w:styleId="3" w:type="paragraph">
    <w:name w:val="heading 3"/>
    <w:basedOn w:val="a"/>
    <w:next w:val="a"/>
    <w:link w:val="30"/>
    <w:uiPriority w:val="9"/>
    <w:qFormat/>
    <w:pPr>
      <w:keepNext/>
      <w:spacing w:beforeLines="50" w:line="360" w:lineRule="auto"/>
      <w:ind w:firstLine="0" w:firstLineChars="0"/>
      <w:outlineLvl w:val="2"/>
    </w:pPr>
    <w:rPr>
      <w:rFonts w:ascii="黑体" w:eastAsia="黑体" w:hAnsi="黑体"/>
      <w:bCs/>
      <w:lang w:eastAsia="zh-CN"/>
    </w:rPr>
  </w:style>
  <w:style w:styleId="4" w:type="paragraph">
    <w:name w:val="heading 4"/>
    <w:basedOn w:val="a"/>
    <w:next w:val="a"/>
    <w:link w:val="40"/>
    <w:uiPriority w:val="9"/>
    <w:qFormat/>
    <w:pPr>
      <w:keepNext/>
      <w:spacing w:after="60" w:before="240"/>
      <w:outlineLvl w:val="3"/>
    </w:pPr>
    <w:rPr>
      <w:b/>
      <w:bCs/>
      <w:sz w:val="28"/>
      <w:szCs w:val="28"/>
    </w:rPr>
  </w:style>
  <w:style w:styleId="5" w:type="paragraph">
    <w:name w:val="heading 5"/>
    <w:basedOn w:val="a"/>
    <w:next w:val="a"/>
    <w:link w:val="50"/>
    <w:uiPriority w:val="9"/>
    <w:qFormat/>
    <w:pPr>
      <w:spacing w:after="60" w:before="240"/>
      <w:outlineLvl w:val="4"/>
    </w:pPr>
    <w:rPr>
      <w:b/>
      <w:bCs/>
      <w:i/>
      <w:iCs/>
      <w:sz w:val="26"/>
      <w:szCs w:val="26"/>
    </w:rPr>
  </w:style>
  <w:style w:styleId="6" w:type="paragraph">
    <w:name w:val="heading 6"/>
    <w:basedOn w:val="a"/>
    <w:next w:val="a"/>
    <w:link w:val="60"/>
    <w:uiPriority w:val="9"/>
    <w:qFormat/>
    <w:pPr>
      <w:spacing w:after="60" w:before="240"/>
      <w:outlineLvl w:val="5"/>
    </w:pPr>
    <w:rPr>
      <w:b/>
      <w:bCs/>
      <w:sz w:val="22"/>
      <w:szCs w:val="22"/>
    </w:rPr>
  </w:style>
  <w:style w:styleId="7" w:type="paragraph">
    <w:name w:val="heading 7"/>
    <w:basedOn w:val="a"/>
    <w:next w:val="a"/>
    <w:link w:val="70"/>
    <w:uiPriority w:val="9"/>
    <w:qFormat/>
    <w:pPr>
      <w:spacing w:after="60" w:before="240"/>
      <w:outlineLvl w:val="6"/>
    </w:pPr>
  </w:style>
  <w:style w:styleId="8" w:type="paragraph">
    <w:name w:val="heading 8"/>
    <w:basedOn w:val="a"/>
    <w:next w:val="a"/>
    <w:link w:val="80"/>
    <w:uiPriority w:val="9"/>
    <w:qFormat/>
    <w:pPr>
      <w:spacing w:after="60" w:before="240"/>
      <w:outlineLvl w:val="7"/>
    </w:pPr>
    <w:rPr>
      <w:i/>
      <w:iCs/>
    </w:rPr>
  </w:style>
  <w:style w:styleId="9" w:type="paragraph">
    <w:name w:val="heading 9"/>
    <w:basedOn w:val="a"/>
    <w:next w:val="a"/>
    <w:link w:val="90"/>
    <w:uiPriority w:val="9"/>
    <w:qFormat/>
    <w:pPr>
      <w:spacing w:after="60" w:before="240"/>
      <w:outlineLvl w:val="8"/>
    </w:pPr>
    <w:rPr>
      <w:rFonts w:ascii="Cambria" w:hAnsi="Cambria"/>
      <w:sz w:val="22"/>
      <w:szCs w:val="22"/>
    </w:rPr>
  </w:style>
  <w:style w:default="1" w:styleId="a0" w:type="character">
    <w:name w:val="Default Paragraph Font"/>
    <w:uiPriority w:val="1"/>
    <w:unhideWhenUsed/>
  </w:style>
  <w:style w:default="1" w:styleId="a1" w:type="table">
    <w:name w:val="Normal Table"/>
    <w:uiPriority w:val="99"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Char" w:type="character">
    <w:name w:val="英文关键词 Char"/>
    <w:basedOn w:val="a0"/>
    <w:link w:val="a3"/>
    <w:rPr>
      <w:rFonts w:ascii="Calibri" w:eastAsia="宋体" w:hAnsi="Calibri"/>
      <w:sz w:val="24"/>
      <w:szCs w:val="24"/>
      <w:lang w:bidi="en-US" w:eastAsia="en-US"/>
    </w:rPr>
  </w:style>
  <w:style w:customStyle="1" w:styleId="Char0" w:type="character">
    <w:name w:val="论文英文题目 Char"/>
    <w:basedOn w:val="a0"/>
    <w:link w:val="a4"/>
    <w:rPr>
      <w:b/>
      <w:sz w:val="32"/>
      <w:szCs w:val="32"/>
      <w:lang w:bidi="en-US" w:eastAsia="en-US" w:val="en-US"/>
    </w:rPr>
  </w:style>
  <w:style w:styleId="a5" w:type="character">
    <w:name w:val="Subtle Emphasis"/>
    <w:uiPriority w:val="19"/>
    <w:qFormat/>
    <w:rPr>
      <w:i/>
      <w:color w:val="5A5A5A"/>
    </w:rPr>
  </w:style>
  <w:style w:customStyle="1" w:styleId="Char1" w:type="character">
    <w:name w:val="关键词题头 Char"/>
    <w:basedOn w:val="a0"/>
    <w:link w:val="a6"/>
    <w:rPr>
      <w:rFonts w:ascii="黑体" w:eastAsia="黑体"/>
      <w:sz w:val="24"/>
      <w:szCs w:val="24"/>
      <w:lang w:bidi="en-US"/>
    </w:rPr>
  </w:style>
  <w:style w:customStyle="1" w:styleId="70" w:type="character">
    <w:name w:val="标题 7 字符"/>
    <w:basedOn w:val="a0"/>
    <w:link w:val="7"/>
    <w:uiPriority w:val="9"/>
    <w:semiHidden/>
    <w:rPr>
      <w:sz w:val="24"/>
      <w:szCs w:val="24"/>
    </w:rPr>
  </w:style>
  <w:style w:styleId="a7" w:type="character">
    <w:name w:val="Strong"/>
    <w:basedOn w:val="a0"/>
    <w:uiPriority w:val="22"/>
    <w:qFormat/>
    <w:rPr>
      <w:b/>
      <w:bCs/>
    </w:rPr>
  </w:style>
  <w:style w:styleId="a8" w:type="character">
    <w:name w:val="page number"/>
    <w:basedOn w:val="a0"/>
  </w:style>
  <w:style w:styleId="a9" w:type="character">
    <w:name w:val="Emphasis"/>
    <w:basedOn w:val="a0"/>
    <w:uiPriority w:val="20"/>
    <w:qFormat/>
    <w:rPr>
      <w:rFonts w:ascii="Calibri" w:hAnsi="Calibri"/>
      <w:b/>
      <w:i/>
      <w:iCs/>
    </w:rPr>
  </w:style>
  <w:style w:styleId="aa" w:type="character">
    <w:name w:val="Hyperlink"/>
    <w:basedOn w:val="a0"/>
    <w:rPr>
      <w:color w:val="0000FF"/>
      <w:u w:val="single"/>
    </w:rPr>
  </w:style>
  <w:style w:customStyle="1" w:styleId="Char2" w:type="character">
    <w:name w:val="参考文献标题 Char"/>
    <w:basedOn w:val="10"/>
    <w:link w:val="ab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60" w:type="character">
    <w:name w:val="标题 6 字符"/>
    <w:basedOn w:val="a0"/>
    <w:link w:val="6"/>
    <w:uiPriority w:val="9"/>
    <w:semiHidden/>
    <w:rPr>
      <w:b/>
      <w:bCs/>
    </w:rPr>
  </w:style>
  <w:style w:customStyle="1" w:styleId="10" w:type="character">
    <w:name w:val="标题 1 字符"/>
    <w:basedOn w:val="a0"/>
    <w:link w:val="1"/>
    <w:uiPriority w:val="9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3" w:type="character">
    <w:name w:val="英文摘要 Char"/>
    <w:basedOn w:val="10"/>
    <w:link w:val="ac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Char4" w:type="character">
    <w:name w:val="附录 Char"/>
    <w:basedOn w:val="Char3"/>
    <w:link w:val="ad"/>
    <w:rPr>
      <w:rFonts w:ascii="Cambria" w:cs="宋体" w:eastAsia="黑体" w:hAnsi="Cambria"/>
      <w:b/>
      <w:bCs/>
      <w:kern w:val="32"/>
      <w:sz w:val="30"/>
      <w:szCs w:val="32"/>
      <w:lang w:bidi="en-US"/>
    </w:rPr>
  </w:style>
  <w:style w:customStyle="1" w:styleId="20" w:type="character">
    <w:name w:val="标题 2 字符"/>
    <w:basedOn w:val="a0"/>
    <w:link w:val="2"/>
    <w:uiPriority w:val="9"/>
    <w:rPr>
      <w:rFonts w:ascii="黑体" w:eastAsia="黑体" w:hAnsi="黑体"/>
      <w:iCs/>
      <w:sz w:val="28"/>
      <w:szCs w:val="28"/>
      <w:lang w:bidi="en-US"/>
    </w:rPr>
  </w:style>
  <w:style w:customStyle="1" w:styleId="30" w:type="character">
    <w:name w:val="标题 3 字符"/>
    <w:basedOn w:val="a0"/>
    <w:link w:val="3"/>
    <w:uiPriority w:val="9"/>
    <w:rPr>
      <w:rFonts w:ascii="黑体" w:eastAsia="黑体" w:hAnsi="黑体"/>
      <w:bCs/>
      <w:sz w:val="24"/>
      <w:lang w:bidi="en-US"/>
    </w:rPr>
  </w:style>
  <w:style w:customStyle="1" w:styleId="40" w:type="character">
    <w:name w:val="标题 4 字符"/>
    <w:basedOn w:val="a0"/>
    <w:link w:val="4"/>
    <w:uiPriority w:val="9"/>
    <w:rPr>
      <w:b/>
      <w:bCs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Pr>
      <w:b/>
      <w:bCs/>
      <w:i/>
      <w:iCs/>
      <w:sz w:val="26"/>
      <w:szCs w:val="26"/>
    </w:rPr>
  </w:style>
  <w:style w:customStyle="1" w:styleId="80" w:type="character">
    <w:name w:val="标题 8 字符"/>
    <w:basedOn w:val="a0"/>
    <w:link w:val="8"/>
    <w:uiPriority w:val="9"/>
    <w:semiHidden/>
    <w:rPr>
      <w:i/>
      <w:iCs/>
      <w:sz w:val="24"/>
      <w:szCs w:val="24"/>
    </w:rPr>
  </w:style>
  <w:style w:customStyle="1" w:styleId="90" w:type="character">
    <w:name w:val="标题 9 字符"/>
    <w:basedOn w:val="a0"/>
    <w:link w:val="9"/>
    <w:uiPriority w:val="9"/>
    <w:semiHidden/>
    <w:rPr>
      <w:rFonts w:ascii="Cambria" w:eastAsia="宋体" w:hAnsi="Cambria"/>
    </w:rPr>
  </w:style>
  <w:style w:customStyle="1" w:styleId="ae" w:type="character">
    <w:name w:val="标题 字符"/>
    <w:basedOn w:val="a0"/>
    <w:link w:val="af"/>
    <w:uiPriority w:val="10"/>
    <w:rPr>
      <w:rFonts w:ascii="Cambria" w:eastAsia="宋体" w:hAnsi="Cambria"/>
      <w:b/>
      <w:bCs/>
      <w:kern w:val="28"/>
      <w:sz w:val="32"/>
      <w:szCs w:val="32"/>
    </w:rPr>
  </w:style>
  <w:style w:customStyle="1" w:styleId="af0" w:type="character">
    <w:name w:val="副标题 字符"/>
    <w:basedOn w:val="a0"/>
    <w:link w:val="af1"/>
    <w:uiPriority w:val="11"/>
    <w:rPr>
      <w:rFonts w:ascii="Cambria" w:eastAsia="宋体" w:hAnsi="Cambria"/>
      <w:sz w:val="24"/>
      <w:szCs w:val="24"/>
    </w:rPr>
  </w:style>
  <w:style w:customStyle="1" w:styleId="af2" w:type="character">
    <w:name w:val="引用 字符"/>
    <w:basedOn w:val="a0"/>
    <w:link w:val="af3"/>
    <w:uiPriority w:val="29"/>
    <w:rPr>
      <w:i/>
      <w:sz w:val="24"/>
      <w:szCs w:val="24"/>
    </w:rPr>
  </w:style>
  <w:style w:customStyle="1" w:styleId="af4" w:type="character">
    <w:name w:val="明显引用 字符"/>
    <w:basedOn w:val="a0"/>
    <w:link w:val="af5"/>
    <w:uiPriority w:val="30"/>
    <w:rPr>
      <w:b/>
      <w:i/>
      <w:sz w:val="24"/>
    </w:rPr>
  </w:style>
  <w:style w:styleId="af6" w:type="character">
    <w:name w:val="Intense Emphasis"/>
    <w:basedOn w:val="a0"/>
    <w:uiPriority w:val="21"/>
    <w:qFormat/>
    <w:rPr>
      <w:b/>
      <w:i/>
      <w:sz w:val="24"/>
      <w:szCs w:val="24"/>
      <w:u w:val="single"/>
    </w:rPr>
  </w:style>
  <w:style w:styleId="af7" w:type="character">
    <w:name w:val="Intense Reference"/>
    <w:basedOn w:val="a0"/>
    <w:uiPriority w:val="32"/>
    <w:qFormat/>
    <w:rPr>
      <w:b/>
      <w:sz w:val="24"/>
      <w:u w:val="single"/>
    </w:rPr>
  </w:style>
  <w:style w:styleId="af8" w:type="character">
    <w:name w:val="Book Title"/>
    <w:basedOn w:val="a0"/>
    <w:uiPriority w:val="33"/>
    <w:qFormat/>
    <w:rPr>
      <w:rFonts w:ascii="Cambria" w:eastAsia="宋体" w:hAnsi="Cambria"/>
      <w:b/>
      <w:i/>
      <w:sz w:val="24"/>
      <w:szCs w:val="24"/>
    </w:rPr>
  </w:style>
  <w:style w:customStyle="1" w:styleId="Char5" w:type="character">
    <w:name w:val="授权说明正文 Char"/>
    <w:basedOn w:val="a0"/>
    <w:link w:val="af9"/>
    <w:rPr>
      <w:rFonts w:ascii="仿宋_GB2312" w:eastAsia="仿宋_GB2312"/>
      <w:sz w:val="28"/>
      <w:szCs w:val="28"/>
      <w:lang w:bidi="en-US"/>
    </w:rPr>
  </w:style>
  <w:style w:customStyle="1" w:styleId="Char6" w:type="character">
    <w:name w:val="硕士学位论文 Char"/>
    <w:basedOn w:val="a0"/>
    <w:link w:val="afa"/>
    <w:rPr>
      <w:rFonts w:ascii="华文细黑" w:eastAsia="宋体" w:hAnsi="华文细黑"/>
      <w:b/>
      <w:sz w:val="48"/>
      <w:szCs w:val="48"/>
      <w:lang w:bidi="en-US" w:eastAsia="zh-CN" w:val="en-US"/>
    </w:rPr>
  </w:style>
  <w:style w:customStyle="1" w:styleId="Char7" w:type="character">
    <w:name w:val="论文题目 Char"/>
    <w:basedOn w:val="a0"/>
    <w:link w:val="afb"/>
    <w:rPr>
      <w:rFonts w:ascii="华文细黑" w:eastAsia="华文细黑" w:hAnsi="华文细黑"/>
      <w:b/>
      <w:sz w:val="44"/>
      <w:szCs w:val="44"/>
      <w:lang w:bidi="en-US"/>
    </w:rPr>
  </w:style>
  <w:style w:customStyle="1" w:styleId="Char8" w:type="character">
    <w:name w:val="首页居中 Char"/>
    <w:basedOn w:val="a0"/>
    <w:link w:val="afc"/>
    <w:rPr>
      <w:sz w:val="30"/>
      <w:szCs w:val="30"/>
      <w:lang w:bidi="en-US"/>
    </w:rPr>
  </w:style>
  <w:style w:customStyle="1" w:styleId="Char9" w:type="character">
    <w:name w:val="首页页脚中文 Char"/>
    <w:basedOn w:val="a0"/>
    <w:link w:val="afd"/>
    <w:rPr>
      <w:rFonts w:ascii="华文行楷" w:eastAsia="华文行楷" w:hAnsi="Times New Roman"/>
      <w:sz w:val="36"/>
      <w:szCs w:val="36"/>
      <w:lang w:bidi="en-US"/>
    </w:rPr>
  </w:style>
  <w:style w:customStyle="1" w:styleId="Chara" w:type="character">
    <w:name w:val="首页页脚英文 Char"/>
    <w:basedOn w:val="a0"/>
    <w:link w:val="afe"/>
    <w:rPr>
      <w:rFonts w:ascii="Times New Roman" w:hAnsi="Times New Roman"/>
      <w:sz w:val="24"/>
      <w:lang w:bidi="en-US"/>
    </w:rPr>
  </w:style>
  <w:style w:customStyle="1" w:styleId="Charb" w:type="character">
    <w:name w:val="独创声明 Char"/>
    <w:basedOn w:val="a0"/>
    <w:link w:val="aff"/>
    <w:rPr>
      <w:rFonts w:ascii="Times New Roman" w:hAnsi="Times New Roman"/>
      <w:sz w:val="36"/>
      <w:szCs w:val="36"/>
      <w:lang w:bidi="en-US"/>
    </w:rPr>
  </w:style>
  <w:style w:customStyle="1" w:styleId="Charc" w:type="character">
    <w:name w:val="独创声明正文 Char"/>
    <w:basedOn w:val="a0"/>
    <w:link w:val="aff0"/>
    <w:rPr>
      <w:rFonts w:ascii="仿宋_GB2312" w:eastAsia="仿宋_GB2312"/>
      <w:sz w:val="28"/>
      <w:szCs w:val="28"/>
      <w:lang w:bidi="en-US" w:eastAsia="en-US"/>
    </w:rPr>
  </w:style>
  <w:style w:customStyle="1" w:styleId="Chard" w:type="character">
    <w:name w:val="关键词 Char"/>
    <w:basedOn w:val="a0"/>
    <w:link w:val="aff1"/>
    <w:rPr>
      <w:rFonts w:ascii="仿宋_GB2312" w:eastAsia="仿宋_GB2312"/>
      <w:sz w:val="24"/>
      <w:szCs w:val="24"/>
      <w:lang w:bidi="en-US"/>
    </w:rPr>
  </w:style>
  <w:style w:customStyle="1" w:styleId="Chare" w:type="character">
    <w:name w:val="摘要题目 Char"/>
    <w:basedOn w:val="a0"/>
    <w:link w:val="aff2"/>
    <w:rPr>
      <w:rFonts w:ascii="Times New Roman" w:hAnsi="Times New Roman"/>
      <w:sz w:val="30"/>
      <w:szCs w:val="30"/>
      <w:lang w:bidi="en-US" w:eastAsia="en-US"/>
    </w:rPr>
  </w:style>
  <w:style w:customStyle="1" w:styleId="1Char" w:type="character">
    <w:name w:val="正文1 Char"/>
    <w:basedOn w:val="a0"/>
    <w:link w:val="11"/>
    <w:rPr>
      <w:rFonts w:ascii="Times New Roman" w:hAnsi="Times New Roman"/>
      <w:sz w:val="24"/>
      <w:lang w:bidi="en-US" w:eastAsia="en-US"/>
    </w:rPr>
  </w:style>
  <w:style w:customStyle="1" w:styleId="Charf" w:type="character">
    <w:name w:val="英文摘要正文 Char"/>
    <w:basedOn w:val="1Char"/>
    <w:link w:val="aff3"/>
    <w:rPr>
      <w:rFonts w:ascii="Times New Roman" w:hAnsi="Times New Roman"/>
      <w:sz w:val="24"/>
      <w:lang w:bidi="en-US" w:eastAsia="en-US"/>
    </w:rPr>
  </w:style>
  <w:style w:customStyle="1" w:styleId="KeywordsChar" w:type="character">
    <w:name w:val="Keywords Char"/>
    <w:basedOn w:val="a0"/>
    <w:link w:val="Keywords"/>
    <w:rPr>
      <w:rFonts w:eastAsia="宋体"/>
      <w:b/>
      <w:sz w:val="24"/>
      <w:szCs w:val="24"/>
      <w:lang w:bidi="en-US" w:eastAsia="en-US"/>
    </w:rPr>
  </w:style>
  <w:style w:customStyle="1" w:styleId="Charf0" w:type="character">
    <w:name w:val="目录 Char"/>
    <w:basedOn w:val="a0"/>
    <w:link w:val="aff4"/>
    <w:rPr>
      <w:rFonts w:ascii="黑体" w:eastAsia="黑体" w:hAnsi="Times New Roman"/>
      <w:sz w:val="30"/>
      <w:szCs w:val="30"/>
      <w:lang w:bidi="en-US" w:eastAsia="en-US" w:val="en-US"/>
    </w:rPr>
  </w:style>
  <w:style w:customStyle="1" w:styleId="1Char0" w:type="character">
    <w:name w:val="标题1居中 Char"/>
    <w:basedOn w:val="10"/>
    <w:link w:val="12"/>
    <w:rPr>
      <w:rFonts w:ascii="Cambria" w:eastAsia="黑体" w:hAnsi="Cambria"/>
      <w:bCs/>
      <w:kern w:val="32"/>
      <w:sz w:val="32"/>
      <w:szCs w:val="32"/>
      <w:lang w:bidi="en-US"/>
    </w:rPr>
  </w:style>
  <w:style w:customStyle="1" w:styleId="Charf1" w:type="character">
    <w:name w:val="图名中文 Char"/>
    <w:basedOn w:val="a0"/>
    <w:link w:val="aff5"/>
    <w:rPr>
      <w:rFonts w:ascii="宋体" w:hAnsi="宋体"/>
      <w:sz w:val="21"/>
      <w:szCs w:val="21"/>
      <w:lang w:bidi="en-US" w:eastAsia="en-US"/>
    </w:rPr>
  </w:style>
  <w:style w:customStyle="1" w:styleId="Charf2" w:type="character">
    <w:name w:val="图名英文 Char"/>
    <w:basedOn w:val="a0"/>
    <w:link w:val="aff6"/>
    <w:rPr>
      <w:rFonts w:ascii="Times New Roman" w:hAnsi="Times New Roman"/>
      <w:sz w:val="21"/>
      <w:szCs w:val="21"/>
      <w:lang w:bidi="en-US" w:eastAsia="en-US"/>
    </w:rPr>
  </w:style>
  <w:style w:customStyle="1" w:styleId="Charf3" w:type="character">
    <w:name w:val="参考文献正文 Char"/>
    <w:basedOn w:val="a0"/>
    <w:link w:val="aff7"/>
    <w:rPr>
      <w:rFonts w:ascii="宋体" w:hAnsi="宋体"/>
      <w:sz w:val="21"/>
      <w:szCs w:val="21"/>
      <w:lang w:bidi="en-US"/>
    </w:rPr>
  </w:style>
  <w:style w:customStyle="1" w:styleId="aff" w:type="paragraph">
    <w:name w:val="独创声明"/>
    <w:basedOn w:val="a"/>
    <w:link w:val="Charb"/>
    <w:qFormat/>
    <w:pPr>
      <w:ind w:firstLine="0" w:firstLineChars="0"/>
      <w:jc w:val="center"/>
    </w:pPr>
    <w:rPr>
      <w:sz w:val="36"/>
      <w:szCs w:val="36"/>
      <w:lang w:eastAsia="zh-CN"/>
    </w:rPr>
  </w:style>
  <w:style w:customStyle="1" w:styleId="aff8" w:type="paragraph">
    <w:name w:val="授权书"/>
    <w:basedOn w:val="1"/>
    <w:pPr>
      <w:spacing w:beforeLines="300"/>
      <w:jc w:val="center"/>
    </w:pPr>
  </w:style>
  <w:style w:customStyle="1" w:styleId="aff5" w:type="paragraph">
    <w:name w:val="图名中文"/>
    <w:basedOn w:val="a"/>
    <w:link w:val="Charf1"/>
    <w:qFormat/>
    <w:pPr>
      <w:jc w:val="center"/>
    </w:pPr>
    <w:rPr>
      <w:rFonts w:ascii="宋体" w:hAnsi="宋体"/>
      <w:sz w:val="21"/>
      <w:szCs w:val="21"/>
    </w:rPr>
  </w:style>
  <w:style w:styleId="TOC7" w:type="paragraph">
    <w:name w:val="toc 7"/>
    <w:basedOn w:val="a"/>
    <w:next w:val="a"/>
    <w:semiHidden/>
    <w:pPr>
      <w:widowControl w:val="0"/>
      <w:ind w:left="2520" w:leftChars="1200"/>
    </w:pPr>
    <w:rPr>
      <w:kern w:val="2"/>
      <w:sz w:val="21"/>
    </w:rPr>
  </w:style>
  <w:style w:styleId="aff9" w:type="paragraph">
    <w:name w:val="Document Map"/>
    <w:basedOn w:val="a"/>
    <w:semiHidden/>
    <w:pPr>
      <w:shd w:color="auto" w:fill="000080" w:val="clear"/>
    </w:pPr>
  </w:style>
  <w:style w:styleId="TOC3" w:type="paragraph">
    <w:name w:val="toc 3"/>
    <w:basedOn w:val="a"/>
    <w:next w:val="a"/>
    <w:uiPriority w:val="39"/>
    <w:pPr>
      <w:ind w:left="840" w:leftChars="400"/>
    </w:pPr>
  </w:style>
  <w:style w:styleId="affa" w:type="paragraph">
    <w:name w:val="Balloon Text"/>
    <w:basedOn w:val="a"/>
    <w:semiHidden/>
    <w:rPr>
      <w:sz w:val="18"/>
      <w:szCs w:val="18"/>
    </w:rPr>
  </w:style>
  <w:style w:customStyle="1" w:styleId="afa" w:type="paragraph">
    <w:name w:val="硕士学位论文"/>
    <w:basedOn w:val="a"/>
    <w:link w:val="Char6"/>
    <w:qFormat/>
    <w:pPr>
      <w:ind w:firstLine="0" w:firstLineChars="0"/>
      <w:jc w:val="center"/>
    </w:pPr>
    <w:rPr>
      <w:rFonts w:ascii="华文细黑" w:hAnsi="华文细黑"/>
      <w:b/>
      <w:sz w:val="48"/>
      <w:szCs w:val="48"/>
      <w:lang w:eastAsia="zh-CN"/>
    </w:rPr>
  </w:style>
  <w:style w:styleId="affb" w:type="paragraph">
    <w:name w:val="footer"/>
    <w:basedOn w:val="a"/>
    <w:pPr>
      <w:tabs>
        <w:tab w:pos="4153" w:val="center"/>
        <w:tab w:pos="8306" w:val="right"/>
      </w:tabs>
      <w:spacing w:before="600" w:line="180" w:lineRule="atLeast"/>
      <w:jc w:val="center"/>
    </w:pPr>
    <w:rPr>
      <w:sz w:val="18"/>
      <w:szCs w:val="18"/>
    </w:rPr>
  </w:style>
  <w:style w:styleId="affc" w:type="paragraph">
    <w:name w:val="header"/>
    <w:basedOn w:val="a"/>
    <w:pPr>
      <w:keepLines/>
      <w:pBdr>
        <w:bottom w:color="auto" w:space="1" w:sz="6" w:val="single"/>
      </w:pBdr>
      <w:tabs>
        <w:tab w:pos="4153" w:val="center"/>
        <w:tab w:pos="8306" w:val="right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styleId="TOC1" w:type="paragraph">
    <w:name w:val="toc 1"/>
    <w:basedOn w:val="a"/>
    <w:next w:val="a"/>
    <w:uiPriority w:val="39"/>
    <w:pPr>
      <w:tabs>
        <w:tab w:leader="dot" w:pos="9060" w:val="right"/>
      </w:tabs>
      <w:ind w:firstLine="0" w:firstLineChars="0" w:left="482"/>
    </w:pPr>
  </w:style>
  <w:style w:customStyle="1" w:styleId="aff3" w:type="paragraph">
    <w:name w:val="英文摘要正文"/>
    <w:basedOn w:val="11"/>
    <w:link w:val="Charf"/>
    <w:qFormat/>
    <w:rPr>
      <w:rFonts w:eastAsia="Times New Roman"/>
    </w:rPr>
  </w:style>
  <w:style w:customStyle="1" w:styleId="afd" w:type="paragraph">
    <w:name w:val="首页页脚中文"/>
    <w:basedOn w:val="a"/>
    <w:link w:val="Char9"/>
    <w:qFormat/>
    <w:pPr>
      <w:ind w:firstLine="0" w:firstLineChars="0"/>
      <w:jc w:val="center"/>
    </w:pPr>
    <w:rPr>
      <w:rFonts w:ascii="华文行楷" w:eastAsia="华文行楷"/>
      <w:sz w:val="36"/>
      <w:szCs w:val="36"/>
      <w:lang w:eastAsia="zh-CN"/>
    </w:rPr>
  </w:style>
  <w:style w:styleId="af1" w:type="paragraph">
    <w:name w:val="Subtitle"/>
    <w:basedOn w:val="a"/>
    <w:next w:val="a"/>
    <w:link w:val="af0"/>
    <w:uiPriority w:val="11"/>
    <w:qFormat/>
    <w:pPr>
      <w:spacing w:after="60"/>
      <w:jc w:val="center"/>
      <w:outlineLvl w:val="1"/>
    </w:pPr>
    <w:rPr>
      <w:rFonts w:ascii="Cambria" w:hAnsi="Cambria"/>
    </w:rPr>
  </w:style>
  <w:style w:styleId="TOC6" w:type="paragraph">
    <w:name w:val="toc 6"/>
    <w:basedOn w:val="a"/>
    <w:next w:val="a"/>
    <w:semiHidden/>
    <w:pPr>
      <w:widowControl w:val="0"/>
      <w:ind w:left="2100" w:leftChars="1000"/>
    </w:pPr>
    <w:rPr>
      <w:kern w:val="2"/>
      <w:sz w:val="21"/>
    </w:rPr>
  </w:style>
  <w:style w:customStyle="1" w:styleId="afb" w:type="paragraph">
    <w:name w:val="论文题目"/>
    <w:basedOn w:val="a"/>
    <w:link w:val="Char7"/>
    <w:qFormat/>
    <w:pPr>
      <w:ind w:firstLine="0" w:firstLineChars="0"/>
      <w:jc w:val="center"/>
    </w:pPr>
    <w:rPr>
      <w:rFonts w:ascii="华文细黑" w:eastAsia="华文细黑" w:hAnsi="华文细黑"/>
      <w:b/>
      <w:sz w:val="44"/>
      <w:szCs w:val="44"/>
      <w:lang w:eastAsia="zh-CN"/>
    </w:rPr>
  </w:style>
  <w:style w:styleId="affd" w:type="paragraph">
    <w:name w:val="table of figures"/>
    <w:basedOn w:val="a"/>
    <w:next w:val="a"/>
    <w:pPr>
      <w:ind w:hanging="200" w:hangingChars="200" w:left="200" w:leftChars="200"/>
      <w:jc w:val="both"/>
    </w:pPr>
  </w:style>
  <w:style w:styleId="TOC2" w:type="paragraph">
    <w:name w:val="toc 2"/>
    <w:basedOn w:val="a"/>
    <w:next w:val="a"/>
    <w:uiPriority w:val="39"/>
    <w:pPr>
      <w:ind w:left="420" w:leftChars="200"/>
    </w:pPr>
  </w:style>
  <w:style w:customStyle="1" w:styleId="aff0" w:type="paragraph">
    <w:name w:val="独创声明正文"/>
    <w:basedOn w:val="a"/>
    <w:link w:val="Charc"/>
    <w:qFormat/>
    <w:pPr>
      <w:spacing w:after="100" w:afterAutospacing="1" w:beforeLines="100" w:line="360" w:lineRule="auto"/>
      <w:ind w:firstLine="560"/>
    </w:pPr>
    <w:rPr>
      <w:rFonts w:ascii="仿宋_GB2312" w:eastAsia="仿宋_GB2312"/>
      <w:sz w:val="28"/>
      <w:szCs w:val="28"/>
    </w:rPr>
  </w:style>
  <w:style w:styleId="af5" w:type="paragraph">
    <w:name w:val="Intense Quote"/>
    <w:basedOn w:val="a"/>
    <w:next w:val="a"/>
    <w:link w:val="af4"/>
    <w:uiPriority w:val="30"/>
    <w:qFormat/>
    <w:pPr>
      <w:ind w:left="720" w:right="720"/>
    </w:pPr>
    <w:rPr>
      <w:b/>
      <w:i/>
      <w:szCs w:val="22"/>
    </w:rPr>
  </w:style>
  <w:style w:styleId="affe" w:type="paragraph">
    <w:name w:val="No Spacing"/>
    <w:basedOn w:val="a"/>
    <w:uiPriority w:val="1"/>
    <w:qFormat/>
    <w:rPr>
      <w:szCs w:val="32"/>
    </w:rPr>
  </w:style>
  <w:style w:styleId="af" w:type="paragraph">
    <w:name w:val="Title"/>
    <w:basedOn w:val="a"/>
    <w:next w:val="a"/>
    <w:link w:val="ae"/>
    <w:uiPriority w:val="10"/>
    <w:qFormat/>
    <w:pPr>
      <w:spacing w:after="60" w:before="24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styleId="TOC" w:type="paragraph">
    <w:name w:val="TOC Heading"/>
    <w:basedOn w:val="1"/>
    <w:next w:val="a"/>
    <w:uiPriority w:val="39"/>
    <w:qFormat/>
    <w:pPr>
      <w:outlineLvl w:val="9"/>
    </w:pPr>
  </w:style>
  <w:style w:customStyle="1" w:styleId="afc" w:type="paragraph">
    <w:name w:val="首页居中"/>
    <w:basedOn w:val="a"/>
    <w:link w:val="Char8"/>
    <w:qFormat/>
    <w:pPr>
      <w:spacing w:line="360" w:lineRule="auto"/>
      <w:ind w:firstLine="1977" w:firstLineChars="659"/>
    </w:pPr>
    <w:rPr>
      <w:sz w:val="30"/>
      <w:szCs w:val="30"/>
      <w:lang w:eastAsia="zh-CN"/>
    </w:rPr>
  </w:style>
  <w:style w:customStyle="1" w:styleId="ac" w:type="paragraph">
    <w:name w:val="英文摘要"/>
    <w:basedOn w:val="1"/>
    <w:link w:val="Char3"/>
    <w:pPr>
      <w:jc w:val="center"/>
    </w:pPr>
    <w:rPr>
      <w:rFonts w:cs="宋体"/>
      <w:bCs w:val="0"/>
      <w:sz w:val="30"/>
      <w:szCs w:val="20"/>
    </w:rPr>
  </w:style>
  <w:style w:customStyle="1" w:styleId="aff1" w:type="paragraph">
    <w:name w:val="关键词"/>
    <w:basedOn w:val="a"/>
    <w:link w:val="Chard"/>
    <w:qFormat/>
    <w:rPr>
      <w:rFonts w:ascii="仿宋_GB2312" w:eastAsia="仿宋_GB2312"/>
      <w:lang w:eastAsia="zh-CN"/>
    </w:rPr>
  </w:style>
  <w:style w:styleId="af3" w:type="paragraph">
    <w:name w:val="Quote"/>
    <w:basedOn w:val="a"/>
    <w:next w:val="a"/>
    <w:link w:val="af2"/>
    <w:uiPriority w:val="29"/>
    <w:qFormat/>
    <w:rPr>
      <w:i/>
    </w:rPr>
  </w:style>
  <w:style w:customStyle="1" w:styleId="21" w:type="paragraph">
    <w:name w:val="样式 标题 2"/>
    <w:basedOn w:val="2"/>
    <w:rPr>
      <w:rFonts w:cs="宋体"/>
      <w:szCs w:val="20"/>
    </w:rPr>
  </w:style>
  <w:style w:customStyle="1" w:styleId="afff" w:type="paragraph">
    <w:name w:val="公式"/>
    <w:basedOn w:val="a"/>
    <w:pPr>
      <w:spacing w:after="120" w:before="120"/>
      <w:jc w:val="right"/>
    </w:pPr>
    <w:rPr>
      <w:rFonts w:cs="宋体"/>
    </w:rPr>
  </w:style>
  <w:style w:customStyle="1" w:styleId="afff0" w:type="paragraph">
    <w:name w:val="摘要"/>
    <w:basedOn w:val="1"/>
    <w:pPr>
      <w:jc w:val="center"/>
    </w:pPr>
    <w:rPr>
      <w:rFonts w:cs="宋体"/>
      <w:bCs w:val="0"/>
      <w:szCs w:val="20"/>
      <w:lang w:eastAsia="zh-CN" w:val="en-US"/>
    </w:rPr>
  </w:style>
  <w:style w:customStyle="1" w:styleId="11" w:type="paragraph">
    <w:name w:val="正文1"/>
    <w:basedOn w:val="a"/>
    <w:link w:val="1Char"/>
    <w:pPr>
      <w:spacing w:after="0" w:before="0"/>
      <w:ind w:firstLine="480"/>
      <w:jc w:val="both"/>
    </w:pPr>
  </w:style>
  <w:style w:customStyle="1" w:styleId="afff1" w:type="paragraph">
    <w:name w:val="引言"/>
    <w:basedOn w:val="1"/>
    <w:pPr>
      <w:jc w:val="center"/>
    </w:pPr>
    <w:rPr>
      <w:rFonts w:cs="宋体"/>
      <w:bCs w:val="0"/>
      <w:sz w:val="30"/>
      <w:szCs w:val="20"/>
    </w:rPr>
  </w:style>
  <w:style w:customStyle="1" w:styleId="afff2" w:type="paragraph">
    <w:name w:val="参考文献"/>
    <w:basedOn w:val="ac"/>
  </w:style>
  <w:style w:customStyle="1" w:styleId="afff3" w:type="paragraph">
    <w:name w:val="结论"/>
    <w:basedOn w:val="ac"/>
  </w:style>
  <w:style w:customStyle="1" w:styleId="a4" w:type="paragraph">
    <w:name w:val="论文英文题目"/>
    <w:basedOn w:val="a"/>
    <w:link w:val="Char0"/>
    <w:qFormat/>
    <w:pPr>
      <w:ind w:firstLine="0" w:firstLineChars="0"/>
      <w:jc w:val="center"/>
    </w:pPr>
    <w:rPr>
      <w:rFonts w:eastAsia="Times New Roman"/>
      <w:b/>
      <w:sz w:val="32"/>
      <w:szCs w:val="32"/>
    </w:rPr>
  </w:style>
  <w:style w:customStyle="1" w:styleId="ad" w:type="paragraph">
    <w:name w:val="附录"/>
    <w:basedOn w:val="ac"/>
    <w:link w:val="Char4"/>
  </w:style>
  <w:style w:customStyle="1" w:styleId="a3" w:type="paragraph">
    <w:name w:val="英文关键词"/>
    <w:basedOn w:val="a"/>
    <w:link w:val="Char"/>
    <w:qFormat/>
    <w:rPr>
      <w:rFonts w:ascii="Calibri" w:hAnsi="Calibri"/>
    </w:rPr>
  </w:style>
  <w:style w:customStyle="1" w:styleId="afff4" w:type="paragraph">
    <w:name w:val="致谢"/>
    <w:basedOn w:val="ac"/>
  </w:style>
  <w:style w:customStyle="1" w:styleId="afff5" w:type="paragraph">
    <w:name w:val="发表学术论文情况"/>
    <w:basedOn w:val="ac"/>
  </w:style>
  <w:style w:styleId="afff6" w:type="paragraph">
    <w:name w:val="List Paragraph"/>
    <w:basedOn w:val="a"/>
    <w:uiPriority w:val="34"/>
    <w:qFormat/>
    <w:pPr>
      <w:ind w:firstLine="0" w:left="0"/>
      <w:contextualSpacing/>
    </w:pPr>
  </w:style>
  <w:style w:customStyle="1" w:styleId="afe" w:type="paragraph">
    <w:name w:val="首页页脚英文"/>
    <w:basedOn w:val="a"/>
    <w:link w:val="Chara"/>
    <w:qFormat/>
    <w:pPr>
      <w:ind w:firstLine="0" w:firstLineChars="0"/>
      <w:jc w:val="center"/>
    </w:pPr>
    <w:rPr>
      <w:lang w:eastAsia="zh-CN"/>
    </w:rPr>
  </w:style>
  <w:style w:customStyle="1" w:styleId="a6" w:type="paragraph">
    <w:name w:val="关键词题头"/>
    <w:basedOn w:val="a"/>
    <w:link w:val="Char1"/>
    <w:qFormat/>
    <w:rPr>
      <w:rFonts w:ascii="黑体" w:eastAsia="黑体"/>
      <w:lang w:eastAsia="zh-CN"/>
    </w:rPr>
  </w:style>
  <w:style w:customStyle="1" w:styleId="aff4" w:type="paragraph">
    <w:name w:val="目录"/>
    <w:basedOn w:val="a"/>
    <w:link w:val="Charf0"/>
    <w:qFormat/>
    <w:pPr>
      <w:ind w:firstLine="0" w:firstLineChars="0"/>
      <w:jc w:val="center"/>
    </w:pPr>
    <w:rPr>
      <w:rFonts w:ascii="黑体" w:eastAsia="黑体"/>
      <w:sz w:val="30"/>
      <w:szCs w:val="30"/>
      <w:lang w:eastAsia="zh-CN" w:val="en-US"/>
    </w:rPr>
  </w:style>
  <w:style w:customStyle="1" w:styleId="Keywords" w:type="paragraph">
    <w:name w:val="Keywords"/>
    <w:basedOn w:val="a"/>
    <w:link w:val="KeywordsChar"/>
    <w:qFormat/>
    <w:rPr>
      <w:b/>
    </w:rPr>
  </w:style>
  <w:style w:customStyle="1" w:styleId="aff2" w:type="paragraph">
    <w:name w:val="摘要题目"/>
    <w:basedOn w:val="a"/>
    <w:link w:val="Chare"/>
    <w:qFormat/>
    <w:pPr>
      <w:ind w:firstLine="0" w:firstLineChars="0"/>
      <w:jc w:val="center"/>
    </w:pPr>
    <w:rPr>
      <w:sz w:val="30"/>
      <w:szCs w:val="30"/>
    </w:rPr>
  </w:style>
  <w:style w:customStyle="1" w:styleId="12" w:type="paragraph">
    <w:name w:val="标题1居中"/>
    <w:basedOn w:val="1"/>
    <w:link w:val="1Char0"/>
    <w:qFormat/>
    <w:pPr>
      <w:jc w:val="center"/>
    </w:pPr>
  </w:style>
  <w:style w:customStyle="1" w:styleId="aff6" w:type="paragraph">
    <w:name w:val="图名英文"/>
    <w:basedOn w:val="a"/>
    <w:link w:val="Charf2"/>
    <w:qFormat/>
    <w:pPr>
      <w:jc w:val="center"/>
    </w:pPr>
    <w:rPr>
      <w:sz w:val="21"/>
      <w:szCs w:val="21"/>
    </w:rPr>
  </w:style>
  <w:style w:customStyle="1" w:styleId="ab" w:type="paragraph">
    <w:name w:val="参考文献标题"/>
    <w:basedOn w:val="1"/>
    <w:link w:val="Char2"/>
    <w:qFormat/>
    <w:pPr>
      <w:jc w:val="center"/>
    </w:pPr>
  </w:style>
  <w:style w:customStyle="1" w:styleId="aff7" w:type="paragraph">
    <w:name w:val="参考文献正文"/>
    <w:basedOn w:val="a"/>
    <w:link w:val="Charf3"/>
    <w:qFormat/>
    <w:rPr>
      <w:rFonts w:ascii="宋体" w:hAnsi="宋体"/>
      <w:sz w:val="21"/>
      <w:szCs w:val="21"/>
      <w:lang w:eastAsia="zh-CN"/>
    </w:rPr>
  </w:style>
  <w:style w:customStyle="1" w:styleId="af9" w:type="paragraph">
    <w:name w:val="授权说明正文"/>
    <w:basedOn w:val="a"/>
    <w:link w:val="Char5"/>
    <w:qFormat/>
    <w:pPr>
      <w:spacing w:line="360" w:lineRule="auto"/>
      <w:ind w:firstLine="560"/>
    </w:pPr>
    <w:rPr>
      <w:rFonts w:ascii="仿宋_GB2312" w:eastAsia="仿宋_GB2312"/>
      <w:sz w:val="28"/>
      <w:szCs w:val="28"/>
      <w:lang w:eastAsia="zh-CN"/>
    </w:rPr>
  </w:style>
  <w:style w:customStyle="1" w:styleId="110" w:type="paragraph">
    <w:name w:val="样式 标题 1 + 段后: 1 行"/>
    <w:basedOn w:val="1"/>
    <w:pPr>
      <w:spacing w:after="240"/>
    </w:pPr>
    <w:rPr>
      <w:rFonts w:cs="宋体"/>
      <w:bCs w:val="0"/>
      <w:sz w:val="30"/>
      <w:szCs w:val="20"/>
    </w:rPr>
  </w:style>
  <w:style w:customStyle="1" w:styleId="13" w:type="paragraph">
    <w:name w:val="样式 参考文献标题 + 段后: 1 行"/>
    <w:basedOn w:val="ab"/>
    <w:pPr>
      <w:spacing w:after="240"/>
    </w:pPr>
    <w:rPr>
      <w:rFonts w:cs="宋体"/>
      <w:bCs w:val="0"/>
      <w:sz w:val="30"/>
      <w:szCs w:val="20"/>
    </w:rPr>
  </w:style>
  <w:style w:customStyle="1" w:styleId="14" w:type="paragraph">
    <w:name w:val="样式 摘要 + 段后: 1 行"/>
    <w:basedOn w:val="afff0"/>
    <w:pPr>
      <w:spacing w:after="240"/>
    </w:pPr>
    <w:rPr>
      <w:sz w:val="30"/>
    </w:rPr>
  </w:style>
  <w:style w:customStyle="1" w:styleId="afff7" w:type="paragraph">
    <w:name w:val="作者简介"/>
    <w:basedOn w:val="afff2"/>
    <w:pPr>
      <w:keepLines/>
      <w:tabs>
        <w:tab w:pos="377" w:val="left"/>
      </w:tabs>
      <w:snapToGrid/>
      <w:spacing w:afterLines="0"/>
    </w:pPr>
    <w:rPr>
      <w:rFonts w:ascii="黑体" w:hAnsi="Times New Roman"/>
      <w:b/>
      <w:bCs/>
      <w:kern w:val="44"/>
      <w:szCs w:val="32"/>
      <w:lang w:bidi="ar-SA"/>
    </w:rPr>
  </w:style>
  <w:style w:styleId="afff8" w:type="table">
    <w:name w:val="Table Grid"/>
    <w:basedOn w:val="a1"/>
    <w:pPr>
      <w:snapToGrid w:val="0"/>
      <w:spacing w:line="300" w:lineRule="auto"/>
      <w:ind w:firstLine="480" w:firstLineChars="20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f9" w:type="paragraph">
    <w:name w:val="Revision"/>
    <w:hidden/>
    <w:uiPriority w:val="99"/>
    <w:unhideWhenUsed/>
    <w:rsid w:val="004C61AB"/>
    <w:rPr>
      <w:rFonts w:ascii="Times New Roman" w:hAnsi="Times New Roman"/>
      <w:sz w:val="24"/>
      <w:lang w:bidi="en-US" w:eastAsia="en-US"/>
    </w:rPr>
  </w:style>
  <w:style w:customStyle="1" w:styleId="TableText" w:type="paragraph">
    <w:name w:val="Table Text"/>
    <w:basedOn w:val="a"/>
    <w:pPr>
      <w:ind w:firstLine="0" w:left="0"/>
    </w:pPr>
  </w:style>
  <w:style w:customStyle="1" w:styleId="Formula" w:type="paragraph">
    <w:name w:val="Formula"/>
    <w:basedOn w:val="a"/>
    <w:pPr>
      <w:spacing w:after="0" w:before="0" w:line="240" w:lineRule="auto"/>
      <w:ind w:firstLine="0"/>
    </w:pPr>
  </w:style>
  <w:style w:customStyle="1" w:styleId="CompactList" w:type="paragraph">
    <w:name w:val="Compact List"/>
    <w:basedOn w:val="a"/>
    <w:pPr>
      <w:spacing w:after="0" w:line="240" w:lineRule="auto"/>
      <w:ind w:firstLin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5.xml" Type="http://schemas.openxmlformats.org/officeDocument/2006/relationships/header" /><Relationship Id="rId10" Target="header2.xml" Type="http://schemas.openxmlformats.org/officeDocument/2006/relationships/header" /><Relationship Id="rId11" Target="header4.xml" Type="http://schemas.openxmlformats.org/officeDocument/2006/relationships/header" /><Relationship Id="rId12" Target="header1.xml" Type="http://schemas.openxmlformats.org/officeDocument/2006/relationships/header" /><Relationship Id="rId13" Target="header7.xml" Type="http://schemas.openxmlformats.org/officeDocument/2006/relationships/header" /><Relationship Id="rId14" Target="header3.xml" Type="http://schemas.openxmlformats.org/officeDocument/2006/relationships/header" /><Relationship Id="rId15" Target="header6.xml" Type="http://schemas.openxmlformats.org/officeDocument/2006/relationships/header" /><Relationship Id="rId16" Target="footer1.xml" Type="http://schemas.openxmlformats.org/officeDocument/2006/relationships/footer" /><Relationship Id="rId17" Target="footer7.xml" Type="http://schemas.openxmlformats.org/officeDocument/2006/relationships/footer" /><Relationship Id="rId18" Target="footer9.xml" Type="http://schemas.openxmlformats.org/officeDocument/2006/relationships/footer" /><Relationship Id="rId19" Target="footer6.xml" Type="http://schemas.openxmlformats.org/officeDocument/2006/relationships/footer" /><Relationship Id="rId20" Target="footer3.xml" Type="http://schemas.openxmlformats.org/officeDocument/2006/relationships/footer" /><Relationship Id="rId21" Target="footer8.xml" Type="http://schemas.openxmlformats.org/officeDocument/2006/relationships/footer" /><Relationship Id="rId22" Target="footer5.xml" Type="http://schemas.openxmlformats.org/officeDocument/2006/relationships/footer" /><Relationship Id="rId23" Target="footer2.xml" Type="http://schemas.openxmlformats.org/officeDocument/2006/relationships/footer" /><Relationship Id="rId24" Target="footer4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qianfeng\&#26700;&#38754;\&#27169;&#26495;\&#22823;&#36830;&#29702;&#24037;&#22823;&#23398;&#30805;&#22763;&#23398;&#20301;&#35770;&#25991;&#26684;&#24335;&#35268;&#33539;200812(97-2003)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大连理工大学硕士学位论文格式规范200812(97-2003).dot</Template>
  <TotalTime>1</TotalTime>
  <Pages>33</Pages>
  <Words>3134</Words>
  <Characters>17868</Characters>
  <Application>Microsoft Office Word</Application>
  <DocSecurity>0</DocSecurity>
  <Lines>148</Lines>
  <Paragraphs>41</Paragraphs>
  <ScaleCrop>false</ScaleCrop>
  <Company>DUT</Company>
  <LinksUpToDate>false</LinksUpToDate>
  <CharactersWithSpaces>20961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2026-01-18T16:45:16Z</dcterms:created>
  <dcterms:modified xsi:type="dcterms:W3CDTF">2026-01-18T16:45:16Z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/share/fandixiaLab/suguangsheng/PycharmProjects/Sparse2Full/thesis_paper/manuscript_gpt_review/latex/manuscript/references.bib</vt:lpwstr>
  </property>
</Properties>
</file>