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5章-算法设计工程化闭环统一口径可替换模块可复现实验"/>
    <w:p>
      <w:pPr>
        <w:pStyle w:val="1"/>
      </w:pPr>
      <w:r>
        <w:t xml:space="preserve">第5章 算法设计（工程化闭环：统一口径、可替换模块、可复现实验）</w:t>
      </w:r>
    </w:p>
    <w:bookmarkStart w:id="20" w:name="引言"/>
    <w:p>
      <w:pPr>
        <w:pStyle w:val="2"/>
      </w:pPr>
      <w:r>
        <w:t xml:space="preserve">5.0 引言</w:t>
      </w:r>
    </w:p>
    <w:p>
      <w:pPr>
        <w:pStyle w:val="11"/>
      </w:pPr>
      <w:r>
        <w:t xml:space="preserve">本章给出本文方法的工程化算法设计与实现细节，目标是形成“可复现、可替换、可对照”的最小闭环：以统一观测口径为核心约束（数据侧观测算子 (H) 与训练侧退化算子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rPr>
          <w:bCs/>
          <w:b/>
        </w:rPr>
        <w:t xml:space="preserve">同源复用</w:t>
      </w:r>
      <w:r>
        <w:t xml:space="preserve">），以统一模型接口为工程约束（模块可插拔、指标可横向对照），以确定性训练与材料化产出为复现约束（配置快照、环境指纹、统计检验与资源四项齐备）。</w:t>
      </w:r>
    </w:p>
    <w:p>
      <w:pPr>
        <w:pStyle w:val="11"/>
      </w:pPr>
      <w:r>
        <w:t xml:space="preserve">算法设计围绕两条硬约束组织全文结构：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口径硬约束</w:t>
      </w:r>
      <w:r>
        <w:t xml:space="preserve">：$</w:t>
      </w:r>
      <w:r>
        <w:t xml:space="preserve"> </w:t>
      </w:r>
      <w:r>
        <w:t xml:space="preserve">H $（同一实现、同一参数、同一边界与插值策略），阻断“训练口径—评测口径”错配导致的评测断裂；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接口硬约束</w:t>
      </w:r>
      <w:r>
        <w:t xml:space="preserve">：统一输入打包与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签名，保证不同 backbone / 算子层 / 时序模块仅在内部替换，不改变观测口径与评测协议。</w:t>
      </w:r>
    </w:p>
    <w:p>
      <w:r>
        <w:pict>
          <v:rect style="width:0;height:1.5pt" o:hralign="center" o:hrstd="t" o:hr="t"/>
        </w:pict>
      </w:r>
    </w:p>
    <w:bookmarkEnd w:id="20"/>
    <w:bookmarkStart w:id="23" w:name="端到端流程与输入输出契约"/>
    <w:p>
      <w:pPr>
        <w:pStyle w:val="2"/>
      </w:pPr>
      <w:r>
        <w:t xml:space="preserve">5.1 端到端流程与输入输出契约</w:t>
      </w:r>
    </w:p>
    <w:bookmarkStart w:id="21" w:name="数据对象张量形状与监督信号"/>
    <w:p>
      <w:pPr>
        <w:pStyle w:val="3"/>
      </w:pPr>
      <w:r>
        <w:t xml:space="preserve">5.1.1 数据对象、张量形状与监督信号</w:t>
      </w:r>
    </w:p>
    <w:p>
      <w:pPr>
        <w:pStyle w:val="11"/>
      </w:pPr>
      <w:r>
        <w:t xml:space="preserve">设真值时空场为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</m:sub>
        </m:sSub>
      </m:oMath>
      <w:r>
        <w:t xml:space="preserve">，单帧张量表示为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观测由任务指定观测算子 (H) 生成：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为噪声项（可取 0 或合成噪声）。训练样本至少包含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，并随样本或随数据集提供标准化统计量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（逐通道 z-score；第6章报告生成策略与复用方式）。</w:t>
      </w:r>
    </w:p>
    <w:p>
      <w:pPr>
        <w:pStyle w:val="11"/>
      </w:pPr>
      <w:r>
        <w:t xml:space="preserve">为便于模块替换与批处理，统一采用 batch-first 表示：</w:t>
      </w:r>
    </w:p>
    <w:p>
      <w:pPr>
        <w:pStyle w:val="Formula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H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t>y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SR 任务通常满足</w:t>
      </w:r>
      <w:r>
        <w:t xml:space="preserve"> </w:t>
      </w:r>
      <m:oMath>
        <m:sSub>
          <m:e>
            <m:r>
              <m:t>H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s</m:t>
            </m:r>
          </m:den>
        </m:f>
      </m:oMath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Crop 任务通常满足</w:t>
      </w:r>
      <w:r>
        <w:t xml:space="preserve"> </w:t>
      </w:r>
      <m:oMath>
        <m:sSub>
          <m:e>
            <m:r>
              <m:t>H</m:t>
            </m:r>
          </m:e>
          <m:sub>
            <m:r>
              <m:t>y</m:t>
            </m:r>
          </m:sub>
        </m:sSub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。</w:t>
      </w:r>
    </w:p>
    <w:bookmarkEnd w:id="21"/>
    <w:bookmarkStart w:id="22" w:name="统一接口可替换模型的最小协议"/>
    <w:p>
      <w:pPr>
        <w:pStyle w:val="3"/>
      </w:pPr>
      <w:r>
        <w:t xml:space="preserve">5.1.2 统一接口：可替换模型的最小协议</w:t>
      </w:r>
    </w:p>
    <w:p>
      <w:pPr>
        <w:pStyle w:val="11"/>
      </w:pPr>
      <w:r>
        <w:t xml:space="preserve">为保证模块可替换与评测一致性，模型采用统一签名（输出位于 z-score 域）：</w:t>
      </w:r>
    </w:p>
    <w:p>
      <w:pPr>
        <w:numPr>
          <w:ilvl w:val="0"/>
          <w:numId w:val="1003"/>
        </w:numPr>
        <w:pStyle w:val="Compact"/>
      </w:pPr>
      <w:r>
        <w:t xml:space="preserve">初始化：</w:t>
      </w:r>
      <w:r>
        <w:rPr>
          <w:rStyle w:val="VerbatimChar"/>
        </w:rPr>
        <w:t xml:space="preserve">__init__(in_ch, out_ch, img_size, *_kwargs)</w:t>
      </w:r>
    </w:p>
    <w:p>
      <w:pPr>
        <w:numPr>
          <w:ilvl w:val="0"/>
          <w:numId w:val="1003"/>
        </w:numPr>
        <w:pStyle w:val="Compact"/>
      </w:pPr>
      <w:r>
        <w:t xml:space="preserve">前向：</w:t>
      </w:r>
      <w:r>
        <w:rPr>
          <w:rStyle w:val="VerbatimChar"/>
        </w:rPr>
        <w:t xml:space="preserve">forward(x[B,C_in,H,W]$ -&gt; u_hat_z[B,C_out,H,W]</w:t>
      </w:r>
    </w:p>
    <w:p>
      <w:pPr>
        <w:pStyle w:val="11"/>
      </w:pPr>
      <w:r>
        <w:t xml:space="preserve">输入张量 (x) 由如下分量按通道拼接构成：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baseline</w:t>
      </w:r>
      <w:r>
        <w:t xml:space="preserve">：基础重建（SR：上采样到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；Crop：零填充+mask 约束或简单插值），用于稳定训练起点；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coords</w:t>
      </w:r>
      <w:r>
        <w:t xml:space="preserve">：显式坐标编码（归一化到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，可叠加 Fourier 特征）；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mask</w:t>
      </w:r>
      <w:r>
        <w:t xml:space="preserve">：观测缺失区域指示（Crop 场景关键，用于区分“观测/未观测”区域）；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fourier_pe</w:t>
      </w:r>
      <w:r>
        <w:t xml:space="preserve">（可选）：频域位置编码，用于缓解频谱偏置并提升高频表达。</w:t>
      </w:r>
    </w:p>
    <w:p>
      <w:pPr>
        <w:pStyle w:val="11"/>
      </w:pPr>
      <w:r>
        <w:t xml:space="preserve">对应的统一输入打包形式为：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统一观测算子-h-与训练退化算子-mathrmdc-的同源复用"/>
    <w:p>
      <w:pPr>
        <w:pStyle w:val="2"/>
      </w:pPr>
      <w:r>
        <w:t xml:space="preserve">5.2 统一观测算子 (H) 与训练退化算子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的同源复用</w:t>
      </w:r>
    </w:p>
    <w:bookmarkStart w:id="24" w:name="单一入口原则与参数镜像"/>
    <w:p>
      <w:pPr>
        <w:pStyle w:val="3"/>
      </w:pPr>
      <w:r>
        <w:t xml:space="preserve">5.2.1 单一入口原则与参数镜像</w:t>
      </w:r>
    </w:p>
    <w:p>
      <w:pPr>
        <w:pStyle w:val="11"/>
      </w:pPr>
      <w:r>
        <w:t xml:space="preserve">工程实现将 (H) 的构造收敛到</w:t>
      </w:r>
      <w:r>
        <w:rPr>
          <w:bCs/>
          <w:b/>
        </w:rPr>
        <w:t xml:space="preserve">唯一入口函数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build_degradation(cfg.degradation)</w:t>
      </w:r>
      <w:r>
        <w:t xml:space="preserve">），并强制训练端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直接复用同一实现（同一实例或同一配置签名生成的等价实例）。设计目标是消除隐性域偏差：一旦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，即使像素域误差下降，也可能出现评测口径误差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</m:oMath>
      <w:r>
        <w:t xml:space="preserve"> </w:t>
      </w:r>
      <w:r>
        <w:t xml:space="preserve">不降反升的“评测断裂”。</w:t>
      </w:r>
    </w:p>
    <w:p>
      <w:pPr>
        <w:pStyle w:val="11"/>
      </w:pPr>
      <w:r>
        <w:t xml:space="preserve">口径复用属于“可审计工程约束”，需要通过一致性门禁脚本把约束落到可执行证据上（见 5.2.4）。</w:t>
      </w:r>
    </w:p>
    <w:bookmarkEnd w:id="24"/>
    <w:bookmarkStart w:id="25" w:name="sr-观测算子抗混叠与插值选择"/>
    <w:p>
      <w:pPr>
        <w:pStyle w:val="3"/>
      </w:pPr>
      <w:r>
        <w:t xml:space="preserve">5.2.2 SR 观测算子：抗混叠与插值选择</w:t>
      </w:r>
    </w:p>
    <w:p>
      <w:pPr>
        <w:pStyle w:val="11"/>
      </w:pPr>
      <w:r>
        <w:t xml:space="preserve">SR 任务采用“先低通、再缩小”的口径：</w:t>
      </w:r>
    </w:p>
    <w:p>
      <w:pPr>
        <w:pStyle w:val="Formula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</m:sub>
            </m:sSub>
          </m:sub>
        </m:sSub>
      </m:oMath>
      <w:r>
        <w:t xml:space="preserve"> </w:t>
      </w:r>
      <w:r>
        <w:t xml:space="preserve">为高斯预滤波核，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为下采样算子（缩小倍率 (s)）。缩小插值策略采用 OpenCV 的建议：缩小场景优先使用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，其 decimation 行为更符合抗混叠需求。高斯滤波的参数语义（核大小、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、边界处理等）以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的官方说明为准。</w:t>
      </w:r>
    </w:p>
    <w:p>
      <w:pPr>
        <w:pStyle w:val="11"/>
      </w:pPr>
      <w:r>
        <w:t xml:space="preserve">工程口径声明写入配置快照（材料包可核验）：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scale s</w:t>
      </w:r>
      <w:r>
        <w:t xml:space="preserve">、</w:t>
      </w:r>
      <w:r>
        <w:rPr>
          <w:rStyle w:val="VerbatimChar"/>
        </w:rPr>
        <w:t xml:space="preserve">blur_sigma</w:t>
      </w:r>
      <w:r>
        <w:t xml:space="preserve">、</w:t>
      </w:r>
      <w:r>
        <w:rPr>
          <w:rStyle w:val="VerbatimChar"/>
        </w:rPr>
        <w:t xml:space="preserve">blur_ksize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缩小插值：</w:t>
      </w:r>
      <w:r>
        <w:rPr>
          <w:rStyle w:val="VerbatimChar"/>
        </w:rPr>
        <w:t xml:space="preserve">INTER_AREA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边界策略（reflect/replicate/wrap）与滤波阶段的边界策略一致性；</w:t>
      </w:r>
    </w:p>
    <w:p>
      <w:pPr>
        <w:numPr>
          <w:ilvl w:val="0"/>
          <w:numId w:val="1005"/>
        </w:numPr>
        <w:pStyle w:val="Compact"/>
      </w:pPr>
      <w:r>
        <w:t xml:space="preserve">标准化/反标准化发生顺序（与 5.4.3 的原值域一致性损失保持一致）。</w:t>
      </w:r>
    </w:p>
    <w:bookmarkEnd w:id="25"/>
    <w:bookmarkStart w:id="26" w:name="crop-观测算子中心对齐块对齐与边界策略"/>
    <w:p>
      <w:pPr>
        <w:pStyle w:val="3"/>
      </w:pPr>
      <w:r>
        <w:t xml:space="preserve">5.2.3 Crop 观测算子：中心对齐、块对齐与边界策略</w:t>
      </w:r>
    </w:p>
    <w:p>
      <w:pPr>
        <w:pStyle w:val="11"/>
      </w:pPr>
      <w:r>
        <w:t xml:space="preserve">Crop 观测写为：</w:t>
      </w:r>
    </w:p>
    <w:p>
      <w:pPr>
        <w:pStyle w:val="Formula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为裁剪算子。为与网络 patch/窗口结构兼容，裁剪窗口建议满足</w:t>
      </w:r>
      <w:r>
        <w:t xml:space="preserve"> </w:t>
      </w:r>
      <w:r>
        <w:rPr>
          <w:rStyle w:val="VerbatimChar"/>
        </w:rPr>
        <w:t xml:space="preserve">patch_size</w:t>
      </w:r>
      <w:r>
        <w:t xml:space="preserve"> </w:t>
      </w:r>
      <w:r>
        <w:t xml:space="preserve">的整数倍，避免额外 padding 引入对齐偏差。口径声明包含：</w:t>
      </w:r>
    </w:p>
    <w:p>
      <w:pPr>
        <w:numPr>
          <w:ilvl w:val="0"/>
          <w:numId w:val="1006"/>
        </w:numPr>
        <w:pStyle w:val="Compact"/>
      </w:pPr>
      <w:r>
        <w:t xml:space="preserve">对齐规则（中心对齐/左上对齐/偏移量定义）；</w:t>
      </w:r>
    </w:p>
    <w:p>
      <w:pPr>
        <w:numPr>
          <w:ilvl w:val="0"/>
          <w:numId w:val="1006"/>
        </w:numPr>
        <w:pStyle w:val="Compact"/>
      </w:pPr>
      <w:r>
        <w:t xml:space="preserve">窗口尺寸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与边界策略；</w:t>
      </w:r>
    </w:p>
    <w:p>
      <w:pPr>
        <w:numPr>
          <w:ilvl w:val="0"/>
          <w:numId w:val="1006"/>
        </w:numPr>
        <w:pStyle w:val="Compact"/>
      </w:pPr>
      <w:r>
        <w:t xml:space="preserve">mask 同步更新规则（裁剪与 mask 更新绑定，否则跨实验指标不可比）。</w:t>
      </w:r>
    </w:p>
    <w:bookmarkEnd w:id="26"/>
    <w:bookmarkStart w:id="27" w:name="一致性门禁阻断式审计"/>
    <w:p>
      <w:pPr>
        <w:pStyle w:val="3"/>
      </w:pPr>
      <w:r>
        <w:t xml:space="preserve">5.2.4 一致性门禁（阻断式审计）</w:t>
      </w:r>
    </w:p>
    <w:p>
      <w:pPr>
        <w:pStyle w:val="11"/>
      </w:pPr>
      <w:r>
        <w:t xml:space="preserve">训练开始阶段执行一致性检验，不通过则终止实验并输出差异诊断。对随机抽样的真值</w:t>
      </w:r>
      <w:r>
        <w:t xml:space="preserve"> </w:t>
      </w:r>
      <m:oMath>
        <m:sSup>
          <m:e>
            <m: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数据管线生成</w:t>
      </w:r>
      <w:r>
        <w:t xml:space="preserve"> </w:t>
      </w:r>
      <m:oMath>
        <m:sSup>
          <m:e>
            <m: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算子入口生成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p>
          </m:e>
        </m:d>
      </m:oMath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验证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8"/>
        </w:numPr>
        <w:pStyle w:val="Compact"/>
      </w:pPr>
      <w:r>
        <w:t xml:space="preserve">失败时记录并归档差异来源：</w:t>
      </w:r>
      <m:oMath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,</m:t>
        </m:r>
        <m:r>
          <m:t>k</m:t>
        </m:r>
      </m:oMath>
      <w:r>
        <w:t xml:space="preserve">、插值方式、边界策略、对齐偏移、dtype/rounding 等，输出到</w:t>
      </w:r>
      <w:r>
        <w:t xml:space="preserve"> </w:t>
      </w:r>
      <w:r>
        <w:rPr>
          <w:rStyle w:val="VerbatimChar"/>
        </w:rPr>
        <w:t xml:space="preserve">runs/&lt;exp&gt;/consistency_report.json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网络结构的工程化拆分编码算子层时空融合解码"/>
    <w:p>
      <w:pPr>
        <w:pStyle w:val="2"/>
      </w:pPr>
      <w:r>
        <w:t xml:space="preserve">5.3 网络结构的工程化拆分：编码—算子层—时空融合—解码</w:t>
      </w:r>
    </w:p>
    <w:bookmarkStart w:id="29" w:name="编码器多尺度空间表征"/>
    <w:p>
      <w:pPr>
        <w:pStyle w:val="3"/>
      </w:pPr>
      <w:r>
        <w:t xml:space="preserve">5.3.1 编码器：多尺度空间表征</w:t>
      </w:r>
    </w:p>
    <w:p>
      <w:pPr>
        <w:pStyle w:val="11"/>
      </w:pPr>
      <w:r>
        <w:t xml:space="preserve">编码器负责从</w:t>
      </w:r>
      <w:r>
        <w:t xml:space="preserve"> </w:t>
      </w:r>
      <w:r>
        <w:rPr>
          <w:rStyle w:val="VerbatimChar"/>
        </w:rPr>
        <w:t xml:space="preserve">baseline/coords/mask/$fourier_pe$</w:t>
      </w:r>
      <w:r>
        <w:t xml:space="preserve"> </w:t>
      </w:r>
      <w:r>
        <w:t xml:space="preserve">提取多尺度空间特征。工程上常用稳定组合：</w:t>
      </w:r>
    </w:p>
    <w:p>
      <w:pPr>
        <w:numPr>
          <w:ilvl w:val="0"/>
          <w:numId w:val="1009"/>
        </w:numPr>
        <w:pStyle w:val="Compact"/>
      </w:pPr>
      <w:r>
        <w:t xml:space="preserve">多尺度卷积块（成本可控、复现友好）；</w:t>
      </w:r>
    </w:p>
    <w:p>
      <w:pPr>
        <w:numPr>
          <w:ilvl w:val="0"/>
          <w:numId w:val="1009"/>
        </w:numPr>
        <w:pStyle w:val="Compact"/>
      </w:pPr>
      <w:r>
        <w:t xml:space="preserve">注意力/Transformer 块（增强长程依赖，需配套资源统计）；</w:t>
      </w:r>
    </w:p>
    <w:p>
      <w:pPr>
        <w:numPr>
          <w:ilvl w:val="0"/>
          <w:numId w:val="1009"/>
        </w:numPr>
        <w:pStyle w:val="Compact"/>
      </w:pPr>
      <w:r>
        <w:t xml:space="preserve">频域分支（与谱约束损失互补，需与第6章消融对齐）。</w:t>
      </w:r>
    </w:p>
    <w:p>
      <w:pPr>
        <w:pStyle w:val="11"/>
      </w:pPr>
      <w:r>
        <w:t xml:space="preserve">编码器输出记为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C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。</w:t>
      </w:r>
    </w:p>
    <w:bookmarkEnd w:id="29"/>
    <w:bookmarkStart w:id="30" w:name="算子层operatorblock横向可替换的统一接口"/>
    <w:p>
      <w:pPr>
        <w:pStyle w:val="3"/>
      </w:pPr>
      <w:r>
        <w:t xml:space="preserve">5.3.2 算子层（OperatorBlock）：横向可替换的统一接口</w:t>
      </w:r>
    </w:p>
    <w:p>
      <w:pPr>
        <w:pStyle w:val="11"/>
      </w:pPr>
      <w:r>
        <w:t xml:space="preserve">算子层定位为“可替换模块”，统一形式：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: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↦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在不改变输入输出张量形状的前提下替换 FNO-family / DeepONet-family / Conv-Attn hybrid。替换实验只允许修改</w:t>
      </w:r>
      <w:r>
        <w:t xml:space="preserve"> </w:t>
      </w:r>
      <w:r>
        <w:rPr>
          <w:rStyle w:val="VerbatimChar"/>
        </w:rPr>
        <w:t xml:space="preserve">OperatorBlock</w:t>
      </w:r>
      <w:r>
        <w:t xml:space="preserve"> </w:t>
      </w:r>
      <w:r>
        <w:t xml:space="preserve">内部实现与其超参数，不允许改变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或数据口径，从而保证对照公平。</w:t>
      </w:r>
      <w:r>
        <w:t xml:space="preserve"> </w:t>
      </w:r>
      <w:r>
        <w:t xml:space="preserve">### 5.3.3 时空融合：显式时序模块与隐式条件化两条路线</w:t>
      </w:r>
    </w:p>
    <w:p>
      <w:pPr>
        <w:pStyle w:val="11"/>
      </w:pPr>
      <w:r>
        <w:t xml:space="preserve">时间维融合采用两条工程路线（第6章以“误差传播—推理成本”对照）：</w:t>
      </w:r>
    </w:p>
    <w:p>
      <w:pPr>
        <w:numPr>
          <w:ilvl w:val="0"/>
          <w:numId w:val="1010"/>
        </w:numPr>
        <w:pStyle w:val="Compact"/>
      </w:pPr>
      <w:r>
        <w:t xml:space="preserve">显式时序：ConvLSTM / Temporal Transformer /</w:t>
      </w:r>
      <w:r>
        <w:t xml:space="preserve"> </w:t>
      </w:r>
      <w:r>
        <w:rPr>
          <w:bCs/>
          <w:b/>
        </w:rPr>
        <w:t xml:space="preserve">自回归封装 (ARWrapper)</w:t>
      </w:r>
      <w:r>
        <w:t xml:space="preserve">（直接建模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维耦合，适合长时预测）；</w:t>
      </w:r>
    </w:p>
    <w:p>
      <w:pPr>
        <w:numPr>
          <w:ilvl w:val="0"/>
          <w:numId w:val="1010"/>
        </w:numPr>
        <w:pStyle w:val="Compact"/>
      </w:pPr>
      <w:r>
        <w:t xml:space="preserve">隐式条件：把时间索引/物理参数作为条件输入，通过条件归一化或条件注意力调制特征。</w:t>
      </w:r>
    </w:p>
    <w:p>
      <w:pPr>
        <w:pStyle w:val="11"/>
      </w:pPr>
      <w:r>
        <w:t xml:space="preserve">两条路线保持统一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签名，避免接口变化引入不可控实验差异。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分阶段时空顺序训练实现细节"/>
    <w:p>
      <w:pPr>
        <w:pStyle w:val="2"/>
      </w:pPr>
      <w:r>
        <w:t xml:space="preserve">5.4 分阶段时空顺序训练实现细节</w:t>
      </w:r>
    </w:p>
    <w:p>
      <w:pPr>
        <w:pStyle w:val="11"/>
      </w:pPr>
      <w:r>
        <w:t xml:space="preserve">为解决时空耦合模型端到端训练收敛困难的问题，本研究在</w:t>
      </w:r>
      <w:r>
        <w:t xml:space="preserve"> </w:t>
      </w:r>
      <w:r>
        <w:rPr>
          <w:rStyle w:val="VerbatimChar"/>
        </w:rPr>
        <w:t xml:space="preserve">SequentialSpatiotemporalTrainer</w:t>
      </w:r>
      <w:r>
        <w:t xml:space="preserve"> </w:t>
      </w:r>
      <w:r>
        <w:t xml:space="preserve">类中实现了三阶段顺序训练策略。该实现不仅涉及损失函数的切换，还涉及模型参数的冻结与解冻逻辑，具体如下：</w:t>
      </w:r>
    </w:p>
    <w:bookmarkStart w:id="32" w:name="阶段一空间预训练-spatial-pretraining"/>
    <w:p>
      <w:pPr>
        <w:pStyle w:val="3"/>
      </w:pPr>
      <w:r>
        <w:t xml:space="preserve">5.4.1 阶段一：空间预训练 (Spatial Pretraining)</w:t>
      </w:r>
    </w:p>
    <w:p>
      <w:pPr>
        <w:pStyle w:val="Formula"/>
      </w:pPr>
      <w:r>
        <w:t xml:space="preserve">在此阶段，时序模块被显式冻结（</w:t>
      </w:r>
      <w:r>
        <w:rPr>
          <w:rStyle w:val="VerbatimChar"/>
        </w:rPr>
        <w:t xml:space="preserve">requires_grad=False</w:t>
      </w:r>
      <w:r>
        <w:t xml:space="preserve">），仅训练空间编码器与解码器。数据加载器以单帧模式（或将时序维度视为 batch 维度）提供输入。</w:t>
      </w:r>
      <w:r>
        <w:t xml:space="preserve"> </w:t>
      </w:r>
      <w:r>
        <w:t xml:space="preserve">训练目标仅包含单帧重建损失、谱损失与单帧观测一致性损失：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spatial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</m:oMath>
      </m:oMathPara>
    </w:p>
    <w:p>
      <w:pPr>
        <w:pStyle w:val="Formula"/>
      </w:pPr>
      <w:r>
        <w:t xml:space="preserve">该阶段通常持续 50-100 Epochs，确保空间重建质量达到稳定基线。</w:t>
      </w:r>
    </w:p>
    <w:bookmarkEnd w:id="32"/>
    <w:bookmarkStart w:id="33" w:name="阶段二时序预训练-temporal-pretraining"/>
    <w:p>
      <w:pPr>
        <w:pStyle w:val="3"/>
      </w:pPr>
      <w:r>
        <w:t xml:space="preserve">5.4.2 阶段二：时序预训练 (Temporal Pretraining)</w:t>
      </w:r>
    </w:p>
    <w:p>
      <w:pPr>
        <w:pStyle w:val="11"/>
      </w:pPr>
      <w:r>
        <w:t xml:space="preserve">在此阶段，已训练的空间模块被冻结，仅训练时序演化模块（如 ARWrapper）。采用 Teacher Forcing 策略，即输入为真实历史特征</w:t>
      </w:r>
      <w:r>
        <w:t xml:space="preserve"> </w:t>
      </w:r>
      <m:oMath>
        <m:sSubSup>
          <m:e>
            <m:r>
              <m:t>z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nor/>
                <m:sty m:val="p"/>
              </m:rPr>
              <m:t>GT</m:t>
            </m:r>
          </m:sup>
        </m:sSubSup>
      </m:oMath>
      <w:r>
        <w:t xml:space="preserve">，预测下一时刻特征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t</m:t>
            </m:r>
          </m:sub>
        </m:sSub>
      </m:oMath>
      <w:r>
        <w:t xml:space="preserve">。</w:t>
      </w:r>
      <w:r>
        <w:t xml:space="preserve"> </w:t>
      </w:r>
      <w:r>
        <w:t xml:space="preserve">损失函数聚焦于特征空间的演化误差，避免解码器误差的干扰。</w:t>
      </w:r>
    </w:p>
    <w:bookmarkEnd w:id="33"/>
    <w:bookmarkStart w:id="34" w:name="X7655fe3d178c9a570856ea4c20889bf93c0aeed"/>
    <w:p>
      <w:pPr>
        <w:pStyle w:val="3"/>
      </w:pPr>
      <w:r>
        <w:t xml:space="preserve">5.4.3 阶段三：联合微调与自回归滚动 (Joint Fine-tuning &amp; AR Rollout)</w:t>
      </w:r>
    </w:p>
    <w:p>
      <w:pPr>
        <w:pStyle w:val="11"/>
      </w:pPr>
      <w:r>
        <w:t xml:space="preserve">全模型参数解冻。训练逻辑切换为</w:t>
      </w:r>
      <w:r>
        <w:t xml:space="preserve"> </w:t>
      </w:r>
      <w:r>
        <w:rPr>
          <w:bCs/>
          <w:b/>
        </w:rPr>
        <w:t xml:space="preserve">20 步自回归滚动预测 (20-step AR Rollout)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初始输入</w:t>
      </w:r>
      <w:r>
        <w:t xml:space="preserve">：前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步使用真实观测；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滚动预测</w:t>
      </w:r>
      <w:r>
        <w:t xml:space="preserve">：后续步骤使用模型上一时刻的预测值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作为输入（Teacher Forcing Decay 策略控制真值注入比例）；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时序正则化</w:t>
      </w:r>
      <w:r>
        <w:t xml:space="preserve">：引入时序导数损失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deriv</m:t>
            </m:r>
          </m:sub>
        </m:sSub>
      </m:oMath>
      <w:r>
        <w:t xml:space="preserve"> </w:t>
      </w:r>
      <w:r>
        <w:t xml:space="preserve">与能量演化损失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energy</m:t>
            </m:r>
          </m:sub>
        </m:sSub>
      </m:oMath>
      <w:r>
        <w:t xml:space="preserve">（见 3.5.5），约束长时动力学漂移。</w:t>
      </w:r>
    </w:p>
    <w:p>
      <w:pPr>
        <w:pStyle w:val="11"/>
      </w:pPr>
      <w:r>
        <w:t xml:space="preserve">这种分阶段策略在代码中通过</w:t>
      </w:r>
      <w:r>
        <w:t xml:space="preserve"> </w:t>
      </w:r>
      <w:r>
        <w:rPr>
          <w:rStyle w:val="VerbatimChar"/>
        </w:rPr>
        <w:t xml:space="preserve">freeze_spatial()</w:t>
      </w:r>
      <w:r>
        <w:t xml:space="preserve">、</w:t>
      </w:r>
      <w:r>
        <w:rPr>
          <w:rStyle w:val="VerbatimChar"/>
        </w:rPr>
        <w:t xml:space="preserve">freeze_temporal()</w:t>
      </w:r>
      <w:r>
        <w:t xml:space="preserve"> </w:t>
      </w:r>
      <w:r>
        <w:t xml:space="preserve">等方法与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配置项严格控制，确保了从静态重建到动态演化的平滑过渡。</w:t>
      </w:r>
    </w:p>
    <w:p>
      <w:r>
        <w:pict>
          <v:rect style="width:0;height:1.5pt" o:hralign="center" o:hrstd="t" o:hr="t"/>
        </w:pict>
      </w:r>
    </w:p>
    <w:bookmarkEnd w:id="34"/>
    <w:bookmarkStart w:id="35" w:name="解码器双线性上采样-3times-3-卷积"/>
    <w:p>
      <w:pPr>
        <w:pStyle w:val="3"/>
      </w:pPr>
      <w:r>
        <w:t xml:space="preserve">5.3.4 解码器：双线性上采样 +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卷积</w:t>
      </w:r>
    </w:p>
    <w:p>
      <w:pPr>
        <w:pStyle w:val="11"/>
      </w:pPr>
      <w:r>
        <w:t xml:space="preserve">上采样阶段采用“插值上采样 + 小卷积核细化”（典型为双线性 +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），用于抑制转置卷积常见的棋盘格伪影。经典分析指出：转置卷积因 overlap 模式易产生 checkerboard artifacts，</w:t>
      </w:r>
      <w:r>
        <w:t xml:space="preserve">“</w:t>
      </w:r>
      <w:r>
        <w:t xml:space="preserve">resize + conv</w:t>
      </w:r>
      <w:r>
        <w:t xml:space="preserve">”</w:t>
      </w:r>
      <w:r>
        <w:t xml:space="preserve">属于可行替代路径。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三件套损失的实现细则与数值注意事项"/>
    <w:p>
      <w:pPr>
        <w:pStyle w:val="2"/>
      </w:pPr>
      <w:r>
        <w:t xml:space="preserve">5.5 三件套损失的实现细则与数值注意事项</w:t>
      </w:r>
    </w:p>
    <w:p>
      <w:pPr>
        <w:pStyle w:val="11"/>
      </w:pPr>
      <w:r>
        <w:t xml:space="preserve">模型输出位于 z-score 域，逐通道反标准化得到原值域预测：</w:t>
      </w:r>
    </w:p>
    <w:p>
      <w:pPr>
        <w:pStyle w:val="Formula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.</m:t>
          </m:r>
        </m:oMath>
      </m:oMathPara>
    </w:p>
    <w:bookmarkStart w:id="37" w:name="重建损失-l_mathrmrec"/>
    <w:p>
      <w:pPr>
        <w:pStyle w:val="3"/>
      </w:pPr>
      <w:r>
        <w:t xml:space="preserve">5.4.1 重建损失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11"/>
      </w:pPr>
      <w:r>
        <w:t xml:space="preserve">在 z-score 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该项提供主要收敛驱动力，适合作为所有实验的公共基线项。</w:t>
      </w:r>
    </w:p>
    <w:bookmarkEnd w:id="37"/>
    <w:bookmarkStart w:id="38" w:name="低频谱一致性损失-l_mathrmspec"/>
    <w:p>
      <w:pPr>
        <w:pStyle w:val="3"/>
      </w:pPr>
      <w:r>
        <w:t xml:space="preserve">5.4.2 低频谱一致性损失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11"/>
      </w:pPr>
      <w:r>
        <w:t xml:space="preserve">对二维 FFT 后的低频子空间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施加约束：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工程实现注意点：</w:t>
      </w:r>
    </w:p>
    <w:p>
      <w:pPr>
        <w:numPr>
          <w:ilvl w:val="0"/>
          <w:numId w:val="1011"/>
        </w:numPr>
        <w:pStyle w:val="Compact"/>
      </w:pPr>
      <w:r>
        <w:t xml:space="preserve">建议使用</w:t>
      </w:r>
      <w:r>
        <w:t xml:space="preserve"> </w:t>
      </w:r>
      <w:r>
        <w:rPr>
          <w:rStyle w:val="VerbatimChar"/>
        </w:rPr>
        <w:t xml:space="preserve">rfft2</w:t>
      </w:r>
      <w:r>
        <w:t xml:space="preserve">（实输入）并固定归一化方式（例如</w:t>
      </w:r>
      <w:r>
        <w:t xml:space="preserve"> </w:t>
      </w:r>
      <w:r>
        <w:rPr>
          <w:rStyle w:val="VerbatimChar"/>
        </w:rPr>
        <w:t xml:space="preserve">norm="ortho"</w:t>
      </w:r>
      <w:r>
        <w:t xml:space="preserve">），避免尺度漂移导致权重不可比；</w:t>
      </w:r>
    </w:p>
    <w:p>
      <w:pPr>
        <w:numPr>
          <w:ilvl w:val="0"/>
          <w:numId w:val="1011"/>
        </w:numPr>
        <w:pStyle w:val="Compact"/>
      </w:pPr>
      <w:r>
        <w:t xml:space="preserve">多通道（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）时明确通道聚合方式（逐通道求和/加权），并写入配置；</w:t>
      </w:r>
    </w:p>
    <w:p>
      <w:pPr>
        <w:numPr>
          <w:ilvl w:val="0"/>
          <w:numId w:val="1011"/>
        </w:numPr>
        <w:pStyle w:val="Compact"/>
      </w:pPr>
      <w:r>
        <w:t xml:space="preserve">为保证 SR 与 Crop 横向可比，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的定义与分辨率绑定：可采用固定频率索引阈值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，或采用按比例截断并在全实验保持一致。</w:t>
      </w:r>
    </w:p>
    <w:bookmarkEnd w:id="38"/>
    <w:bookmarkStart w:id="39" w:name="原值域观测一致性损失-l_mathrmdc"/>
    <w:p>
      <w:pPr>
        <w:pStyle w:val="3"/>
      </w:pPr>
      <w:r>
        <w:t xml:space="preserve">5.4.3 原值域观测一致性损失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该项把训练目标锚定到评测口径，减少“像素域更好但观测口径更差”的断裂风险。由于 (H) 可能包含模糊与下采样等操作，强制同源复用</w:t>
      </w:r>
      <w:r>
        <w:t xml:space="preserve"> </w:t>
      </w:r>
      <m:oMath>
        <m:r>
          <m:t>H</m:t>
        </m:r>
        <m:r>
          <m:rPr>
            <m:sty m:val="p"/>
          </m:rPr>
          <m:t>≡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是该损失成立的先决条件。</w:t>
      </w:r>
    </w:p>
    <w:bookmarkEnd w:id="39"/>
    <w:bookmarkStart w:id="40" w:name="总损失与权重配置"/>
    <w:p>
      <w:pPr>
        <w:pStyle w:val="3"/>
      </w:pPr>
      <w:r>
        <w:t xml:space="preserve">5.4.4 总损失与权重配置</w:t>
      </w:r>
    </w:p>
    <w:p>
      <w:pPr>
        <w:pStyle w:val="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作为一级配置项写入 YAML，并与低频阈值联合扫描（例如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24</m:t>
            </m:r>
          </m:e>
        </m:d>
      </m:oMath>
      <w:r>
        <w:t xml:space="preserve">），为第6章敏感性分析提供可审计的“性能—口径—资源”折衷证据。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训练策略优化器学习率混合精度与确定性"/>
    <w:p>
      <w:pPr>
        <w:pStyle w:val="2"/>
      </w:pPr>
      <w:r>
        <w:t xml:space="preserve">5.5 训练策略：优化器、学习率、混合精度与确定性</w:t>
      </w:r>
    </w:p>
    <w:bookmarkStart w:id="42" w:name="adamw权重衰减解耦"/>
    <w:p>
      <w:pPr>
        <w:pStyle w:val="3"/>
      </w:pPr>
      <w:r>
        <w:t xml:space="preserve">5.5.1 AdamW：权重衰减解耦</w:t>
      </w:r>
    </w:p>
    <w:p>
      <w:pPr>
        <w:pStyle w:val="11"/>
      </w:pPr>
      <w:r>
        <w:t xml:space="preserve">优化器采用 AdamW，以实现权重衰减与梯度更新解耦，使正则项行为更接近“真正的 L2 正则”。该做法由 AdamW 原始论文系统论证，属于成熟默认选项之一。</w:t>
      </w:r>
    </w:p>
    <w:bookmarkEnd w:id="42"/>
    <w:bookmarkStart w:id="43" w:name="cosine-学习率与-warmup"/>
    <w:p>
      <w:pPr>
        <w:pStyle w:val="3"/>
      </w:pPr>
      <w:r>
        <w:t xml:space="preserve">5.5.2 Cosine 学习率与 warmup</w:t>
      </w:r>
    </w:p>
    <w:p>
      <w:pPr>
        <w:pStyle w:val="11"/>
      </w:pPr>
      <w:r>
        <w:t xml:space="preserve">学习率日程采用 cosine 退火（可选 warm restarts）。warmup（如前若干 step 线性升温）作为工程稳定措施保留，并与 batch size、梯度裁剪阈值、混合精度策略共同写入配置快照，保证复现实验可严格对齐。</w:t>
      </w:r>
    </w:p>
    <w:bookmarkEnd w:id="43"/>
    <w:bookmarkStart w:id="44" w:name="自动混合精度amp"/>
    <w:p>
      <w:pPr>
        <w:pStyle w:val="3"/>
      </w:pPr>
      <w:r>
        <w:t xml:space="preserve">5.5.3 自动混合精度（AMP）</w:t>
      </w:r>
    </w:p>
    <w:p>
      <w:pPr>
        <w:pStyle w:val="11"/>
      </w:pPr>
      <w:r>
        <w:t xml:space="preserve">GPU 训练启用自动混合精度以提升吞吐、降低显存占用，典型组合为 autocast + GradScaler。AMP 开关与 scaler 配置写入环境指纹，确保跨实验对照一致。</w:t>
      </w:r>
    </w:p>
    <w:bookmarkEnd w:id="44"/>
    <w:bookmarkStart w:id="45" w:name="确定性与可复现设置"/>
    <w:p>
      <w:pPr>
        <w:pStyle w:val="3"/>
      </w:pPr>
      <w:r>
        <w:t xml:space="preserve">5.5.4 确定性与可复现设置</w:t>
      </w:r>
    </w:p>
    <w:p>
      <w:pPr>
        <w:pStyle w:val="11"/>
      </w:pPr>
      <w:r>
        <w:t xml:space="preserve">确定性训练不仅依赖随机种子，还涉及算子选择与后端实现差异。建议将以下内容写入实验快照并在材料包可核验：</w:t>
      </w:r>
    </w:p>
    <w:p>
      <w:pPr>
        <w:numPr>
          <w:ilvl w:val="0"/>
          <w:numId w:val="1012"/>
        </w:numPr>
        <w:pStyle w:val="Compact"/>
      </w:pPr>
      <w:r>
        <w:t xml:space="preserve">全局随机种子；</w:t>
      </w:r>
    </w:p>
    <w:p>
      <w:pPr>
        <w:numPr>
          <w:ilvl w:val="0"/>
          <w:numId w:val="1012"/>
        </w:numPr>
        <w:pStyle w:val="Compact"/>
      </w:pPr>
      <w:r>
        <w:t xml:space="preserve">是否启用确定性算法（如</w:t>
      </w:r>
      <w:r>
        <w:t xml:space="preserve"> </w:t>
      </w:r>
      <w:r>
        <w:rPr>
          <w:rStyle w:val="VerbatimChar"/>
        </w:rPr>
        <w:t xml:space="preserve">torch.use_deterministic_algorithms(True)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t xml:space="preserve">cuDNN 的 deterministic/benchmark 配置；</w:t>
      </w:r>
    </w:p>
    <w:p>
      <w:pPr>
        <w:numPr>
          <w:ilvl w:val="0"/>
          <w:numId w:val="1012"/>
        </w:numPr>
        <w:pStyle w:val="Compact"/>
      </w:pPr>
      <w:r>
        <w:t xml:space="preserve">AMP 开关与 scaler 配置；</w:t>
      </w:r>
    </w:p>
    <w:p>
      <w:pPr>
        <w:numPr>
          <w:ilvl w:val="0"/>
          <w:numId w:val="1012"/>
        </w:numPr>
        <w:pStyle w:val="Compact"/>
      </w:pPr>
      <w:r>
        <w:t xml:space="preserve">数据加载顺序与 worker 初始化策略；</w:t>
      </w:r>
    </w:p>
    <w:p>
      <w:pPr>
        <w:numPr>
          <w:ilvl w:val="0"/>
          <w:numId w:val="1012"/>
        </w:numPr>
        <w:pStyle w:val="Compact"/>
      </w:pPr>
      <w:r>
        <w:t xml:space="preserve">分布式训练环境变量快照（如 DDP 的 rank/world size）。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资源四项统计可复核的测量流程"/>
    <w:p>
      <w:pPr>
        <w:pStyle w:val="2"/>
      </w:pPr>
      <w:r>
        <w:t xml:space="preserve">5.6 资源四项统计：可复核的测量流程</w:t>
      </w:r>
    </w:p>
    <w:p>
      <w:pPr>
        <w:pStyle w:val="11"/>
      </w:pPr>
      <w:r>
        <w:t xml:space="preserve">资源统计采用固定口径：固定输入尺寸（例如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）、固定 batch、固定设备与固定预热策略。</w:t>
      </w:r>
    </w:p>
    <w:bookmarkStart w:id="47" w:name="显存峰值gb"/>
    <w:p>
      <w:pPr>
        <w:pStyle w:val="3"/>
      </w:pPr>
      <w:r>
        <w:t xml:space="preserve">5.6.1 显存峰值（GB）</w:t>
      </w:r>
    </w:p>
    <w:p>
      <w:pPr>
        <w:pStyle w:val="11"/>
      </w:pPr>
      <w:r>
        <w:t xml:space="preserve">建议测量流程：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torch.cuda.reset_peak_memory_stats()</w:t>
      </w:r>
      <w:r>
        <w:t xml:space="preserve"> </w:t>
      </w:r>
      <w:r>
        <w:t xml:space="preserve">清零峰值计数；</w:t>
      </w:r>
    </w:p>
    <w:p>
      <w:pPr>
        <w:numPr>
          <w:ilvl w:val="0"/>
          <w:numId w:val="1013"/>
        </w:numPr>
        <w:pStyle w:val="Compact"/>
      </w:pPr>
      <w:r>
        <w:t xml:space="preserve">预热若干次前向；</w:t>
      </w:r>
    </w:p>
    <w:p>
      <w:pPr>
        <w:numPr>
          <w:ilvl w:val="0"/>
          <w:numId w:val="1013"/>
        </w:numPr>
        <w:pStyle w:val="Compact"/>
      </w:pPr>
      <w:r>
        <w:t xml:space="preserve">记录</w:t>
      </w:r>
      <w:r>
        <w:t xml:space="preserve"> </w:t>
      </w:r>
      <w:r>
        <w:rPr>
          <w:rStyle w:val="VerbatimChar"/>
        </w:rPr>
        <w:t xml:space="preserve">torch.cuda.max_memory_allocated()</w:t>
      </w:r>
      <w:r>
        <w:t xml:space="preserve"> </w:t>
      </w:r>
      <w:r>
        <w:t xml:space="preserve">作为峰值显存占用；</w:t>
      </w:r>
    </w:p>
    <w:p>
      <w:pPr>
        <w:numPr>
          <w:ilvl w:val="0"/>
          <w:numId w:val="1013"/>
        </w:numPr>
        <w:pStyle w:val="Compact"/>
      </w:pPr>
      <w:r>
        <w:t xml:space="preserve">记录 dtype、AMP 开关、batch size 与输入尺寸，避免口径漂移。</w:t>
      </w:r>
    </w:p>
    <w:bookmarkEnd w:id="47"/>
    <w:bookmarkStart w:id="48" w:name="推理延迟ms"/>
    <w:p>
      <w:pPr>
        <w:pStyle w:val="3"/>
      </w:pPr>
      <w:r>
        <w:t xml:space="preserve">5.6.2 推理延迟（ms）</w:t>
      </w:r>
    </w:p>
    <w:p>
      <w:pPr>
        <w:pStyle w:val="11"/>
      </w:pPr>
      <w:r>
        <w:t xml:space="preserve">建议使用固定次数预热后进行多次计时（例如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），报告均值±标准差；并记录 CUDA 同步策略（计时前后</w:t>
      </w:r>
      <w:r>
        <w:t xml:space="preserve"> </w:t>
      </w:r>
      <w:r>
        <w:rPr>
          <w:rStyle w:val="VerbatimChar"/>
        </w:rPr>
        <w:t xml:space="preserve">torch.cuda.synchronize()</w:t>
      </w:r>
      <w:r>
        <w:t xml:space="preserve"> </w:t>
      </w:r>
      <w:r>
        <w:t xml:space="preserve">或使用 CUDA events），保证不同机器之间的对照可解释。</w:t>
      </w:r>
    </w:p>
    <w:bookmarkEnd w:id="48"/>
    <w:bookmarkStart w:id="49" w:name="params-与-flops2562"/>
    <w:p>
      <w:pPr>
        <w:pStyle w:val="3"/>
      </w:pPr>
      <w:r>
        <w:t xml:space="preserve">5.6.3 Params 与 FLOPs@</w:t>
      </w:r>
      <m:oMath>
        <m:sSup>
          <m:e>
            <m:r>
              <m:t>256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14"/>
        </w:numPr>
        <w:pStyle w:val="Compact"/>
      </w:pPr>
      <w:r>
        <w:t xml:space="preserve">Params：统计可训练参数总量；</w:t>
      </w:r>
    </w:p>
    <w:p>
      <w:pPr>
        <w:numPr>
          <w:ilvl w:val="0"/>
          <w:numId w:val="1014"/>
        </w:numPr>
        <w:pStyle w:val="Compact"/>
      </w:pPr>
      <w:r>
        <w:t xml:space="preserve">FLOPs：采用成熟 FLOPs 工具（fvcore/ptflops/torch profiler 等）在固定输入尺寸上统计，并把工具版本与统计口径写入资源表，避免不同统计器导致的口径漂移。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伪代码与可实现的算法盒"/>
    <w:p>
      <w:pPr>
        <w:pStyle w:val="2"/>
      </w:pPr>
      <w:r>
        <w:t xml:space="preserve">5.7 伪代码与“可实现的算法盒”</w:t>
      </w:r>
    </w:p>
    <w:bookmarkStart w:id="51" w:name="训练主循环伪代码"/>
    <w:p>
      <w:pPr>
        <w:pStyle w:val="3"/>
      </w:pPr>
      <w:r>
        <w:t xml:space="preserve">5.7.1 训练主循环（伪代码）</w:t>
      </w:r>
    </w:p>
    <w:p>
      <w:pPr>
        <w:pStyle w:val="SourceCode"/>
      </w:pPr>
      <w:r>
        <w:rPr>
          <w:rStyle w:val="NormalTok"/>
        </w:rPr>
        <w:t xml:space="preserve">seed_all(SEED)</w:t>
      </w:r>
      <w:r>
        <w:br/>
      </w:r>
      <w:r>
        <w:br/>
      </w:r>
      <w:r>
        <w:rPr>
          <w:rStyle w:val="CommentTok"/>
        </w:rPr>
        <w:t xml:space="preserve"># --- build H / DC (single entrypoint) ---</w:t>
      </w:r>
      <w:r>
        <w:br/>
      </w:r>
      <w:r>
        <w:rPr>
          <w:rStyle w:val="NormalTok"/>
        </w:rPr>
        <w:t xml:space="preserve">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build_degradation(cfg.degradation)</w:t>
      </w:r>
      <w:r>
        <w:br/>
      </w:r>
      <w:r>
        <w:rPr>
          <w:rStyle w:val="NormalTok"/>
        </w:rPr>
        <w:t xml:space="preserve">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 </w:t>
      </w:r>
      <w:r>
        <w:rPr>
          <w:rStyle w:val="CommentTok"/>
        </w:rPr>
        <w:t xml:space="preserve"># hard constraint: same implementation &amp; params</w:t>
      </w:r>
      <w:r>
        <w:br/>
      </w:r>
      <w:r>
        <w:br/>
      </w:r>
      <w:r>
        <w:rPr>
          <w:rStyle w:val="CommentTok"/>
        </w:rPr>
        <w:t xml:space="preserve"># --- model ---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br/>
      </w:r>
      <w:r>
        <w:rPr>
          <w:rStyle w:val="NormalTok"/>
        </w:rPr>
        <w:t xml:space="preserve">    in_ch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cfg.model.in_ch,</w:t>
      </w:r>
      <w:r>
        <w:br/>
      </w:r>
      <w:r>
        <w:rPr>
          <w:rStyle w:val="NormalTok"/>
        </w:rPr>
        <w:t xml:space="preserve">    out_ch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cfg.model.out_ch,</w:t>
      </w:r>
      <w:r>
        <w:br/>
      </w:r>
      <w:r>
        <w:rPr>
          <w:rStyle w:val="NormalTok"/>
        </w:rPr>
        <w:t xml:space="preserve">    img_size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cfg.data.img_size,</w:t>
      </w:r>
      <w:r>
        <w:br/>
      </w:r>
      <w:r>
        <w:rPr>
          <w:rStyle w:val="NormalTok"/>
        </w:rPr>
        <w:t xml:space="preserve">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cfg.model.operator,     </w:t>
      </w:r>
      <w:r>
        <w:rPr>
          <w:rStyle w:val="CommentTok"/>
        </w:rPr>
        <w:t xml:space="preserve"># FNO/DeepONet/Hybrid/None</w:t>
      </w:r>
      <w:r>
        <w:br/>
      </w:r>
      <w:r>
        <w:rPr>
          <w:rStyle w:val="NormalTok"/>
        </w:rPr>
        <w:t xml:space="preserve">    decoder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"bilinear+conv3x3"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use_fourier_pe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cfg.model.use_fourier_pe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cfg.optim.lr, weight_decay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cfg.optim.wd)</w:t>
      </w:r>
      <w:r>
        <w:br/>
      </w:r>
      <w:r>
        <w:rPr>
          <w:rStyle w:val="NormalTok"/>
        </w:rPr>
        <w:t xml:space="preserve">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CosineScheduleWithWarmup(opt, warmup_steps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cfg.sched.warmup)</w:t>
      </w:r>
      <w:r>
        <w:br/>
      </w:r>
      <w:r>
        <w:br/>
      </w:r>
      <w:r>
        <w:rPr>
          <w:rStyle w:val="CommentTok"/>
        </w:rPr>
        <w:t xml:space="preserve"># --- gate: H/DC equivalence audit ---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check_equivalence(H, data_pipe,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(cfg.train.epochs):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y, u_z, mu,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  </w:t>
      </w:r>
      <w:r>
        <w:rPr>
          <w:rStyle w:val="CommentTok"/>
        </w:rPr>
        <w:t xml:space="preserve"># u_z: z-score GT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pack_input(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 baseline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make_baseline(y),</w:t>
      </w:r>
      <w:r>
        <w:br/>
      </w:r>
      <w:r>
        <w:rPr>
          <w:rStyle w:val="NormalTok"/>
        </w:rPr>
        <w:t xml:space="preserve">            coords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make_coords(),</w:t>
      </w:r>
      <w:r>
        <w:br/>
      </w:r>
      <w:r>
        <w:rPr>
          <w:rStyle w:val="NormalTok"/>
        </w:rPr>
        <w:t xml:space="preserve">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make_mask(y),</w:t>
      </w:r>
      <w:r>
        <w:br/>
      </w:r>
      <w:r>
        <w:rPr>
          <w:rStyle w:val="NormalTok"/>
        </w:rPr>
        <w:t xml:space="preserve">            fourier_pe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make_fourier_pe(cfg)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u_hat_z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           </w:t>
      </w:r>
      <w:r>
        <w:rPr>
          <w:rStyle w:val="CommentTok"/>
        </w:rPr>
        <w:t xml:space="preserve"># z-score pred</w:t>
      </w:r>
      <w:r>
        <w:br/>
      </w:r>
      <w:r>
        <w:rPr>
          <w:rStyle w:val="NormalTok"/>
        </w:rPr>
        <w:t xml:space="preserve">        u_hat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u_hat_z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 </w:t>
      </w:r>
      <w:r>
        <w:rPr>
          <w:rStyle w:val="CommentTok"/>
        </w:rPr>
        <w:t xml:space="preserve"># physical domain</w:t>
      </w:r>
      <w:r>
        <w:br/>
      </w:r>
      <w:r>
        <w:br/>
      </w:r>
      <w:r>
        <w:rPr>
          <w:rStyle w:val="NormalTok"/>
        </w:rPr>
        <w:t xml:space="preserve">        L_rec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mse(u_hat_z, u_z)</w:t>
      </w:r>
      <w:r>
        <w:br/>
      </w:r>
      <w:r>
        <w:rPr>
          <w:rStyle w:val="NormalTok"/>
        </w:rPr>
        <w:t xml:space="preserve">        L_spec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lowfreq_fft_mse(u_hat_z, u_z, kmax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cfg.loss.kmax)</w:t>
      </w:r>
      <w:r>
        <w:br/>
      </w:r>
      <w:r>
        <w:rPr>
          <w:rStyle w:val="NormalTok"/>
        </w:rPr>
        <w:t xml:space="preserve">        L_dc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mse(DC(u_hat), y)</w:t>
      </w:r>
      <w:r>
        <w:br/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L_rec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cfg.loss.lam_spec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L_spec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cfg.loss.lam_dc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L_dc</w:t>
      </w:r>
      <w:r>
        <w:br/>
      </w:r>
      <w:r>
        <w:br/>
      </w:r>
      <w:r>
        <w:rPr>
          <w:rStyle w:val="NormalTok"/>
        </w:rPr>
        <w:t xml:space="preserve">        opt.zero_grad(set_to_none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L.backward()</w:t>
      </w:r>
      <w:r>
        <w:br/>
      </w:r>
      <w:r>
        <w:rPr>
          <w:rStyle w:val="NormalTok"/>
        </w:rPr>
        <w:t xml:space="preserve">        clip_grad_norm_(model.parameters(), cfg.train.grad_clip)</w:t>
      </w:r>
      <w:r>
        <w:br/>
      </w:r>
      <w:r>
        <w:rPr>
          <w:rStyle w:val="NormalTok"/>
        </w:rPr>
        <w:t xml:space="preserve">        opt.step()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sched.step()</w:t>
      </w:r>
      <w:r>
        <w:br/>
      </w:r>
      <w:r>
        <w:br/>
      </w:r>
      <w:r>
        <w:rPr>
          <w:rStyle w:val="NormalTok"/>
        </w:rPr>
        <w:t xml:space="preserve">    validate_and_log(...)</w:t>
      </w:r>
      <w:r>
        <w:br/>
      </w:r>
      <w:r>
        <w:rPr>
          <w:rStyle w:val="NormalTok"/>
        </w:rPr>
        <w:t xml:space="preserve">    save_snapshots_fingerprint(...)</w:t>
      </w:r>
    </w:p>
    <w:p>
      <w:pPr>
        <w:pStyle w:val="11"/>
      </w:pPr>
      <w:r>
        <w:t xml:space="preserve">上述伪代码把</w:t>
      </w:r>
      <w:r>
        <w:t xml:space="preserve"> </w:t>
      </w:r>
      <w:r>
        <w:t xml:space="preserve">“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同源复用、原值域一致性损失、低频谱约束、门禁审计与快照归档</w:t>
      </w:r>
      <w:r>
        <w:t xml:space="preserve">”</w:t>
      </w:r>
      <w:r>
        <w:t xml:space="preserve"> </w:t>
      </w:r>
      <w:r>
        <w:t xml:space="preserve">放入同一最小闭环，便于第6章直接据此复现实验。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配置映射与材料包结构建议落地标准"/>
    <w:p>
      <w:pPr>
        <w:pStyle w:val="2"/>
      </w:pPr>
      <w:r>
        <w:t xml:space="preserve">5.9 配置映射与材料包结构（建议落地标准）</w:t>
      </w:r>
    </w:p>
    <w:p>
      <w:pPr>
        <w:pStyle w:val="11"/>
      </w:pPr>
      <w:r>
        <w:t xml:space="preserve">为支持盲审与跨环境复现，建议将材料包结构固定为：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runs/&lt;exp&gt;/config_merged.yaml</w:t>
      </w:r>
      <w:r>
        <w:t xml:space="preserve">：合并后的唯一配置源；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runs/&lt;exp&gt;/env_fingerprint.json</w:t>
      </w:r>
      <w:r>
        <w:t xml:space="preserve">：PyTorch/CUDA/驱动/设备信息与 determinism 开关；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runs/&lt;exp&gt;/consistency_report.json</w:t>
      </w:r>
      <w:r>
        <w:t xml:space="preserve">：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等价性门禁报告；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paper_package/metrics/</w:t>
      </w:r>
      <w:r>
        <w:t xml:space="preserve">：主指标表、显著性检验、效应量、资源表；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paper_package/figs/</w:t>
      </w:r>
      <w:r>
        <w:t xml:space="preserve">：GT/Pred/Err、功率谱与边界放大、失败案例；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paper_package/scripts/</w:t>
      </w:r>
      <w:r>
        <w:t xml:space="preserve">：一键复现脚本与一致性检查脚本；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：数据版本、口径参数、统计口径与运行命令。</w:t>
      </w:r>
    </w:p>
    <w:p>
      <w:r>
        <w:pict>
          <v:rect style="width:0;height:1.5pt" o:hralign="center" o:hrstd="t" o:hr="t"/>
        </w:pict>
      </w:r>
    </w:p>
    <w:bookmarkEnd w:id="53"/>
    <w:bookmarkStart w:id="54" w:name="小结"/>
    <w:p>
      <w:pPr>
        <w:pStyle w:val="2"/>
      </w:pPr>
      <w:r>
        <w:t xml:space="preserve">5.10 小结</w:t>
      </w:r>
    </w:p>
    <w:p>
      <w:pPr>
        <w:pStyle w:val="11"/>
      </w:pPr>
      <w:r>
        <w:t xml:space="preserve">本章从工程可实现与可审计出发，给出本文算法的端到端设计：以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同源复用保证观测口径一致性，以编码—算子层—时空融合—解码的统一接口保证模块可替换，以三件套损失把优化目标锚定到评测口径与可解释频谱结构，并通过 AdamW、cosine 学习率、AMP 与确定性设置形成可复现训练闭环。资源四项统计流程固定测量口径，为第6章“性能—资源—口径”三维对照提供直接支撑。</w:t>
      </w:r>
    </w:p>
    <w:p>
      <w:r>
        <w:pict>
          <v:rect style="width:0;height:1.5pt" o:hralign="center" o:hrstd="t" o:hr="t"/>
        </w:pict>
      </w:r>
    </w:p>
    <w:bookmarkEnd w:id="54"/>
    <w:bookmarkStart w:id="55" w:name="参考文献apa建议全文统一-bibtexapa-管线导出"/>
    <w:p>
      <w:pPr>
        <w:pStyle w:val="2"/>
      </w:pPr>
      <w:r>
        <w:t xml:space="preserve">参考文献（APA｜建议全文统一 BibTeX/APA 管线导出）</w:t>
      </w:r>
    </w:p>
    <w:p>
      <w:pPr>
        <w:numPr>
          <w:ilvl w:val="0"/>
          <w:numId w:val="1016"/>
        </w:numPr>
        <w:pStyle w:val="Compact"/>
      </w:pPr>
      <w:r>
        <w:t xml:space="preserve">Loshchilov, I., &amp; Hutter, F. (2017).</w:t>
      </w:r>
      <w:r>
        <w:t xml:space="preserve"> </w:t>
      </w:r>
      <w:r>
        <w:rPr>
          <w:iCs/>
          <w:i/>
        </w:rPr>
        <w:t xml:space="preserve">Decoupled Weight Decay Regularization</w:t>
      </w:r>
      <w:r>
        <w:t xml:space="preserve">. arXiv:1711.05101.</w:t>
      </w:r>
    </w:p>
    <w:p>
      <w:pPr>
        <w:numPr>
          <w:ilvl w:val="0"/>
          <w:numId w:val="1016"/>
        </w:numPr>
        <w:pStyle w:val="Compact"/>
      </w:pPr>
      <w:r>
        <w:t xml:space="preserve">Loshchilov, I., &amp; Hutter, F. (2016).</w:t>
      </w:r>
      <w:r>
        <w:t xml:space="preserve"> </w:t>
      </w:r>
      <w:r>
        <w:rPr>
          <w:iCs/>
          <w:i/>
        </w:rPr>
        <w:t xml:space="preserve">SGDR: Stochastic Gradient Descent with Warm Restarts</w:t>
      </w:r>
      <w:r>
        <w:t xml:space="preserve">. arXiv:1608.03983.</w:t>
      </w:r>
    </w:p>
    <w:p>
      <w:pPr>
        <w:numPr>
          <w:ilvl w:val="0"/>
          <w:numId w:val="1016"/>
        </w:numPr>
        <w:pStyle w:val="Compact"/>
      </w:pPr>
      <w:r>
        <w:t xml:space="preserve">Odena, A., Dumoulin, V., &amp; Olah, C. (2016).</w:t>
      </w:r>
      <w:r>
        <w:t xml:space="preserve"> </w:t>
      </w:r>
      <w:r>
        <w:rPr>
          <w:iCs/>
          <w:i/>
        </w:rPr>
        <w:t xml:space="preserve">Deconvolution and Checkerboard Artifacts</w:t>
      </w:r>
      <w:r>
        <w:t xml:space="preserve">. Distill, 1(10). doi:10.23915/distill.00003.</w:t>
      </w:r>
    </w:p>
    <w:p>
      <w:pPr>
        <w:numPr>
          <w:ilvl w:val="0"/>
          <w:numId w:val="1016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Geometric Image Transformations — resize() interpolation guidance (INTER_AREA preferable for shrinking)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GaussianBlur function reference (sigma, ksize, borderType)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Reproducibility / Randomness notes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Automatic Mixed Precision (AMP) and GradScaler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CUDA memory statistics: reset_peak_memory_stats / max_memory_allocated</w:t>
      </w:r>
      <w:r>
        <w:t xml:space="preserve">.</w:t>
      </w:r>
    </w:p>
    <w:bookmarkEnd w:id="55"/>
    <w:bookmarkEnd w:id="56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2026-01-18T16:45:20Z</dcterms:created>
  <dcterms:modified xsi:type="dcterms:W3CDTF">2026-01-18T16:45:20Z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