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media/image2.png" ContentType="image/png"/>
  <Override PartName="/word/media/image1.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1001"/>
        </w:numPr>
        <w:pStyle w:val="1"/>
      </w:pPr>
      <w:bookmarkStart w:id="20" w:name="第9章-结论经润色与扩写"/>
      <w:r>
        <w:t xml:space="preserve">第9章 结论（经润色与扩写）</w:t>
      </w:r>
      <w:bookmarkEnd w:id="20"/>
    </w:p>
    <w:p>
      <w:pPr>
        <w:numPr>
          <w:ilvl w:val="0"/>
          <w:numId w:val="1000"/>
        </w:numPr>
        <w:pStyle w:val="2"/>
      </w:pPr>
      <w:bookmarkStart w:id="21" w:name="研究总结"/>
      <w:r>
        <w:t xml:space="preserve">9.1 研究总结</w:t>
      </w:r>
      <w:bookmarkEnd w:id="21"/>
    </w:p>
    <w:p>
      <w:pPr>
        <w:numPr>
          <w:ilvl w:val="0"/>
          <w:numId w:val="1000"/>
        </w:numPr>
        <w:pStyle w:val="Compact"/>
      </w:pPr>
      <w:r>
        <w:t xml:space="preserve">稀疏观测驱动的时空流场重建面临三类核心挑战：其一，数据生成口径、训练退化口径与评测口径常存在隐性不一致，导致“训练收敛但评测断裂”；其二，点对点重建损失对多尺度结构的约束不足，易出现谱域偏置与大尺度结构误差；其三，不同工作之间在数据切分、标准化、指标与统计协议方面差异较大，削弱了横向对比与复现的可信度。</w:t>
      </w:r>
    </w:p>
    <w:p>
      <w:pPr>
        <w:numPr>
          <w:ilvl w:val="0"/>
          <w:numId w:val="1000"/>
        </w:numPr>
        <w:pStyle w:val="Compact"/>
      </w:pPr>
      <w:r>
        <w:t xml:space="preserve">围绕上述挑战，论文构建并验证了一套面向稀疏观测时空流场重建的统一框架，强调“口径一致、可复现、评测严格”的研究范式。框架以</w:t>
      </w:r>
      <w:r>
        <w:rPr>
          <w:bCs/>
          <w:b/>
        </w:rPr>
        <w:t xml:space="preserve">统一观测口径（H/DC 复用）*</w:t>
      </w:r>
      <w:r>
        <w:rPr>
          <w:iCs/>
          <w:i/>
          <w:bCs/>
          <w:b/>
        </w:rPr>
        <w:t xml:space="preserve">为硬约束，以*</w:t>
      </w:r>
      <w:r>
        <w:rPr>
          <w:bCs/>
          <w:b/>
        </w:rPr>
        <w:t xml:space="preserve">三件套损失（重建 + 低频谱一致性 + 原值域观测一致性）*</w:t>
      </w:r>
      <w:r>
        <w:rPr>
          <w:iCs/>
          <w:i/>
          <w:bCs/>
          <w:b/>
        </w:rPr>
        <w:t xml:space="preserve">为优化核心，以*</w:t>
      </w:r>
      <w:r>
        <w:rPr>
          <w:bCs/>
          <w:b/>
        </w:rPr>
        <w:t xml:space="preserve">统一接口与评测协议</w:t>
      </w:r>
      <w:r>
        <w:t xml:space="preserve">为工程落地与横向可比的保障。在多个 PDE 场景与稀疏观测设置（SR 与 Crop）下，实验结果表明：在严格复用口径与三件套损失约束下，评测口径误差</w:t>
      </w:r>
      <w:r>
        <w:t xml:space="preserve"> </w:t>
      </w: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oMath>
      <w:r>
        <w:t xml:space="preserve"> </w:t>
      </w:r>
      <w:r>
        <w:t xml:space="preserve">与重建误差（Rel-L2 等）能够实现更稳定的同步下降；通过 ≥3 种子统计、paired t-test 与 Cohen’s d 报告，可对改进的统计显著性与效应大小进行量化验证；结合 Params、FLOPs@256²、显存峰值与推理延迟等资源四项记录，可在性能收益与工程成本之间给出可解释的折衷结论。</w:t>
      </w:r>
    </w:p>
    <w:p>
      <w:r>
        <w:pict>
          <v:rect style="width:0;height:1.5pt" o:hralign="center" o:hrstd="t" o:hr="t"/>
        </w:pict>
      </w:r>
    </w:p>
    <w:p>
      <w:pPr>
        <w:numPr>
          <w:ilvl w:val="0"/>
          <w:numId w:val="1000"/>
        </w:numPr>
        <w:pStyle w:val="2"/>
      </w:pPr>
      <w:bookmarkStart w:id="22" w:name="创新点回顾"/>
      <w:r>
        <w:t xml:space="preserve">9.2 创新点回顾</w:t>
      </w:r>
      <w:bookmarkEnd w:id="22"/>
    </w:p>
    <w:p>
      <w:pPr>
        <w:numPr>
          <w:ilvl w:val="1"/>
          <w:numId w:val="1002"/>
        </w:numPr>
        <w:pStyle w:val="Compact"/>
      </w:pPr>
      <w:r>
        <w:rPr>
          <w:bCs/>
          <w:b/>
        </w:rPr>
        <w:t xml:space="preserve">统一口径与强制复用机制（H/DC 单一源约束）</w:t>
      </w:r>
      <w:r>
        <w:t xml:space="preserve"> </w:t>
      </w:r>
      <w:r>
        <w:t xml:space="preserve">建立从数据侧观测算子 H 到训练侧退化算子 DC 的单一入口与参数镜像约束（核/σ/插值/对齐/边界），并配套一致性脚本验证，系统性消除隐性域偏差与评测断裂风险，使训练目标与评测口径在实现层面严格对齐。</w:t>
      </w:r>
      <w:r>
        <w:t xml:space="preserve"> </w:t>
      </w:r>
      <w:r>
        <w:t xml:space="preserve">2.2.</w:t>
      </w:r>
      <w:r>
        <w:t xml:space="preserve"> </w:t>
      </w:r>
      <w:r>
        <w:rPr>
          <w:bCs/>
          <w:b/>
        </w:rPr>
        <w:t xml:space="preserve">三件套损失的互补约束结构</w:t>
      </w:r>
      <w:r>
        <w:t xml:space="preserve"> </w:t>
      </w:r>
      <w:r>
        <w:t xml:space="preserve">在 z-score 域的重建损失用于保证局部拟合能力；低频谱一致性损失用于稳定大尺度结构与主导能量模态；原值域观测一致性损失用于直接约束评测口径误差并提升指标一致性。三类损失形成“真值域—谱域—观测域”的互补约束体系，替代仅依赖点误差的传统方案，从机制上解释并支撑了</w:t>
      </w:r>
      <w:r>
        <w:t xml:space="preserve"> </w:t>
      </w:r>
      <m:oMath>
        <m:sSub>
          <m:e>
            <m:r>
              <m:t>H</m:t>
            </m:r>
          </m:e>
          <m:sub>
            <m:r>
              <m:rPr>
                <m:sty m:val="p"/>
              </m:rPr>
              <m:t>e</m:t>
            </m:r>
            <m:r>
              <m:rPr>
                <m:sty m:val="p"/>
              </m:rPr>
              <m:t>r</m:t>
            </m:r>
            <m:r>
              <m:rPr>
                <m:sty m:val="p"/>
              </m:rPr>
              <m:t>r</m:t>
            </m:r>
          </m:sub>
        </m:sSub>
      </m:oMath>
      <w:r>
        <w:t xml:space="preserve"> </w:t>
      </w:r>
      <w:r>
        <w:t xml:space="preserve">与 Rel-L2 同步改善的经验现象。</w:t>
      </w:r>
    </w:p>
    <w:p>
      <w:pPr>
        <w:numPr>
          <w:ilvl w:val="1"/>
          <w:numId w:val="1002"/>
        </w:numPr>
        <w:pStyle w:val="Compact"/>
      </w:pPr>
      <w:r>
        <w:rPr>
          <w:bCs/>
          <w:b/>
        </w:rPr>
        <w:t xml:space="preserve">统一接口与评测协议的复现闭环</w:t>
      </w:r>
      <w:r>
        <w:t xml:space="preserve"> </w:t>
      </w:r>
      <w:r>
        <w:t xml:space="preserve">通过标准模型签名、固定切分与逐通道 z-score 标准化、配置快照与环境指纹、统一指标集与显著性检验、资源四项与可视化规范，形成可复现实验闭环，使不同模型与不同消融设置的对比更具可解释性与可追溯性。</w:t>
      </w:r>
    </w:p>
    <w:p>
      <w:pPr>
        <w:numPr>
          <w:ilvl w:val="1"/>
          <w:numId w:val="1002"/>
        </w:numPr>
        <w:pStyle w:val="Compact"/>
      </w:pPr>
      <w:r>
        <w:rPr>
          <w:bCs/>
          <w:b/>
        </w:rPr>
        <w:t xml:space="preserve">鲁棒的长时预测策略（顺序训练 + 时序正则）</w:t>
      </w:r>
      <w:r>
        <w:t xml:space="preserve"> </w:t>
      </w:r>
      <w:r>
        <w:t xml:space="preserve">针对时空耦合模型训练难与长时预测漂移问题，提出“空间</w:t>
      </w:r>
      <w:r>
        <w:t xml:space="preserve"> </w:t>
      </w:r>
      <m:oMath>
        <m:r>
          <m:rPr>
            <m:sty m:val="p"/>
          </m:rPr>
          <m:t>→</m:t>
        </m:r>
      </m:oMath>
      <w:r>
        <w:t xml:space="preserve"> </w:t>
      </w:r>
      <w:r>
        <w:t xml:space="preserve">时序</w:t>
      </w:r>
      <w:r>
        <w:t xml:space="preserve"> </w:t>
      </w:r>
      <m:oMath>
        <m:r>
          <m:rPr>
            <m:sty m:val="p"/>
          </m:rPr>
          <m:t>→</m:t>
        </m:r>
      </m:oMath>
      <w:r>
        <w:t xml:space="preserve"> </w:t>
      </w:r>
      <w:r>
        <w:t xml:space="preserve">联合”的顺序训练策略，并引入时序导数与能量演化一致性正则化，有效缓解了误差累积，实现了 20 步以上自回归预测的稳定性。</w:t>
      </w:r>
    </w:p>
    <w:p>
      <w:pPr>
        <w:numPr>
          <w:ilvl w:val="1"/>
          <w:numId w:val="1002"/>
        </w:numPr>
        <w:pStyle w:val="Compact"/>
      </w:pPr>
      <w:r>
        <w:rPr>
          <w:bCs/>
          <w:b/>
        </w:rPr>
        <w:t xml:space="preserve">跨分辨率稳定性与离散化别名的工程化缓解路径</w:t>
      </w:r>
      <w:r>
        <w:t xml:space="preserve"> </w:t>
      </w:r>
      <w:r>
        <w:t xml:space="preserve">将“口径一致性 + 频谱一致性 + 算子层外推”组合为可执行的工程策略，并以敏感性分析与跨分辨率评测对鲁棒性进行量化呈现，为后续研究提供可复用的诊断与改进路线。</w:t>
      </w:r>
    </w:p>
    <w:p>
      <w:r>
        <w:pict>
          <v:rect style="width:0;height:1.5pt" o:hralign="center" o:hrstd="t" o:hr="t"/>
        </w:pict>
      </w:r>
    </w:p>
    <w:p>
      <w:pPr>
        <w:numPr>
          <w:ilvl w:val="0"/>
          <w:numId w:val="1000"/>
        </w:numPr>
        <w:pStyle w:val="2"/>
      </w:pPr>
      <w:bookmarkStart w:id="23" w:name="实践价值与可推广性"/>
      <w:r>
        <w:t xml:space="preserve">9.3 实践价值与可推广性</w:t>
      </w:r>
      <w:bookmarkEnd w:id="23"/>
    </w:p>
    <w:p>
      <w:pPr>
        <w:numPr>
          <w:ilvl w:val="1"/>
          <w:numId w:val="1003"/>
        </w:numPr>
        <w:pStyle w:val="Compact"/>
      </w:pPr>
      <w:r>
        <w:rPr>
          <w:bCs/>
          <w:b/>
        </w:rPr>
        <w:t xml:space="preserve">面向工程部署的可靠性提升</w:t>
      </w:r>
      <w:r>
        <w:t xml:space="preserve"> </w:t>
      </w:r>
      <w:r>
        <w:t xml:space="preserve">在真实系统中，观测往往由传感器、插值、滤波与采样策略共同决定。口径一致性与观测一致性损失提供了面向观测链路的可控约束，使模型输出更贴近下游使用的真实口径，提升部署阶段的稳定性与可解释性，降低“离线指标良好但线上失效”的风险。</w:t>
      </w:r>
    </w:p>
    <w:p>
      <w:pPr>
        <w:numPr>
          <w:ilvl w:val="1"/>
          <w:numId w:val="1003"/>
        </w:numPr>
        <w:pStyle w:val="Compact"/>
      </w:pPr>
      <w:r>
        <w:rPr>
          <w:bCs/>
          <w:b/>
        </w:rPr>
        <w:t xml:space="preserve">面向同行评审与复现的透明度提升</w:t>
      </w:r>
      <w:r>
        <w:t xml:space="preserve"> </w:t>
      </w:r>
      <w:r>
        <w:rPr>
          <w:rStyle w:val="VerbatimChar"/>
        </w:rPr>
        <w:t xml:space="preserve">paper_package/</w:t>
      </w:r>
      <w:r>
        <w:t xml:space="preserve"> </w:t>
      </w:r>
      <w:r>
        <w:t xml:space="preserve">的材料组织方式（指标主表、显著性报告、资源表、标准图与失败案例、脚本与 README）支持外部审阅者对口径、配置与统计结论进行核验，符合 FAIR 数据与复现导向的研究规范，有利于形成可持续迭代的基准与工具链。</w:t>
      </w:r>
    </w:p>
    <w:p>
      <w:r>
        <w:pict>
          <v:rect style="width:0;height:1.5pt" o:hralign="center" o:hrstd="t" o:hr="t"/>
        </w:pict>
      </w:r>
    </w:p>
    <w:p>
      <w:pPr>
        <w:numPr>
          <w:ilvl w:val="0"/>
          <w:numId w:val="1000"/>
        </w:numPr>
        <w:pStyle w:val="2"/>
      </w:pPr>
      <w:bookmarkStart w:id="24" w:name="局限性与未来展望"/>
      <w:r>
        <w:t xml:space="preserve">9.4 局限性与未来展望</w:t>
      </w:r>
      <w:bookmarkEnd w:id="24"/>
    </w:p>
    <w:p>
      <w:pPr>
        <w:numPr>
          <w:ilvl w:val="0"/>
          <w:numId w:val="1000"/>
        </w:numPr>
        <w:pStyle w:val="3"/>
      </w:pPr>
      <w:bookmarkStart w:id="25" w:name="局限性总结"/>
      <w:r>
        <w:t xml:space="preserve">9.4.1 局限性总结</w:t>
      </w:r>
      <w:bookmarkEnd w:id="25"/>
    </w:p>
    <w:p>
      <w:pPr>
        <w:numPr>
          <w:ilvl w:val="1"/>
          <w:numId w:val="1004"/>
        </w:numPr>
        <w:pStyle w:val="Compact"/>
      </w:pPr>
      <w:r>
        <w:rPr>
          <w:bCs/>
          <w:b/>
        </w:rPr>
        <w:t xml:space="preserve">复杂几何与非周期边界</w:t>
      </w:r>
      <w:r>
        <w:t xml:space="preserve">：频域算子与固定边界策略在复杂边界条件下可能产生边界带伪影与误差扩散，仍需更强的几何编码、边界处理或弱式物理约束增强。</w:t>
      </w:r>
    </w:p>
    <w:p>
      <w:pPr>
        <w:numPr>
          <w:ilvl w:val="1"/>
          <w:numId w:val="1004"/>
        </w:numPr>
        <w:pStyle w:val="Compact"/>
      </w:pPr>
      <w:r>
        <w:rPr>
          <w:bCs/>
          <w:b/>
        </w:rPr>
        <w:t xml:space="preserve">极端稀疏与高噪声观测</w:t>
      </w:r>
      <w:r>
        <w:t xml:space="preserve">：当观测噪声显著或采样极端稀缺时，观测一致性项可能放大噪声影响，损失权重的鲁棒自适应策略仍有必要。</w:t>
      </w:r>
    </w:p>
    <w:p>
      <w:pPr>
        <w:numPr>
          <w:ilvl w:val="1"/>
          <w:numId w:val="1004"/>
        </w:numPr>
        <w:pStyle w:val="Compact"/>
      </w:pPr>
      <w:r>
        <w:rPr>
          <w:bCs/>
          <w:b/>
        </w:rPr>
        <w:t xml:space="preserve">流程成本</w:t>
      </w:r>
      <w:r>
        <w:t xml:space="preserve">：严格的显著性检验与资源四项统计提高了可信度，同时增加了实验与工程成本；在快速迭代阶段需要分级策略（例如日常迭代保留一致性约束与核心指标，阶段性评测再启用全量统计）。</w:t>
      </w:r>
    </w:p>
    <w:p>
      <w:pPr>
        <w:numPr>
          <w:ilvl w:val="0"/>
          <w:numId w:val="1000"/>
        </w:numPr>
        <w:pStyle w:val="3"/>
      </w:pPr>
      <w:bookmarkStart w:id="26" w:name="未来工作方向"/>
      <w:r>
        <w:t xml:space="preserve">9.4.2 未来工作方向</w:t>
      </w:r>
      <w:bookmarkEnd w:id="26"/>
    </w:p>
    <w:p>
      <w:pPr>
        <w:pStyle w:val="11"/>
      </w:pPr>
      <w:r>
        <w:t xml:space="preserve">基于当前工作的局限性与前沿趋势，后续研究建议聚焦于以下三个具备高落地价值的方向：</w:t>
      </w:r>
    </w:p>
    <w:p>
      <w:pPr>
        <w:numPr>
          <w:ilvl w:val="0"/>
          <w:numId w:val="1005"/>
        </w:numPr>
        <w:pStyle w:val="Compact"/>
      </w:pPr>
      <w:r>
        <w:rPr>
          <w:bCs/>
          <w:b/>
        </w:rPr>
        <w:t xml:space="preserve">主动采样与不确定性驱动的观测设计</w:t>
      </w:r>
      <w:r>
        <w:t xml:space="preserve"> </w:t>
      </w:r>
      <w:r>
        <w:t xml:space="preserve">当前方法假设观测位置是固定的（规则网格或预定义点集），但在实际部署中（如移动传感器网络），观测位置往往是可调的。未来的工作可结合贝叶斯神经网络（BNN）或集合方法（Ensemble Methods）估计重建结果的认知不确定性（Epistemic Uncertainty），并将其作为奖励信号指导采样策略。</w:t>
      </w:r>
      <w:r>
        <w:t xml:space="preserve"> </w:t>
      </w:r>
      <w:r>
        <w:t xml:space="preserve">具体技术路线可参考强化学习（RL）框架：将观测位置选择建模为动作空间，将不确定性缩减量建模为奖励，训练一个轻量级的策略网络（Policy Network）来动态规划最优观测位置，从而实现“边观测、边决策、边重建”的闭环反馈。</w:t>
      </w:r>
    </w:p>
    <w:p>
      <w:pPr>
        <w:numPr>
          <w:ilvl w:val="0"/>
          <w:numId w:val="1005"/>
        </w:numPr>
        <w:pStyle w:val="Compact"/>
      </w:pPr>
      <w:r>
        <w:rPr>
          <w:bCs/>
          <w:b/>
        </w:rPr>
        <w:t xml:space="preserve">频谱自适应训练与动态权重</w:t>
      </w:r>
      <w:r>
        <w:t xml:space="preserve"> </w:t>
      </w:r>
      <w:r>
        <w:t xml:space="preserve">本研究中的谱损失权重</w:t>
      </w:r>
      <w:r>
        <w:t xml:space="preserve"> </w:t>
      </w:r>
      <m:oMath>
        <m:sSub>
          <m:e>
            <m:r>
              <m:t>λ</m:t>
            </m:r>
          </m:e>
          <m:sub>
            <m:r>
              <m:rPr>
                <m:sty m:val="p"/>
              </m:rPr>
              <m:t>s</m:t>
            </m:r>
            <m:r>
              <m:rPr>
                <m:sty m:val="p"/>
              </m:rPr>
              <m:t>p</m:t>
            </m:r>
            <m:r>
              <m:rPr>
                <m:sty m:val="p"/>
              </m:rPr>
              <m:t>e</m:t>
            </m:r>
            <m:r>
              <m:rPr>
                <m:sty m:val="p"/>
              </m:rPr>
              <m:t>c</m:t>
            </m:r>
          </m:sub>
        </m:sSub>
      </m:oMath>
      <w:r>
        <w:t xml:space="preserve"> </w:t>
      </w:r>
      <w:r>
        <w:t xml:space="preserve">与低频阈值</w:t>
      </w:r>
      <w:r>
        <w:t xml:space="preserve"> </w:t>
      </w:r>
      <m:oMath>
        <m:r>
          <m:t>K</m:t>
        </m:r>
      </m:oMath>
      <w:r>
        <w:t xml:space="preserve"> </w:t>
      </w:r>
      <w:r>
        <w:t xml:space="preserve">均为固定超参数。然而，不同 PDE 系统的能量谱分布差异显著，且在训练过程中，模型往往先拟合低频再拟合高频。</w:t>
      </w:r>
      <w:r>
        <w:t xml:space="preserve"> </w:t>
      </w:r>
      <w:r>
        <w:t xml:space="preserve">未来的工作可引入</w:t>
      </w:r>
      <w:r>
        <w:rPr>
          <w:bCs/>
          <w:b/>
        </w:rPr>
        <w:t xml:space="preserve">动态频谱加权（Dynamic Spectral Weighting）</w:t>
      </w:r>
      <w:r>
        <w:t xml:space="preserve">机制：根据当前 Epoch 的频谱误差分布，自适应调整不同频段的权重。例如，当低频误差收敛平台期时，自动提升高频部分的权重，或采用类似 GradNorm 的梯度平衡策略，使模型在多尺度特征学习上更加均衡，进一步缓解谱偏置问题。</w:t>
      </w:r>
    </w:p>
    <w:p>
      <w:pPr>
        <w:numPr>
          <w:ilvl w:val="0"/>
          <w:numId w:val="1005"/>
        </w:numPr>
        <w:pStyle w:val="Compact"/>
      </w:pPr>
      <w:r>
        <w:rPr>
          <w:bCs/>
          <w:b/>
        </w:rPr>
        <w:t xml:space="preserve">复杂边界与弱式物理约束融合</w:t>
      </w:r>
      <w:r>
        <w:t xml:space="preserve"> </w:t>
      </w:r>
      <w:r>
        <w:t xml:space="preserve">当前方法主要依赖数据驱动，对复杂边界条件（如非凸区域、动态边界）的处理较为脆弱。未来的扩展可借鉴 PINN 的</w:t>
      </w:r>
      <w:r>
        <w:rPr>
          <w:bCs/>
          <w:b/>
        </w:rPr>
        <w:t xml:space="preserve">硬约束（Hard Constraint）</w:t>
      </w:r>
      <w:r>
        <w:t xml:space="preserve">思想，通过坐标变换或距离函数（Distance Function）构造强制满足边界条件的网络结构。</w:t>
      </w:r>
      <w:r>
        <w:t xml:space="preserve"> </w:t>
      </w:r>
      <w:r>
        <w:t xml:space="preserve">同时，对于无监督物理约束，可引入</w:t>
      </w:r>
      <w:r>
        <w:rPr>
          <w:bCs/>
          <w:b/>
        </w:rPr>
        <w:t xml:space="preserve">变分形式（Variational Formulation）</w:t>
      </w:r>
      <w:r>
        <w:t xml:space="preserve">的 PDE 残差，相比于传统点对点残差，变分形式对噪声与高阶导数计算更鲁棒。这将有助于在数据极其稀缺（甚至无内部观测点）的情况下，利用物理守恒律实现无监督或半监督重建。</w:t>
      </w:r>
    </w:p>
    <w:p>
      <w:pPr>
        <w:numPr>
          <w:ilvl w:val="0"/>
          <w:numId w:val="1005"/>
        </w:numPr>
        <w:pStyle w:val="Compact"/>
      </w:pPr>
      <w:r>
        <w:rPr>
          <w:bCs/>
          <w:b/>
        </w:rPr>
        <w:t xml:space="preserve">迈向时空流场的基础大模型 (Towards Foundation Models)</w:t>
      </w:r>
      <w:r>
        <w:t xml:space="preserve"> </w:t>
      </w:r>
      <w:r>
        <w:t xml:space="preserve">受大语言模型（LLMs）的启发，构建通用的物理场基础模型已成为前沿热点。然而，现有的物理大模型主要关注全场预测，对稀疏观测下的反问题关注不足。</w:t>
      </w:r>
      <w:r>
        <w:t xml:space="preserve"> </w:t>
      </w:r>
      <w:r>
        <w:t xml:space="preserve">未来的工作可探索将本文提出的“统一观测算子”思想扩展为</w:t>
      </w:r>
      <w:r>
        <w:rPr>
          <w:bCs/>
          <w:b/>
        </w:rPr>
        <w:t xml:space="preserve">多模态提示（Multimodal Prompting）</w:t>
      </w:r>
      <w:r>
        <w:t xml:space="preserve">机制：将观测算子</w:t>
      </w:r>
      <w:r>
        <w:t xml:space="preserve"> </w:t>
      </w:r>
      <m:oMath>
        <m:r>
          <m:t>H</m:t>
        </m:r>
      </m:oMath>
      <w:r>
        <w:t xml:space="preserve"> </w:t>
      </w:r>
      <w:r>
        <w:t xml:space="preserve">的参数（如分辨率、采样率）作为 Prompt 输入到大模型中，使其能够根据不同的观测条件自适应调整重建策略，从而实现“一个模型，适配多种观测口径”的通用化能力。</w:t>
      </w:r>
    </w:p>
    <w:p>
      <w:r>
        <w:pict>
          <v:rect style="width:0;height:1.5pt" o:hralign="center" o:hrstd="t" o:hr="t"/>
        </w:pict>
      </w:r>
    </w:p>
    <w:bookmarkStart w:id="27" w:name="小结"/>
    <w:p>
      <w:pPr>
        <w:pStyle w:val="2"/>
      </w:pPr>
      <w:r>
        <w:t xml:space="preserve">9.5 小结</w:t>
      </w:r>
    </w:p>
    <w:p>
      <w:pPr>
        <w:pStyle w:val="11"/>
      </w:pPr>
      <w:r>
        <w:t xml:space="preserve">论文围绕稀疏观测时空流场重建提出并验证了一个以“口径一致、可复现、评测严格”为核心的统一框架：在实现层面用 H/DC 复用消除隐性域偏差，在优化层面用三件套损失对齐真值域—谱域—观测域目标，在实验层面用统一协议与显著性检验保障结论可信度，并以资源四项支撑工程可行性分析。该框架为后续研究提供了可执行、可诊断、可复现的技术路线，也为面向真实观测链路的科学机器学习部署提供了方法学参考。</w:t>
      </w:r>
    </w:p>
    <w:p>
      <w:r>
        <w:pict>
          <v:rect style="width:0;height:1.5pt" o:hralign="center" o:hrstd="t" o:hr="t"/>
        </w:pict>
      </w:r>
    </w:p>
    <w:p>
      <w:pPr>
        <w:pStyle w:val="11"/>
      </w:pPr>
      <w:r>
        <w:t xml:space="preserve">## 9.6 结论与材料自检清单（终稿核对）</w:t>
      </w:r>
    </w:p>
    <w:p>
      <w:pPr>
        <w:numPr>
          <w:ilvl w:val="0"/>
          <w:numId w:val="1006"/>
        </w:numPr>
        <w:pStyle w:val="Compact"/>
      </w:pPr>
      <w:r>
        <w:rPr>
          <w:bCs/>
          <w:b/>
        </w:rPr>
        <w:t xml:space="preserve">贡献对齐</w:t>
      </w:r>
      <w:r>
        <w:t xml:space="preserve">：结论、创新点与第1–8章的方法、理论与实验结果保持一致，未引入未验证的新主张。</w:t>
      </w:r>
    </w:p>
    <w:p>
      <w:pPr>
        <w:numPr>
          <w:ilvl w:val="0"/>
          <w:numId w:val="1006"/>
        </w:numPr>
        <w:pStyle w:val="Compact"/>
      </w:pPr>
      <w:r>
        <w:rPr>
          <w:bCs/>
          <w:b/>
        </w:rPr>
        <w:t xml:space="preserve">口径闭环</w:t>
      </w:r>
      <w:r>
        <w:t xml:space="preserve">：H/DC 复用机制在实现层面具备单一入口与参数镜像；一致性脚本与报告可追溯。</w:t>
      </w:r>
    </w:p>
    <w:p>
      <w:pPr>
        <w:numPr>
          <w:ilvl w:val="0"/>
          <w:numId w:val="1006"/>
        </w:numPr>
        <w:pStyle w:val="Compact"/>
      </w:pPr>
      <w:r>
        <w:rPr>
          <w:bCs/>
          <w:b/>
        </w:rPr>
        <w:t xml:space="preserve">统计闭环</w:t>
      </w:r>
      <w:r>
        <w:t xml:space="preserve">：≥3 种子均值±标准差、paired t-test（Rel-L2）与 Cohen’s d 报告齐全，效应方向与理论预期一致。</w:t>
      </w:r>
    </w:p>
    <w:p>
      <w:pPr>
        <w:numPr>
          <w:ilvl w:val="0"/>
          <w:numId w:val="1006"/>
        </w:numPr>
        <w:pStyle w:val="Compact"/>
      </w:pPr>
      <w:r>
        <w:rPr>
          <w:bCs/>
          <w:b/>
        </w:rPr>
        <w:t xml:space="preserve">资源闭环</w:t>
      </w:r>
      <w:r>
        <w:t xml:space="preserve">：Params/FLOPs@256²/显存峰值/推理延迟记录完整，设备与输入尺寸一致。</w:t>
      </w:r>
    </w:p>
    <w:p>
      <w:pPr>
        <w:numPr>
          <w:ilvl w:val="0"/>
          <w:numId w:val="1006"/>
        </w:numPr>
        <w:pStyle w:val="Compact"/>
      </w:pPr>
      <w:r>
        <w:rPr>
          <w:bCs/>
          <w:b/>
        </w:rPr>
        <w:t xml:space="preserve">复现闭环</w:t>
      </w:r>
      <w:r>
        <w:t xml:space="preserve">：</w:t>
      </w:r>
      <w:r>
        <w:rPr>
          <w:rStyle w:val="VerbatimChar"/>
        </w:rPr>
        <w:t xml:space="preserve">config_merged.yaml</w:t>
      </w:r>
      <w:r>
        <w:t xml:space="preserve">、</w:t>
      </w:r>
      <w:r>
        <w:rPr>
          <w:rStyle w:val="VerbatimChar"/>
        </w:rPr>
        <w:t xml:space="preserve">env_fingerprint.json</w:t>
      </w:r>
      <w:r>
        <w:t xml:space="preserve">、</w:t>
      </w:r>
      <w:r>
        <w:rPr>
          <w:rStyle w:val="VerbatimChar"/>
        </w:rPr>
        <w:t xml:space="preserve">paper_package/metrics/</w:t>
      </w:r>
      <w:r>
        <w:t xml:space="preserve">、</w:t>
      </w:r>
      <w:r>
        <w:rPr>
          <w:rStyle w:val="VerbatimChar"/>
        </w:rPr>
        <w:t xml:space="preserve">paper_package/figs/</w:t>
      </w:r>
      <w:r>
        <w:t xml:space="preserve">、</w:t>
      </w:r>
      <w:r>
        <w:rPr>
          <w:rStyle w:val="VerbatimChar"/>
        </w:rPr>
        <w:t xml:space="preserve">paper_package/scripts/</w:t>
      </w:r>
      <w:r>
        <w:t xml:space="preserve"> </w:t>
      </w:r>
      <w:r>
        <w:t xml:space="preserve">与 README 完备且可运行。</w:t>
      </w:r>
    </w:p>
    <w:p>
      <w:pPr>
        <w:numPr>
          <w:ilvl w:val="0"/>
          <w:numId w:val="1006"/>
        </w:numPr>
        <w:pStyle w:val="Compact"/>
      </w:pPr>
      <w:r>
        <w:rPr>
          <w:bCs/>
          <w:b/>
        </w:rPr>
        <w:t xml:space="preserve">展望可落地</w:t>
      </w:r>
      <w:r>
        <w:t xml:space="preserve">：未来方向具备明确操作路径，覆盖主动采样、频谱自适应、复杂边界与社区基准。</w:t>
      </w:r>
    </w:p>
    <w:p>
      <w:pPr>
        <w:pStyle w:val="11"/>
      </w:pPr>
      <w:r>
        <w:rPr>
          <w:iCs/>
          <w:i/>
        </w:rPr>
        <w:t xml:space="preserve">最后更新：2025年</w:t>
      </w:r>
    </w:p>
    <w:bookmarkEnd w:id="27"/>
    <w:sectPr w:rsidR="00000000">
      <w:headerReference r:id="rId12" w:type="even"/>
      <w:headerReference r:id="rId10" w:type="default"/>
      <w:footerReference r:id="rId16" w:type="even"/>
      <w:footerReference r:id="rId23" w:type="default"/>
      <w:headerReference r:id="rId14" w:type="first"/>
      <w:footerReference r:id="rId20" w:type="first"/>
      <w:pgSz w:h="16838" w:w="11906"/>
      <w:pgMar w:bottom="1418" w:footer="1134" w:gutter="0" w:header="1418" w:left="1418" w:right="1418" w:top="1985"/>
      <w:cols w:space="720"/>
      <w:docGrid w:charSpace="-2048"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420"/>
  <w:evenAndOddHeaders/>
  <w:drawingGridHorizontalSpacing w:val="2"/>
  <w:drawingGridVerticalSpacing w:val="2"/>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6" w:semiHidden="1"/>
    <w:lsdException w:name="toc 7" w:semiHidden="1"/>
    <w:lsdException w:name="caption" w:qFormat="1" w:semiHidden="1" w:unhideWhenUsed="1"/>
    <w:lsdException w:name="Title" w:qFormat="1" w:uiPriority="10"/>
    <w:lsdException w:name="Default Paragraph Font" w:semiHidden="1" w:uiPriority="1" w:unhideWhenUsed="1"/>
    <w:lsdException w:name="Subtitle" w:qFormat="1" w:uiPriority="11"/>
    <w:lsdException w:name="Strong" w:qFormat="1" w:uiPriority="22"/>
    <w:lsdException w:name="Emphasis" w:qFormat="1" w:uiPriority="20"/>
    <w:lsdException w:name="Document Map" w:semiHidden="1"/>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napToGrid w:val="0"/>
      <w:spacing w:line="300" w:lineRule="auto"/>
      <w:ind w:firstLine="480" w:firstLineChars="200"/>
    </w:pPr>
    <w:rPr>
      <w:rFonts w:ascii="Times New Roman" w:hAnsi="Times New Roman"/>
      <w:sz w:val="24"/>
      <w:lang w:bidi="en-US" w:eastAsia="en-US"/>
    </w:rPr>
  </w:style>
  <w:style w:styleId="1" w:type="paragraph">
    <w:name w:val="heading 1"/>
    <w:basedOn w:val="a"/>
    <w:next w:val="a"/>
    <w:link w:val="10"/>
    <w:uiPriority w:val="9"/>
    <w:qFormat/>
    <w:pPr>
      <w:keepNext/>
      <w:spacing w:afterLines="100" w:line="360" w:lineRule="auto"/>
      <w:ind w:firstLine="0" w:firstLineChars="0"/>
      <w:outlineLvl w:val="0"/>
    </w:pPr>
    <w:rPr>
      <w:rFonts w:ascii="Cambria" w:eastAsia="黑体" w:hAnsi="Cambria"/>
      <w:bCs/>
      <w:kern w:val="32"/>
      <w:sz w:val="32"/>
      <w:szCs w:val="32"/>
      <w:lang w:eastAsia="zh-CN"/>
    </w:rPr>
  </w:style>
  <w:style w:styleId="2" w:type="paragraph">
    <w:name w:val="heading 2"/>
    <w:basedOn w:val="a"/>
    <w:next w:val="a"/>
    <w:link w:val="20"/>
    <w:uiPriority w:val="9"/>
    <w:qFormat/>
    <w:pPr>
      <w:keepNext/>
      <w:spacing w:beforeLines="50" w:line="360" w:lineRule="auto"/>
      <w:ind w:firstLine="0" w:firstLineChars="0"/>
      <w:outlineLvl w:val="1"/>
    </w:pPr>
    <w:rPr>
      <w:rFonts w:ascii="黑体" w:eastAsia="黑体" w:hAnsi="黑体"/>
      <w:iCs/>
      <w:sz w:val="28"/>
      <w:szCs w:val="28"/>
      <w:lang w:eastAsia="zh-CN"/>
    </w:rPr>
  </w:style>
  <w:style w:styleId="3" w:type="paragraph">
    <w:name w:val="heading 3"/>
    <w:basedOn w:val="a"/>
    <w:next w:val="a"/>
    <w:link w:val="30"/>
    <w:uiPriority w:val="9"/>
    <w:qFormat/>
    <w:pPr>
      <w:keepNext/>
      <w:spacing w:beforeLines="50" w:line="360" w:lineRule="auto"/>
      <w:ind w:firstLine="0" w:firstLineChars="0"/>
      <w:outlineLvl w:val="2"/>
    </w:pPr>
    <w:rPr>
      <w:rFonts w:ascii="黑体" w:eastAsia="黑体" w:hAnsi="黑体"/>
      <w:bCs/>
      <w:lang w:eastAsia="zh-CN"/>
    </w:rPr>
  </w:style>
  <w:style w:styleId="4" w:type="paragraph">
    <w:name w:val="heading 4"/>
    <w:basedOn w:val="a"/>
    <w:next w:val="a"/>
    <w:link w:val="40"/>
    <w:uiPriority w:val="9"/>
    <w:qFormat/>
    <w:pPr>
      <w:keepNext/>
      <w:spacing w:after="60" w:before="240"/>
      <w:outlineLvl w:val="3"/>
    </w:pPr>
    <w:rPr>
      <w:b/>
      <w:bCs/>
      <w:sz w:val="28"/>
      <w:szCs w:val="28"/>
    </w:rPr>
  </w:style>
  <w:style w:styleId="5" w:type="paragraph">
    <w:name w:val="heading 5"/>
    <w:basedOn w:val="a"/>
    <w:next w:val="a"/>
    <w:link w:val="50"/>
    <w:uiPriority w:val="9"/>
    <w:qFormat/>
    <w:pPr>
      <w:spacing w:after="60" w:before="240"/>
      <w:outlineLvl w:val="4"/>
    </w:pPr>
    <w:rPr>
      <w:b/>
      <w:bCs/>
      <w:i/>
      <w:iCs/>
      <w:sz w:val="26"/>
      <w:szCs w:val="26"/>
    </w:rPr>
  </w:style>
  <w:style w:styleId="6" w:type="paragraph">
    <w:name w:val="heading 6"/>
    <w:basedOn w:val="a"/>
    <w:next w:val="a"/>
    <w:link w:val="60"/>
    <w:uiPriority w:val="9"/>
    <w:qFormat/>
    <w:pPr>
      <w:spacing w:after="60" w:before="240"/>
      <w:outlineLvl w:val="5"/>
    </w:pPr>
    <w:rPr>
      <w:b/>
      <w:bCs/>
      <w:sz w:val="22"/>
      <w:szCs w:val="22"/>
    </w:rPr>
  </w:style>
  <w:style w:styleId="7" w:type="paragraph">
    <w:name w:val="heading 7"/>
    <w:basedOn w:val="a"/>
    <w:next w:val="a"/>
    <w:link w:val="70"/>
    <w:uiPriority w:val="9"/>
    <w:qFormat/>
    <w:pPr>
      <w:spacing w:after="60" w:before="240"/>
      <w:outlineLvl w:val="6"/>
    </w:pPr>
  </w:style>
  <w:style w:styleId="8" w:type="paragraph">
    <w:name w:val="heading 8"/>
    <w:basedOn w:val="a"/>
    <w:next w:val="a"/>
    <w:link w:val="80"/>
    <w:uiPriority w:val="9"/>
    <w:qFormat/>
    <w:pPr>
      <w:spacing w:after="60" w:before="240"/>
      <w:outlineLvl w:val="7"/>
    </w:pPr>
    <w:rPr>
      <w:i/>
      <w:iCs/>
    </w:rPr>
  </w:style>
  <w:style w:styleId="9" w:type="paragraph">
    <w:name w:val="heading 9"/>
    <w:basedOn w:val="a"/>
    <w:next w:val="a"/>
    <w:link w:val="90"/>
    <w:uiPriority w:val="9"/>
    <w:qFormat/>
    <w:pPr>
      <w:spacing w:after="60" w:before="240"/>
      <w:outlineLvl w:val="8"/>
    </w:pPr>
    <w:rPr>
      <w:rFonts w:ascii="Cambria" w:hAnsi="Cambria"/>
      <w:sz w:val="22"/>
      <w:szCs w:val="22"/>
    </w:rPr>
  </w:style>
  <w:style w:default="1" w:styleId="a0" w:type="character">
    <w:name w:val="Default Paragraph Font"/>
    <w:uiPriority w:val="1"/>
    <w:unhideWhenUsed/>
  </w:style>
  <w:style w:default="1" w:styleId="a1" w:type="table">
    <w:name w:val="Normal Table"/>
    <w:uiPriority w:val="99"/>
    <w:unhideWhenUsed/>
    <w:qFormat/>
    <w:tblPr>
      <w:tblCellMar>
        <w:top w:type="dxa" w:w="0"/>
        <w:left w:type="dxa" w:w="108"/>
        <w:bottom w:type="dxa" w:w="0"/>
        <w:right w:type="dxa" w:w="108"/>
      </w:tblCellMar>
    </w:tblPr>
  </w:style>
  <w:style w:default="1" w:styleId="a2" w:type="numbering">
    <w:name w:val="No List"/>
    <w:uiPriority w:val="99"/>
    <w:semiHidden/>
    <w:unhideWhenUsed/>
  </w:style>
  <w:style w:customStyle="1" w:styleId="Char" w:type="character">
    <w:name w:val="英文关键词 Char"/>
    <w:basedOn w:val="a0"/>
    <w:link w:val="a3"/>
    <w:rPr>
      <w:rFonts w:ascii="Calibri" w:eastAsia="宋体" w:hAnsi="Calibri"/>
      <w:sz w:val="24"/>
      <w:szCs w:val="24"/>
      <w:lang w:bidi="en-US" w:eastAsia="en-US"/>
    </w:rPr>
  </w:style>
  <w:style w:customStyle="1" w:styleId="Char0" w:type="character">
    <w:name w:val="论文英文题目 Char"/>
    <w:basedOn w:val="a0"/>
    <w:link w:val="a4"/>
    <w:rPr>
      <w:b/>
      <w:sz w:val="32"/>
      <w:szCs w:val="32"/>
      <w:lang w:bidi="en-US" w:eastAsia="en-US" w:val="en-US"/>
    </w:rPr>
  </w:style>
  <w:style w:styleId="a5" w:type="character">
    <w:name w:val="Subtle Emphasis"/>
    <w:uiPriority w:val="19"/>
    <w:qFormat/>
    <w:rPr>
      <w:i/>
      <w:color w:val="5A5A5A"/>
    </w:rPr>
  </w:style>
  <w:style w:customStyle="1" w:styleId="Char1" w:type="character">
    <w:name w:val="关键词题头 Char"/>
    <w:basedOn w:val="a0"/>
    <w:link w:val="a6"/>
    <w:rPr>
      <w:rFonts w:ascii="黑体" w:eastAsia="黑体"/>
      <w:sz w:val="24"/>
      <w:szCs w:val="24"/>
      <w:lang w:bidi="en-US"/>
    </w:rPr>
  </w:style>
  <w:style w:customStyle="1" w:styleId="70" w:type="character">
    <w:name w:val="标题 7 字符"/>
    <w:basedOn w:val="a0"/>
    <w:link w:val="7"/>
    <w:uiPriority w:val="9"/>
    <w:semiHidden/>
    <w:rPr>
      <w:sz w:val="24"/>
      <w:szCs w:val="24"/>
    </w:rPr>
  </w:style>
  <w:style w:styleId="a7" w:type="character">
    <w:name w:val="Strong"/>
    <w:basedOn w:val="a0"/>
    <w:uiPriority w:val="22"/>
    <w:qFormat/>
    <w:rPr>
      <w:b/>
      <w:bCs/>
    </w:rPr>
  </w:style>
  <w:style w:styleId="a8" w:type="character">
    <w:name w:val="page number"/>
    <w:basedOn w:val="a0"/>
  </w:style>
  <w:style w:styleId="a9" w:type="character">
    <w:name w:val="Emphasis"/>
    <w:basedOn w:val="a0"/>
    <w:uiPriority w:val="20"/>
    <w:qFormat/>
    <w:rPr>
      <w:rFonts w:ascii="Calibri" w:hAnsi="Calibri"/>
      <w:b/>
      <w:i/>
      <w:iCs/>
    </w:rPr>
  </w:style>
  <w:style w:styleId="aa" w:type="character">
    <w:name w:val="Hyperlink"/>
    <w:basedOn w:val="a0"/>
    <w:rPr>
      <w:color w:val="0000FF"/>
      <w:u w:val="single"/>
    </w:rPr>
  </w:style>
  <w:style w:customStyle="1" w:styleId="Char2" w:type="character">
    <w:name w:val="参考文献标题 Char"/>
    <w:basedOn w:val="10"/>
    <w:link w:val="ab"/>
    <w:rPr>
      <w:rFonts w:ascii="Cambria" w:eastAsia="黑体" w:hAnsi="Cambria"/>
      <w:bCs/>
      <w:kern w:val="32"/>
      <w:sz w:val="32"/>
      <w:szCs w:val="32"/>
      <w:lang w:bidi="en-US"/>
    </w:rPr>
  </w:style>
  <w:style w:customStyle="1" w:styleId="60" w:type="character">
    <w:name w:val="标题 6 字符"/>
    <w:basedOn w:val="a0"/>
    <w:link w:val="6"/>
    <w:uiPriority w:val="9"/>
    <w:semiHidden/>
    <w:rPr>
      <w:b/>
      <w:bCs/>
    </w:rPr>
  </w:style>
  <w:style w:customStyle="1" w:styleId="10" w:type="character">
    <w:name w:val="标题 1 字符"/>
    <w:basedOn w:val="a0"/>
    <w:link w:val="1"/>
    <w:uiPriority w:val="9"/>
    <w:rPr>
      <w:rFonts w:ascii="Cambria" w:eastAsia="黑体" w:hAnsi="Cambria"/>
      <w:bCs/>
      <w:kern w:val="32"/>
      <w:sz w:val="32"/>
      <w:szCs w:val="32"/>
      <w:lang w:bidi="en-US"/>
    </w:rPr>
  </w:style>
  <w:style w:customStyle="1" w:styleId="Char3" w:type="character">
    <w:name w:val="英文摘要 Char"/>
    <w:basedOn w:val="10"/>
    <w:link w:val="ac"/>
    <w:rPr>
      <w:rFonts w:ascii="Cambria" w:cs="宋体" w:eastAsia="黑体" w:hAnsi="Cambria"/>
      <w:b/>
      <w:bCs/>
      <w:kern w:val="32"/>
      <w:sz w:val="30"/>
      <w:szCs w:val="32"/>
      <w:lang w:bidi="en-US"/>
    </w:rPr>
  </w:style>
  <w:style w:customStyle="1" w:styleId="Char4" w:type="character">
    <w:name w:val="附录 Char"/>
    <w:basedOn w:val="Char3"/>
    <w:link w:val="ad"/>
    <w:rPr>
      <w:rFonts w:ascii="Cambria" w:cs="宋体" w:eastAsia="黑体" w:hAnsi="Cambria"/>
      <w:b/>
      <w:bCs/>
      <w:kern w:val="32"/>
      <w:sz w:val="30"/>
      <w:szCs w:val="32"/>
      <w:lang w:bidi="en-US"/>
    </w:rPr>
  </w:style>
  <w:style w:customStyle="1" w:styleId="20" w:type="character">
    <w:name w:val="标题 2 字符"/>
    <w:basedOn w:val="a0"/>
    <w:link w:val="2"/>
    <w:uiPriority w:val="9"/>
    <w:rPr>
      <w:rFonts w:ascii="黑体" w:eastAsia="黑体" w:hAnsi="黑体"/>
      <w:iCs/>
      <w:sz w:val="28"/>
      <w:szCs w:val="28"/>
      <w:lang w:bidi="en-US"/>
    </w:rPr>
  </w:style>
  <w:style w:customStyle="1" w:styleId="30" w:type="character">
    <w:name w:val="标题 3 字符"/>
    <w:basedOn w:val="a0"/>
    <w:link w:val="3"/>
    <w:uiPriority w:val="9"/>
    <w:rPr>
      <w:rFonts w:ascii="黑体" w:eastAsia="黑体" w:hAnsi="黑体"/>
      <w:bCs/>
      <w:sz w:val="24"/>
      <w:lang w:bidi="en-US"/>
    </w:rPr>
  </w:style>
  <w:style w:customStyle="1" w:styleId="40" w:type="character">
    <w:name w:val="标题 4 字符"/>
    <w:basedOn w:val="a0"/>
    <w:link w:val="4"/>
    <w:uiPriority w:val="9"/>
    <w:rPr>
      <w:b/>
      <w:bCs/>
      <w:sz w:val="28"/>
      <w:szCs w:val="28"/>
    </w:rPr>
  </w:style>
  <w:style w:customStyle="1" w:styleId="50" w:type="character">
    <w:name w:val="标题 5 字符"/>
    <w:basedOn w:val="a0"/>
    <w:link w:val="5"/>
    <w:uiPriority w:val="9"/>
    <w:semiHidden/>
    <w:rPr>
      <w:b/>
      <w:bCs/>
      <w:i/>
      <w:iCs/>
      <w:sz w:val="26"/>
      <w:szCs w:val="26"/>
    </w:rPr>
  </w:style>
  <w:style w:customStyle="1" w:styleId="80" w:type="character">
    <w:name w:val="标题 8 字符"/>
    <w:basedOn w:val="a0"/>
    <w:link w:val="8"/>
    <w:uiPriority w:val="9"/>
    <w:semiHidden/>
    <w:rPr>
      <w:i/>
      <w:iCs/>
      <w:sz w:val="24"/>
      <w:szCs w:val="24"/>
    </w:rPr>
  </w:style>
  <w:style w:customStyle="1" w:styleId="90" w:type="character">
    <w:name w:val="标题 9 字符"/>
    <w:basedOn w:val="a0"/>
    <w:link w:val="9"/>
    <w:uiPriority w:val="9"/>
    <w:semiHidden/>
    <w:rPr>
      <w:rFonts w:ascii="Cambria" w:eastAsia="宋体" w:hAnsi="Cambria"/>
    </w:rPr>
  </w:style>
  <w:style w:customStyle="1" w:styleId="ae" w:type="character">
    <w:name w:val="标题 字符"/>
    <w:basedOn w:val="a0"/>
    <w:link w:val="af"/>
    <w:uiPriority w:val="10"/>
    <w:rPr>
      <w:rFonts w:ascii="Cambria" w:eastAsia="宋体" w:hAnsi="Cambria"/>
      <w:b/>
      <w:bCs/>
      <w:kern w:val="28"/>
      <w:sz w:val="32"/>
      <w:szCs w:val="32"/>
    </w:rPr>
  </w:style>
  <w:style w:customStyle="1" w:styleId="af0" w:type="character">
    <w:name w:val="副标题 字符"/>
    <w:basedOn w:val="a0"/>
    <w:link w:val="af1"/>
    <w:uiPriority w:val="11"/>
    <w:rPr>
      <w:rFonts w:ascii="Cambria" w:eastAsia="宋体" w:hAnsi="Cambria"/>
      <w:sz w:val="24"/>
      <w:szCs w:val="24"/>
    </w:rPr>
  </w:style>
  <w:style w:customStyle="1" w:styleId="af2" w:type="character">
    <w:name w:val="引用 字符"/>
    <w:basedOn w:val="a0"/>
    <w:link w:val="af3"/>
    <w:uiPriority w:val="29"/>
    <w:rPr>
      <w:i/>
      <w:sz w:val="24"/>
      <w:szCs w:val="24"/>
    </w:rPr>
  </w:style>
  <w:style w:customStyle="1" w:styleId="af4" w:type="character">
    <w:name w:val="明显引用 字符"/>
    <w:basedOn w:val="a0"/>
    <w:link w:val="af5"/>
    <w:uiPriority w:val="30"/>
    <w:rPr>
      <w:b/>
      <w:i/>
      <w:sz w:val="24"/>
    </w:rPr>
  </w:style>
  <w:style w:styleId="af6" w:type="character">
    <w:name w:val="Intense Emphasis"/>
    <w:basedOn w:val="a0"/>
    <w:uiPriority w:val="21"/>
    <w:qFormat/>
    <w:rPr>
      <w:b/>
      <w:i/>
      <w:sz w:val="24"/>
      <w:szCs w:val="24"/>
      <w:u w:val="single"/>
    </w:rPr>
  </w:style>
  <w:style w:styleId="af7" w:type="character">
    <w:name w:val="Intense Reference"/>
    <w:basedOn w:val="a0"/>
    <w:uiPriority w:val="32"/>
    <w:qFormat/>
    <w:rPr>
      <w:b/>
      <w:sz w:val="24"/>
      <w:u w:val="single"/>
    </w:rPr>
  </w:style>
  <w:style w:styleId="af8" w:type="character">
    <w:name w:val="Book Title"/>
    <w:basedOn w:val="a0"/>
    <w:uiPriority w:val="33"/>
    <w:qFormat/>
    <w:rPr>
      <w:rFonts w:ascii="Cambria" w:eastAsia="宋体" w:hAnsi="Cambria"/>
      <w:b/>
      <w:i/>
      <w:sz w:val="24"/>
      <w:szCs w:val="24"/>
    </w:rPr>
  </w:style>
  <w:style w:customStyle="1" w:styleId="Char5" w:type="character">
    <w:name w:val="授权说明正文 Char"/>
    <w:basedOn w:val="a0"/>
    <w:link w:val="af9"/>
    <w:rPr>
      <w:rFonts w:ascii="仿宋_GB2312" w:eastAsia="仿宋_GB2312"/>
      <w:sz w:val="28"/>
      <w:szCs w:val="28"/>
      <w:lang w:bidi="en-US"/>
    </w:rPr>
  </w:style>
  <w:style w:customStyle="1" w:styleId="Char6" w:type="character">
    <w:name w:val="硕士学位论文 Char"/>
    <w:basedOn w:val="a0"/>
    <w:link w:val="afa"/>
    <w:rPr>
      <w:rFonts w:ascii="华文细黑" w:eastAsia="宋体" w:hAnsi="华文细黑"/>
      <w:b/>
      <w:sz w:val="48"/>
      <w:szCs w:val="48"/>
      <w:lang w:bidi="en-US" w:eastAsia="zh-CN" w:val="en-US"/>
    </w:rPr>
  </w:style>
  <w:style w:customStyle="1" w:styleId="Char7" w:type="character">
    <w:name w:val="论文题目 Char"/>
    <w:basedOn w:val="a0"/>
    <w:link w:val="afb"/>
    <w:rPr>
      <w:rFonts w:ascii="华文细黑" w:eastAsia="华文细黑" w:hAnsi="华文细黑"/>
      <w:b/>
      <w:sz w:val="44"/>
      <w:szCs w:val="44"/>
      <w:lang w:bidi="en-US"/>
    </w:rPr>
  </w:style>
  <w:style w:customStyle="1" w:styleId="Char8" w:type="character">
    <w:name w:val="首页居中 Char"/>
    <w:basedOn w:val="a0"/>
    <w:link w:val="afc"/>
    <w:rPr>
      <w:sz w:val="30"/>
      <w:szCs w:val="30"/>
      <w:lang w:bidi="en-US"/>
    </w:rPr>
  </w:style>
  <w:style w:customStyle="1" w:styleId="Char9" w:type="character">
    <w:name w:val="首页页脚中文 Char"/>
    <w:basedOn w:val="a0"/>
    <w:link w:val="afd"/>
    <w:rPr>
      <w:rFonts w:ascii="华文行楷" w:eastAsia="华文行楷" w:hAnsi="Times New Roman"/>
      <w:sz w:val="36"/>
      <w:szCs w:val="36"/>
      <w:lang w:bidi="en-US"/>
    </w:rPr>
  </w:style>
  <w:style w:customStyle="1" w:styleId="Chara" w:type="character">
    <w:name w:val="首页页脚英文 Char"/>
    <w:basedOn w:val="a0"/>
    <w:link w:val="afe"/>
    <w:rPr>
      <w:rFonts w:ascii="Times New Roman" w:hAnsi="Times New Roman"/>
      <w:sz w:val="24"/>
      <w:lang w:bidi="en-US"/>
    </w:rPr>
  </w:style>
  <w:style w:customStyle="1" w:styleId="Charb" w:type="character">
    <w:name w:val="独创声明 Char"/>
    <w:basedOn w:val="a0"/>
    <w:link w:val="aff"/>
    <w:rPr>
      <w:rFonts w:ascii="Times New Roman" w:hAnsi="Times New Roman"/>
      <w:sz w:val="36"/>
      <w:szCs w:val="36"/>
      <w:lang w:bidi="en-US"/>
    </w:rPr>
  </w:style>
  <w:style w:customStyle="1" w:styleId="Charc" w:type="character">
    <w:name w:val="独创声明正文 Char"/>
    <w:basedOn w:val="a0"/>
    <w:link w:val="aff0"/>
    <w:rPr>
      <w:rFonts w:ascii="仿宋_GB2312" w:eastAsia="仿宋_GB2312"/>
      <w:sz w:val="28"/>
      <w:szCs w:val="28"/>
      <w:lang w:bidi="en-US" w:eastAsia="en-US"/>
    </w:rPr>
  </w:style>
  <w:style w:customStyle="1" w:styleId="Chard" w:type="character">
    <w:name w:val="关键词 Char"/>
    <w:basedOn w:val="a0"/>
    <w:link w:val="aff1"/>
    <w:rPr>
      <w:rFonts w:ascii="仿宋_GB2312" w:eastAsia="仿宋_GB2312"/>
      <w:sz w:val="24"/>
      <w:szCs w:val="24"/>
      <w:lang w:bidi="en-US"/>
    </w:rPr>
  </w:style>
  <w:style w:customStyle="1" w:styleId="Chare" w:type="character">
    <w:name w:val="摘要题目 Char"/>
    <w:basedOn w:val="a0"/>
    <w:link w:val="aff2"/>
    <w:rPr>
      <w:rFonts w:ascii="Times New Roman" w:hAnsi="Times New Roman"/>
      <w:sz w:val="30"/>
      <w:szCs w:val="30"/>
      <w:lang w:bidi="en-US" w:eastAsia="en-US"/>
    </w:rPr>
  </w:style>
  <w:style w:customStyle="1" w:styleId="1Char" w:type="character">
    <w:name w:val="正文1 Char"/>
    <w:basedOn w:val="a0"/>
    <w:link w:val="11"/>
    <w:rPr>
      <w:rFonts w:ascii="Times New Roman" w:hAnsi="Times New Roman"/>
      <w:sz w:val="24"/>
      <w:lang w:bidi="en-US" w:eastAsia="en-US"/>
    </w:rPr>
  </w:style>
  <w:style w:customStyle="1" w:styleId="Charf" w:type="character">
    <w:name w:val="英文摘要正文 Char"/>
    <w:basedOn w:val="1Char"/>
    <w:link w:val="aff3"/>
    <w:rPr>
      <w:rFonts w:ascii="Times New Roman" w:hAnsi="Times New Roman"/>
      <w:sz w:val="24"/>
      <w:lang w:bidi="en-US" w:eastAsia="en-US"/>
    </w:rPr>
  </w:style>
  <w:style w:customStyle="1" w:styleId="KeywordsChar" w:type="character">
    <w:name w:val="Keywords Char"/>
    <w:basedOn w:val="a0"/>
    <w:link w:val="Keywords"/>
    <w:rPr>
      <w:rFonts w:eastAsia="宋体"/>
      <w:b/>
      <w:sz w:val="24"/>
      <w:szCs w:val="24"/>
      <w:lang w:bidi="en-US" w:eastAsia="en-US"/>
    </w:rPr>
  </w:style>
  <w:style w:customStyle="1" w:styleId="Charf0" w:type="character">
    <w:name w:val="目录 Char"/>
    <w:basedOn w:val="a0"/>
    <w:link w:val="aff4"/>
    <w:rPr>
      <w:rFonts w:ascii="黑体" w:eastAsia="黑体" w:hAnsi="Times New Roman"/>
      <w:sz w:val="30"/>
      <w:szCs w:val="30"/>
      <w:lang w:bidi="en-US" w:eastAsia="en-US" w:val="en-US"/>
    </w:rPr>
  </w:style>
  <w:style w:customStyle="1" w:styleId="1Char0" w:type="character">
    <w:name w:val="标题1居中 Char"/>
    <w:basedOn w:val="10"/>
    <w:link w:val="12"/>
    <w:rPr>
      <w:rFonts w:ascii="Cambria" w:eastAsia="黑体" w:hAnsi="Cambria"/>
      <w:bCs/>
      <w:kern w:val="32"/>
      <w:sz w:val="32"/>
      <w:szCs w:val="32"/>
      <w:lang w:bidi="en-US"/>
    </w:rPr>
  </w:style>
  <w:style w:customStyle="1" w:styleId="Charf1" w:type="character">
    <w:name w:val="图名中文 Char"/>
    <w:basedOn w:val="a0"/>
    <w:link w:val="aff5"/>
    <w:rPr>
      <w:rFonts w:ascii="宋体" w:hAnsi="宋体"/>
      <w:sz w:val="21"/>
      <w:szCs w:val="21"/>
      <w:lang w:bidi="en-US" w:eastAsia="en-US"/>
    </w:rPr>
  </w:style>
  <w:style w:customStyle="1" w:styleId="Charf2" w:type="character">
    <w:name w:val="图名英文 Char"/>
    <w:basedOn w:val="a0"/>
    <w:link w:val="aff6"/>
    <w:rPr>
      <w:rFonts w:ascii="Times New Roman" w:hAnsi="Times New Roman"/>
      <w:sz w:val="21"/>
      <w:szCs w:val="21"/>
      <w:lang w:bidi="en-US" w:eastAsia="en-US"/>
    </w:rPr>
  </w:style>
  <w:style w:customStyle="1" w:styleId="Charf3" w:type="character">
    <w:name w:val="参考文献正文 Char"/>
    <w:basedOn w:val="a0"/>
    <w:link w:val="aff7"/>
    <w:rPr>
      <w:rFonts w:ascii="宋体" w:hAnsi="宋体"/>
      <w:sz w:val="21"/>
      <w:szCs w:val="21"/>
      <w:lang w:bidi="en-US"/>
    </w:rPr>
  </w:style>
  <w:style w:customStyle="1" w:styleId="aff" w:type="paragraph">
    <w:name w:val="独创声明"/>
    <w:basedOn w:val="a"/>
    <w:link w:val="Charb"/>
    <w:qFormat/>
    <w:pPr>
      <w:ind w:firstLine="0" w:firstLineChars="0"/>
      <w:jc w:val="center"/>
    </w:pPr>
    <w:rPr>
      <w:sz w:val="36"/>
      <w:szCs w:val="36"/>
      <w:lang w:eastAsia="zh-CN"/>
    </w:rPr>
  </w:style>
  <w:style w:customStyle="1" w:styleId="aff8" w:type="paragraph">
    <w:name w:val="授权书"/>
    <w:basedOn w:val="1"/>
    <w:pPr>
      <w:spacing w:beforeLines="300"/>
      <w:jc w:val="center"/>
    </w:pPr>
  </w:style>
  <w:style w:customStyle="1" w:styleId="aff5" w:type="paragraph">
    <w:name w:val="图名中文"/>
    <w:basedOn w:val="a"/>
    <w:link w:val="Charf1"/>
    <w:qFormat/>
    <w:pPr>
      <w:jc w:val="center"/>
    </w:pPr>
    <w:rPr>
      <w:rFonts w:ascii="宋体" w:hAnsi="宋体"/>
      <w:sz w:val="21"/>
      <w:szCs w:val="21"/>
    </w:rPr>
  </w:style>
  <w:style w:styleId="TOC7" w:type="paragraph">
    <w:name w:val="toc 7"/>
    <w:basedOn w:val="a"/>
    <w:next w:val="a"/>
    <w:semiHidden/>
    <w:pPr>
      <w:widowControl w:val="0"/>
      <w:ind w:left="2520" w:leftChars="1200"/>
    </w:pPr>
    <w:rPr>
      <w:kern w:val="2"/>
      <w:sz w:val="21"/>
    </w:rPr>
  </w:style>
  <w:style w:styleId="aff9" w:type="paragraph">
    <w:name w:val="Document Map"/>
    <w:basedOn w:val="a"/>
    <w:semiHidden/>
    <w:pPr>
      <w:shd w:color="auto" w:fill="000080" w:val="clear"/>
    </w:pPr>
  </w:style>
  <w:style w:styleId="TOC3" w:type="paragraph">
    <w:name w:val="toc 3"/>
    <w:basedOn w:val="a"/>
    <w:next w:val="a"/>
    <w:uiPriority w:val="39"/>
    <w:pPr>
      <w:ind w:left="840" w:leftChars="400"/>
    </w:pPr>
  </w:style>
  <w:style w:styleId="affa" w:type="paragraph">
    <w:name w:val="Balloon Text"/>
    <w:basedOn w:val="a"/>
    <w:semiHidden/>
    <w:rPr>
      <w:sz w:val="18"/>
      <w:szCs w:val="18"/>
    </w:rPr>
  </w:style>
  <w:style w:customStyle="1" w:styleId="afa" w:type="paragraph">
    <w:name w:val="硕士学位论文"/>
    <w:basedOn w:val="a"/>
    <w:link w:val="Char6"/>
    <w:qFormat/>
    <w:pPr>
      <w:ind w:firstLine="0" w:firstLineChars="0"/>
      <w:jc w:val="center"/>
    </w:pPr>
    <w:rPr>
      <w:rFonts w:ascii="华文细黑" w:hAnsi="华文细黑"/>
      <w:b/>
      <w:sz w:val="48"/>
      <w:szCs w:val="48"/>
      <w:lang w:eastAsia="zh-CN"/>
    </w:rPr>
  </w:style>
  <w:style w:styleId="affb" w:type="paragraph">
    <w:name w:val="footer"/>
    <w:basedOn w:val="a"/>
    <w:pPr>
      <w:tabs>
        <w:tab w:pos="4153" w:val="center"/>
        <w:tab w:pos="8306" w:val="right"/>
      </w:tabs>
      <w:spacing w:before="600" w:line="180" w:lineRule="atLeast"/>
      <w:jc w:val="center"/>
    </w:pPr>
    <w:rPr>
      <w:sz w:val="18"/>
      <w:szCs w:val="18"/>
    </w:rPr>
  </w:style>
  <w:style w:styleId="affc" w:type="paragraph">
    <w:name w:val="header"/>
    <w:basedOn w:val="a"/>
    <w:pPr>
      <w:keepLines/>
      <w:pBdr>
        <w:bottom w:color="auto" w:space="1" w:sz="6" w:val="single"/>
      </w:pBdr>
      <w:tabs>
        <w:tab w:pos="4153" w:val="center"/>
        <w:tab w:pos="8306" w:val="right"/>
      </w:tabs>
      <w:spacing w:after="600" w:line="180" w:lineRule="atLeast"/>
      <w:jc w:val="center"/>
    </w:pPr>
    <w:rPr>
      <w:spacing w:val="-5"/>
      <w:sz w:val="21"/>
      <w:szCs w:val="21"/>
      <w:lang w:eastAsia="zh-CN"/>
    </w:rPr>
  </w:style>
  <w:style w:styleId="TOC1" w:type="paragraph">
    <w:name w:val="toc 1"/>
    <w:basedOn w:val="a"/>
    <w:next w:val="a"/>
    <w:uiPriority w:val="39"/>
    <w:pPr>
      <w:tabs>
        <w:tab w:leader="dot" w:pos="9060" w:val="right"/>
      </w:tabs>
      <w:ind w:firstLine="0" w:firstLineChars="0" w:left="482"/>
    </w:pPr>
  </w:style>
  <w:style w:customStyle="1" w:styleId="aff3" w:type="paragraph">
    <w:name w:val="英文摘要正文"/>
    <w:basedOn w:val="11"/>
    <w:link w:val="Charf"/>
    <w:qFormat/>
    <w:rPr>
      <w:rFonts w:eastAsia="Times New Roman"/>
    </w:rPr>
  </w:style>
  <w:style w:customStyle="1" w:styleId="afd" w:type="paragraph">
    <w:name w:val="首页页脚中文"/>
    <w:basedOn w:val="a"/>
    <w:link w:val="Char9"/>
    <w:qFormat/>
    <w:pPr>
      <w:ind w:firstLine="0" w:firstLineChars="0"/>
      <w:jc w:val="center"/>
    </w:pPr>
    <w:rPr>
      <w:rFonts w:ascii="华文行楷" w:eastAsia="华文行楷"/>
      <w:sz w:val="36"/>
      <w:szCs w:val="36"/>
      <w:lang w:eastAsia="zh-CN"/>
    </w:rPr>
  </w:style>
  <w:style w:styleId="af1" w:type="paragraph">
    <w:name w:val="Subtitle"/>
    <w:basedOn w:val="a"/>
    <w:next w:val="a"/>
    <w:link w:val="af0"/>
    <w:uiPriority w:val="11"/>
    <w:qFormat/>
    <w:pPr>
      <w:spacing w:after="60"/>
      <w:jc w:val="center"/>
      <w:outlineLvl w:val="1"/>
    </w:pPr>
    <w:rPr>
      <w:rFonts w:ascii="Cambria" w:hAnsi="Cambria"/>
    </w:rPr>
  </w:style>
  <w:style w:styleId="TOC6" w:type="paragraph">
    <w:name w:val="toc 6"/>
    <w:basedOn w:val="a"/>
    <w:next w:val="a"/>
    <w:semiHidden/>
    <w:pPr>
      <w:widowControl w:val="0"/>
      <w:ind w:left="2100" w:leftChars="1000"/>
    </w:pPr>
    <w:rPr>
      <w:kern w:val="2"/>
      <w:sz w:val="21"/>
    </w:rPr>
  </w:style>
  <w:style w:customStyle="1" w:styleId="afb" w:type="paragraph">
    <w:name w:val="论文题目"/>
    <w:basedOn w:val="a"/>
    <w:link w:val="Char7"/>
    <w:qFormat/>
    <w:pPr>
      <w:ind w:firstLine="0" w:firstLineChars="0"/>
      <w:jc w:val="center"/>
    </w:pPr>
    <w:rPr>
      <w:rFonts w:ascii="华文细黑" w:eastAsia="华文细黑" w:hAnsi="华文细黑"/>
      <w:b/>
      <w:sz w:val="44"/>
      <w:szCs w:val="44"/>
      <w:lang w:eastAsia="zh-CN"/>
    </w:rPr>
  </w:style>
  <w:style w:styleId="affd" w:type="paragraph">
    <w:name w:val="table of figures"/>
    <w:basedOn w:val="a"/>
    <w:next w:val="a"/>
    <w:pPr>
      <w:ind w:hanging="200" w:hangingChars="200" w:left="200" w:leftChars="200"/>
      <w:jc w:val="both"/>
    </w:pPr>
  </w:style>
  <w:style w:styleId="TOC2" w:type="paragraph">
    <w:name w:val="toc 2"/>
    <w:basedOn w:val="a"/>
    <w:next w:val="a"/>
    <w:uiPriority w:val="39"/>
    <w:pPr>
      <w:ind w:left="420" w:leftChars="200"/>
    </w:pPr>
  </w:style>
  <w:style w:customStyle="1" w:styleId="aff0" w:type="paragraph">
    <w:name w:val="独创声明正文"/>
    <w:basedOn w:val="a"/>
    <w:link w:val="Charc"/>
    <w:qFormat/>
    <w:pPr>
      <w:spacing w:after="100" w:afterAutospacing="1" w:beforeLines="100" w:line="360" w:lineRule="auto"/>
      <w:ind w:firstLine="560"/>
    </w:pPr>
    <w:rPr>
      <w:rFonts w:ascii="仿宋_GB2312" w:eastAsia="仿宋_GB2312"/>
      <w:sz w:val="28"/>
      <w:szCs w:val="28"/>
    </w:rPr>
  </w:style>
  <w:style w:styleId="af5" w:type="paragraph">
    <w:name w:val="Intense Quote"/>
    <w:basedOn w:val="a"/>
    <w:next w:val="a"/>
    <w:link w:val="af4"/>
    <w:uiPriority w:val="30"/>
    <w:qFormat/>
    <w:pPr>
      <w:ind w:left="720" w:right="720"/>
    </w:pPr>
    <w:rPr>
      <w:b/>
      <w:i/>
      <w:szCs w:val="22"/>
    </w:rPr>
  </w:style>
  <w:style w:styleId="affe" w:type="paragraph">
    <w:name w:val="No Spacing"/>
    <w:basedOn w:val="a"/>
    <w:uiPriority w:val="1"/>
    <w:qFormat/>
    <w:rPr>
      <w:szCs w:val="32"/>
    </w:rPr>
  </w:style>
  <w:style w:styleId="af" w:type="paragraph">
    <w:name w:val="Title"/>
    <w:basedOn w:val="a"/>
    <w:next w:val="a"/>
    <w:link w:val="ae"/>
    <w:uiPriority w:val="10"/>
    <w:qFormat/>
    <w:pPr>
      <w:spacing w:after="60" w:before="240"/>
      <w:jc w:val="center"/>
      <w:outlineLvl w:val="0"/>
    </w:pPr>
    <w:rPr>
      <w:rFonts w:ascii="Cambria" w:hAnsi="Cambria"/>
      <w:b/>
      <w:bCs/>
      <w:kern w:val="28"/>
      <w:sz w:val="32"/>
      <w:szCs w:val="32"/>
    </w:rPr>
  </w:style>
  <w:style w:styleId="TOC" w:type="paragraph">
    <w:name w:val="TOC Heading"/>
    <w:basedOn w:val="1"/>
    <w:next w:val="a"/>
    <w:uiPriority w:val="39"/>
    <w:qFormat/>
    <w:pPr>
      <w:outlineLvl w:val="9"/>
    </w:pPr>
  </w:style>
  <w:style w:customStyle="1" w:styleId="afc" w:type="paragraph">
    <w:name w:val="首页居中"/>
    <w:basedOn w:val="a"/>
    <w:link w:val="Char8"/>
    <w:qFormat/>
    <w:pPr>
      <w:spacing w:line="360" w:lineRule="auto"/>
      <w:ind w:firstLine="1977" w:firstLineChars="659"/>
    </w:pPr>
    <w:rPr>
      <w:sz w:val="30"/>
      <w:szCs w:val="30"/>
      <w:lang w:eastAsia="zh-CN"/>
    </w:rPr>
  </w:style>
  <w:style w:customStyle="1" w:styleId="ac" w:type="paragraph">
    <w:name w:val="英文摘要"/>
    <w:basedOn w:val="1"/>
    <w:link w:val="Char3"/>
    <w:pPr>
      <w:jc w:val="center"/>
    </w:pPr>
    <w:rPr>
      <w:rFonts w:cs="宋体"/>
      <w:bCs w:val="0"/>
      <w:sz w:val="30"/>
      <w:szCs w:val="20"/>
    </w:rPr>
  </w:style>
  <w:style w:customStyle="1" w:styleId="aff1" w:type="paragraph">
    <w:name w:val="关键词"/>
    <w:basedOn w:val="a"/>
    <w:link w:val="Chard"/>
    <w:qFormat/>
    <w:rPr>
      <w:rFonts w:ascii="仿宋_GB2312" w:eastAsia="仿宋_GB2312"/>
      <w:lang w:eastAsia="zh-CN"/>
    </w:rPr>
  </w:style>
  <w:style w:styleId="af3" w:type="paragraph">
    <w:name w:val="Quote"/>
    <w:basedOn w:val="a"/>
    <w:next w:val="a"/>
    <w:link w:val="af2"/>
    <w:uiPriority w:val="29"/>
    <w:qFormat/>
    <w:rPr>
      <w:i/>
    </w:rPr>
  </w:style>
  <w:style w:customStyle="1" w:styleId="21" w:type="paragraph">
    <w:name w:val="样式 标题 2"/>
    <w:basedOn w:val="2"/>
    <w:rPr>
      <w:rFonts w:cs="宋体"/>
      <w:szCs w:val="20"/>
    </w:rPr>
  </w:style>
  <w:style w:customStyle="1" w:styleId="afff" w:type="paragraph">
    <w:name w:val="公式"/>
    <w:basedOn w:val="a"/>
    <w:pPr>
      <w:spacing w:after="120" w:before="120"/>
      <w:jc w:val="right"/>
    </w:pPr>
    <w:rPr>
      <w:rFonts w:cs="宋体"/>
    </w:rPr>
  </w:style>
  <w:style w:customStyle="1" w:styleId="afff0" w:type="paragraph">
    <w:name w:val="摘要"/>
    <w:basedOn w:val="1"/>
    <w:pPr>
      <w:jc w:val="center"/>
    </w:pPr>
    <w:rPr>
      <w:rFonts w:cs="宋体"/>
      <w:bCs w:val="0"/>
      <w:szCs w:val="20"/>
      <w:lang w:eastAsia="zh-CN" w:val="en-US"/>
    </w:rPr>
  </w:style>
  <w:style w:customStyle="1" w:styleId="11" w:type="paragraph">
    <w:name w:val="正文1"/>
    <w:basedOn w:val="a"/>
    <w:link w:val="1Char"/>
    <w:pPr>
      <w:spacing w:after="0" w:before="0"/>
      <w:ind w:firstLine="480"/>
      <w:jc w:val="both"/>
    </w:pPr>
  </w:style>
  <w:style w:customStyle="1" w:styleId="afff1" w:type="paragraph">
    <w:name w:val="引言"/>
    <w:basedOn w:val="1"/>
    <w:pPr>
      <w:jc w:val="center"/>
    </w:pPr>
    <w:rPr>
      <w:rFonts w:cs="宋体"/>
      <w:bCs w:val="0"/>
      <w:sz w:val="30"/>
      <w:szCs w:val="20"/>
    </w:rPr>
  </w:style>
  <w:style w:customStyle="1" w:styleId="afff2" w:type="paragraph">
    <w:name w:val="参考文献"/>
    <w:basedOn w:val="ac"/>
  </w:style>
  <w:style w:customStyle="1" w:styleId="afff3" w:type="paragraph">
    <w:name w:val="结论"/>
    <w:basedOn w:val="ac"/>
  </w:style>
  <w:style w:customStyle="1" w:styleId="a4" w:type="paragraph">
    <w:name w:val="论文英文题目"/>
    <w:basedOn w:val="a"/>
    <w:link w:val="Char0"/>
    <w:qFormat/>
    <w:pPr>
      <w:ind w:firstLine="0" w:firstLineChars="0"/>
      <w:jc w:val="center"/>
    </w:pPr>
    <w:rPr>
      <w:rFonts w:eastAsia="Times New Roman"/>
      <w:b/>
      <w:sz w:val="32"/>
      <w:szCs w:val="32"/>
    </w:rPr>
  </w:style>
  <w:style w:customStyle="1" w:styleId="ad" w:type="paragraph">
    <w:name w:val="附录"/>
    <w:basedOn w:val="ac"/>
    <w:link w:val="Char4"/>
  </w:style>
  <w:style w:customStyle="1" w:styleId="a3" w:type="paragraph">
    <w:name w:val="英文关键词"/>
    <w:basedOn w:val="a"/>
    <w:link w:val="Char"/>
    <w:qFormat/>
    <w:rPr>
      <w:rFonts w:ascii="Calibri" w:hAnsi="Calibri"/>
    </w:rPr>
  </w:style>
  <w:style w:customStyle="1" w:styleId="afff4" w:type="paragraph">
    <w:name w:val="致谢"/>
    <w:basedOn w:val="ac"/>
  </w:style>
  <w:style w:customStyle="1" w:styleId="afff5" w:type="paragraph">
    <w:name w:val="发表学术论文情况"/>
    <w:basedOn w:val="ac"/>
  </w:style>
  <w:style w:styleId="afff6" w:type="paragraph">
    <w:name w:val="List Paragraph"/>
    <w:basedOn w:val="a"/>
    <w:uiPriority w:val="34"/>
    <w:qFormat/>
    <w:pPr>
      <w:ind w:firstLine="0" w:left="0"/>
      <w:contextualSpacing/>
    </w:pPr>
  </w:style>
  <w:style w:customStyle="1" w:styleId="afe" w:type="paragraph">
    <w:name w:val="首页页脚英文"/>
    <w:basedOn w:val="a"/>
    <w:link w:val="Chara"/>
    <w:qFormat/>
    <w:pPr>
      <w:ind w:firstLine="0" w:firstLineChars="0"/>
      <w:jc w:val="center"/>
    </w:pPr>
    <w:rPr>
      <w:lang w:eastAsia="zh-CN"/>
    </w:rPr>
  </w:style>
  <w:style w:customStyle="1" w:styleId="a6" w:type="paragraph">
    <w:name w:val="关键词题头"/>
    <w:basedOn w:val="a"/>
    <w:link w:val="Char1"/>
    <w:qFormat/>
    <w:rPr>
      <w:rFonts w:ascii="黑体" w:eastAsia="黑体"/>
      <w:lang w:eastAsia="zh-CN"/>
    </w:rPr>
  </w:style>
  <w:style w:customStyle="1" w:styleId="aff4" w:type="paragraph">
    <w:name w:val="目录"/>
    <w:basedOn w:val="a"/>
    <w:link w:val="Charf0"/>
    <w:qFormat/>
    <w:pPr>
      <w:ind w:firstLine="0" w:firstLineChars="0"/>
      <w:jc w:val="center"/>
    </w:pPr>
    <w:rPr>
      <w:rFonts w:ascii="黑体" w:eastAsia="黑体"/>
      <w:sz w:val="30"/>
      <w:szCs w:val="30"/>
      <w:lang w:eastAsia="zh-CN" w:val="en-US"/>
    </w:rPr>
  </w:style>
  <w:style w:customStyle="1" w:styleId="Keywords" w:type="paragraph">
    <w:name w:val="Keywords"/>
    <w:basedOn w:val="a"/>
    <w:link w:val="KeywordsChar"/>
    <w:qFormat/>
    <w:rPr>
      <w:b/>
    </w:rPr>
  </w:style>
  <w:style w:customStyle="1" w:styleId="aff2" w:type="paragraph">
    <w:name w:val="摘要题目"/>
    <w:basedOn w:val="a"/>
    <w:link w:val="Chare"/>
    <w:qFormat/>
    <w:pPr>
      <w:ind w:firstLine="0" w:firstLineChars="0"/>
      <w:jc w:val="center"/>
    </w:pPr>
    <w:rPr>
      <w:sz w:val="30"/>
      <w:szCs w:val="30"/>
    </w:rPr>
  </w:style>
  <w:style w:customStyle="1" w:styleId="12" w:type="paragraph">
    <w:name w:val="标题1居中"/>
    <w:basedOn w:val="1"/>
    <w:link w:val="1Char0"/>
    <w:qFormat/>
    <w:pPr>
      <w:jc w:val="center"/>
    </w:pPr>
  </w:style>
  <w:style w:customStyle="1" w:styleId="aff6" w:type="paragraph">
    <w:name w:val="图名英文"/>
    <w:basedOn w:val="a"/>
    <w:link w:val="Charf2"/>
    <w:qFormat/>
    <w:pPr>
      <w:jc w:val="center"/>
    </w:pPr>
    <w:rPr>
      <w:sz w:val="21"/>
      <w:szCs w:val="21"/>
    </w:rPr>
  </w:style>
  <w:style w:customStyle="1" w:styleId="ab" w:type="paragraph">
    <w:name w:val="参考文献标题"/>
    <w:basedOn w:val="1"/>
    <w:link w:val="Char2"/>
    <w:qFormat/>
    <w:pPr>
      <w:jc w:val="center"/>
    </w:pPr>
  </w:style>
  <w:style w:customStyle="1" w:styleId="aff7" w:type="paragraph">
    <w:name w:val="参考文献正文"/>
    <w:basedOn w:val="a"/>
    <w:link w:val="Charf3"/>
    <w:qFormat/>
    <w:rPr>
      <w:rFonts w:ascii="宋体" w:hAnsi="宋体"/>
      <w:sz w:val="21"/>
      <w:szCs w:val="21"/>
      <w:lang w:eastAsia="zh-CN"/>
    </w:rPr>
  </w:style>
  <w:style w:customStyle="1" w:styleId="af9" w:type="paragraph">
    <w:name w:val="授权说明正文"/>
    <w:basedOn w:val="a"/>
    <w:link w:val="Char5"/>
    <w:qFormat/>
    <w:pPr>
      <w:spacing w:line="360" w:lineRule="auto"/>
      <w:ind w:firstLine="560"/>
    </w:pPr>
    <w:rPr>
      <w:rFonts w:ascii="仿宋_GB2312" w:eastAsia="仿宋_GB2312"/>
      <w:sz w:val="28"/>
      <w:szCs w:val="28"/>
      <w:lang w:eastAsia="zh-CN"/>
    </w:rPr>
  </w:style>
  <w:style w:customStyle="1" w:styleId="110" w:type="paragraph">
    <w:name w:val="样式 标题 1 + 段后: 1 行"/>
    <w:basedOn w:val="1"/>
    <w:pPr>
      <w:spacing w:after="240"/>
    </w:pPr>
    <w:rPr>
      <w:rFonts w:cs="宋体"/>
      <w:bCs w:val="0"/>
      <w:sz w:val="30"/>
      <w:szCs w:val="20"/>
    </w:rPr>
  </w:style>
  <w:style w:customStyle="1" w:styleId="13" w:type="paragraph">
    <w:name w:val="样式 参考文献标题 + 段后: 1 行"/>
    <w:basedOn w:val="ab"/>
    <w:pPr>
      <w:spacing w:after="240"/>
    </w:pPr>
    <w:rPr>
      <w:rFonts w:cs="宋体"/>
      <w:bCs w:val="0"/>
      <w:sz w:val="30"/>
      <w:szCs w:val="20"/>
    </w:rPr>
  </w:style>
  <w:style w:customStyle="1" w:styleId="14" w:type="paragraph">
    <w:name w:val="样式 摘要 + 段后: 1 行"/>
    <w:basedOn w:val="afff0"/>
    <w:pPr>
      <w:spacing w:after="240"/>
    </w:pPr>
    <w:rPr>
      <w:sz w:val="30"/>
    </w:rPr>
  </w:style>
  <w:style w:customStyle="1" w:styleId="afff7" w:type="paragraph">
    <w:name w:val="作者简介"/>
    <w:basedOn w:val="afff2"/>
    <w:pPr>
      <w:keepLines/>
      <w:tabs>
        <w:tab w:pos="377" w:val="left"/>
      </w:tabs>
      <w:snapToGrid/>
      <w:spacing w:afterLines="0"/>
    </w:pPr>
    <w:rPr>
      <w:rFonts w:ascii="黑体" w:hAnsi="Times New Roman"/>
      <w:b/>
      <w:bCs/>
      <w:kern w:val="44"/>
      <w:szCs w:val="32"/>
      <w:lang w:bidi="ar-SA"/>
    </w:rPr>
  </w:style>
  <w:style w:styleId="afff8" w:type="table">
    <w:name w:val="Table Grid"/>
    <w:basedOn w:val="a1"/>
    <w:pPr>
      <w:snapToGrid w:val="0"/>
      <w:spacing w:line="300" w:lineRule="auto"/>
      <w:ind w:firstLine="480" w:firstLineChars="20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f9" w:type="paragraph">
    <w:name w:val="Revision"/>
    <w:hidden/>
    <w:uiPriority w:val="99"/>
    <w:unhideWhenUsed/>
    <w:rsid w:val="004C61AB"/>
    <w:rPr>
      <w:rFonts w:ascii="Times New Roman" w:hAnsi="Times New Roman"/>
      <w:sz w:val="24"/>
      <w:lang w:bidi="en-US" w:eastAsia="en-US"/>
    </w:rPr>
  </w:style>
  <w:style w:customStyle="1" w:styleId="TableText" w:type="paragraph">
    <w:name w:val="Table Text"/>
    <w:basedOn w:val="a"/>
    <w:pPr>
      <w:ind w:firstLine="0" w:left="0"/>
    </w:pPr>
  </w:style>
  <w:style w:customStyle="1" w:styleId="Formula" w:type="paragraph">
    <w:name w:val="Formula"/>
    <w:basedOn w:val="a"/>
    <w:pPr>
      <w:spacing w:after="0" w:before="0" w:line="240" w:lineRule="auto"/>
      <w:ind w:firstLine="0"/>
    </w:pPr>
  </w:style>
  <w:style w:customStyle="1" w:styleId="CompactList" w:type="paragraph">
    <w:name w:val="Compact List"/>
    <w:basedOn w:val="a"/>
    <w:pPr>
      <w:spacing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5.xml" Type="http://schemas.openxmlformats.org/officeDocument/2006/relationships/header" /><Relationship Id="rId10" Target="header2.xml" Type="http://schemas.openxmlformats.org/officeDocument/2006/relationships/header" /><Relationship Id="rId11" Target="header4.xml" Type="http://schemas.openxmlformats.org/officeDocument/2006/relationships/header" /><Relationship Id="rId12" Target="header1.xml" Type="http://schemas.openxmlformats.org/officeDocument/2006/relationships/header" /><Relationship Id="rId13" Target="header7.xml" Type="http://schemas.openxmlformats.org/officeDocument/2006/relationships/header" /><Relationship Id="rId14" Target="header3.xml" Type="http://schemas.openxmlformats.org/officeDocument/2006/relationships/header" /><Relationship Id="rId15" Target="header6.xml" Type="http://schemas.openxmlformats.org/officeDocument/2006/relationships/header" /><Relationship Id="rId16" Target="footer1.xml" Type="http://schemas.openxmlformats.org/officeDocument/2006/relationships/footer" /><Relationship Id="rId17" Target="footer7.xml" Type="http://schemas.openxmlformats.org/officeDocument/2006/relationships/footer" /><Relationship Id="rId18" Target="footer9.xml" Type="http://schemas.openxmlformats.org/officeDocument/2006/relationships/footer" /><Relationship Id="rId19" Target="footer6.xml" Type="http://schemas.openxmlformats.org/officeDocument/2006/relationships/footer" /><Relationship Id="rId20" Target="footer3.xml" Type="http://schemas.openxmlformats.org/officeDocument/2006/relationships/footer" /><Relationship Id="rId21" Target="footer8.xml" Type="http://schemas.openxmlformats.org/officeDocument/2006/relationships/footer" /><Relationship Id="rId22" Target="footer5.xml" Type="http://schemas.openxmlformats.org/officeDocument/2006/relationships/footer" /><Relationship Id="rId23" Target="footer2.xml" Type="http://schemas.openxmlformats.org/officeDocument/2006/relationships/footer" /><Relationship Id="rId24" Target="footer4.xml" Type="http://schemas.openxmlformats.org/officeDocument/2006/relationships/footer"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2026-01-18T16:45:28Z</dcterms:created>
  <dcterms:modified xsi:type="dcterms:W3CDTF">2026-01-18T16:45:28Z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/share/fandixiaLab/suguangsheng/PycharmProjects/Sparse2Full/thesis_paper/manuscript_gpt_review/latex/manuscript/references.bib</vt:lpwstr>
  </property>
</Properties>
</file>