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稀疏观测驱动的时空流场重建方法研究论文模板"/>
    <w:p>
      <w:pPr>
        <w:pStyle w:val="1"/>
      </w:pPr>
      <w:r>
        <w:t xml:space="preserve">稀疏观测驱动的时空流场重建方法研究（论文模板）</w:t>
      </w:r>
    </w:p>
    <w:p>
      <w:pPr>
        <w:pStyle w:val="11"/>
      </w:pPr>
      <w:r>
        <w:t xml:space="preserve">按</w:t>
      </w:r>
      <w:r>
        <w:t xml:space="preserve"> </w:t>
      </w:r>
      <w:r>
        <w:rPr>
          <w:rStyle w:val="VerbatimChar"/>
        </w:rPr>
        <w:t xml:space="preserve">thesis_paper/drafts/outline.md</w:t>
      </w:r>
      <w:r>
        <w:t xml:space="preserve"> </w:t>
      </w:r>
      <w:r>
        <w:t xml:space="preserve">的章节结构，并对齐项目规则（H/DC 一致性、可复现、指标与资源、paper_package）。</w:t>
      </w:r>
    </w:p>
    <w:bookmarkStart w:id="20" w:name="摘要"/>
    <w:p>
      <w:pPr>
        <w:pStyle w:val="2"/>
      </w:pPr>
      <w:r>
        <w:t xml:space="preserve">摘要</w:t>
      </w:r>
    </w:p>
    <w:p>
      <w:pPr>
        <w:numPr>
          <w:ilvl w:val="0"/>
          <w:numId w:val="1001"/>
        </w:numPr>
        <w:pStyle w:val="Compact"/>
      </w:pPr>
      <w:r>
        <w:t xml:space="preserve">研究背景与意义（2-3 段）</w:t>
      </w:r>
    </w:p>
    <w:p>
      <w:pPr>
        <w:numPr>
          <w:ilvl w:val="0"/>
          <w:numId w:val="1001"/>
        </w:numPr>
        <w:pStyle w:val="Compact"/>
      </w:pPr>
      <w:r>
        <w:t xml:space="preserve">主要贡献（列点，3-5 点，避免与相关工作混淆）</w:t>
      </w:r>
    </w:p>
    <w:p>
      <w:pPr>
        <w:numPr>
          <w:ilvl w:val="0"/>
          <w:numId w:val="1001"/>
        </w:numPr>
        <w:pStyle w:val="Compact"/>
      </w:pPr>
      <w:r>
        <w:t xml:space="preserve">关键结果（含指标与显著性，简述资源成本）</w:t>
      </w:r>
    </w:p>
    <w:p>
      <w:pPr>
        <w:numPr>
          <w:ilvl w:val="0"/>
          <w:numId w:val="1001"/>
        </w:numPr>
        <w:pStyle w:val="Compact"/>
      </w:pPr>
      <w:r>
        <w:t xml:space="preserve">结论与展望（1 段）</w:t>
      </w:r>
    </w:p>
    <w:bookmarkEnd w:id="20"/>
    <w:bookmarkStart w:id="24" w:name="第1章-绪论"/>
    <w:p>
      <w:pPr>
        <w:pStyle w:val="2"/>
      </w:pPr>
      <w:r>
        <w:t xml:space="preserve">第1章 绪论</w:t>
      </w:r>
    </w:p>
    <w:bookmarkStart w:id="21" w:name="研究背景"/>
    <w:p>
      <w:pPr>
        <w:pStyle w:val="3"/>
      </w:pPr>
      <w:r>
        <w:t xml:space="preserve">1.1 研究背景</w:t>
      </w:r>
    </w:p>
    <w:p>
      <w:pPr>
        <w:numPr>
          <w:ilvl w:val="0"/>
          <w:numId w:val="1002"/>
        </w:numPr>
        <w:pStyle w:val="Compact"/>
      </w:pPr>
      <w:r>
        <w:t xml:space="preserve">流场重建的重要性；应用场景（CFD、天气、海洋等）</w:t>
      </w:r>
    </w:p>
    <w:p>
      <w:pPr>
        <w:numPr>
          <w:ilvl w:val="0"/>
          <w:numId w:val="1002"/>
        </w:numPr>
        <w:pStyle w:val="Compact"/>
      </w:pPr>
      <w:r>
        <w:t xml:space="preserve">稀疏观测的挑战（采样约束、噪声、时空不齐性）</w:t>
      </w:r>
    </w:p>
    <w:bookmarkEnd w:id="21"/>
    <w:bookmarkStart w:id="22" w:name="研究意义"/>
    <w:p>
      <w:pPr>
        <w:pStyle w:val="3"/>
      </w:pPr>
      <w:r>
        <w:t xml:space="preserve">1.2 研究意义</w:t>
      </w:r>
    </w:p>
    <w:p>
      <w:pPr>
        <w:numPr>
          <w:ilvl w:val="0"/>
          <w:numId w:val="1003"/>
        </w:numPr>
        <w:pStyle w:val="Compact"/>
      </w:pPr>
      <w:r>
        <w:t xml:space="preserve">理论意义与方法学价值</w:t>
      </w:r>
    </w:p>
    <w:p>
      <w:pPr>
        <w:numPr>
          <w:ilvl w:val="0"/>
          <w:numId w:val="1003"/>
        </w:numPr>
        <w:pStyle w:val="Compact"/>
      </w:pPr>
      <w:r>
        <w:t xml:space="preserve">实际应用价值与潜在影响</w:t>
      </w:r>
    </w:p>
    <w:bookmarkEnd w:id="22"/>
    <w:bookmarkStart w:id="23" w:name="研究内容与贡献"/>
    <w:p>
      <w:pPr>
        <w:pStyle w:val="3"/>
      </w:pPr>
      <w:r>
        <w:t xml:space="preserve">1.3 研究内容与贡献</w:t>
      </w:r>
    </w:p>
    <w:p>
      <w:pPr>
        <w:numPr>
          <w:ilvl w:val="0"/>
          <w:numId w:val="1004"/>
        </w:numPr>
        <w:pStyle w:val="Compact"/>
      </w:pPr>
      <w:r>
        <w:t xml:space="preserve">主要研究内容概述</w:t>
      </w:r>
    </w:p>
    <w:p>
      <w:pPr>
        <w:numPr>
          <w:ilvl w:val="0"/>
          <w:numId w:val="1004"/>
        </w:numPr>
        <w:pStyle w:val="Compact"/>
      </w:pPr>
      <w:r>
        <w:t xml:space="preserve">创新点列表（与摘要一致但更详尽）</w:t>
      </w:r>
    </w:p>
    <w:p>
      <w:pPr>
        <w:numPr>
          <w:ilvl w:val="0"/>
          <w:numId w:val="1004"/>
        </w:numPr>
        <w:pStyle w:val="Compact"/>
      </w:pPr>
      <w:r>
        <w:t xml:space="preserve">论文组织结构说明</w:t>
      </w:r>
    </w:p>
    <w:bookmarkEnd w:id="23"/>
    <w:bookmarkEnd w:id="24"/>
    <w:bookmarkStart w:id="29" w:name="第2章-相关工作"/>
    <w:p>
      <w:pPr>
        <w:pStyle w:val="2"/>
      </w:pPr>
      <w:r>
        <w:t xml:space="preserve">第2章 相关工作</w:t>
      </w:r>
    </w:p>
    <w:bookmarkStart w:id="25" w:name="流场重建方法综述"/>
    <w:p>
      <w:pPr>
        <w:pStyle w:val="3"/>
      </w:pPr>
      <w:r>
        <w:t xml:space="preserve">2.1 流场重建方法综述</w:t>
      </w:r>
    </w:p>
    <w:p>
      <w:pPr>
        <w:numPr>
          <w:ilvl w:val="0"/>
          <w:numId w:val="1005"/>
        </w:numPr>
        <w:pStyle w:val="Compact"/>
      </w:pPr>
      <w:r>
        <w:t xml:space="preserve">物理/数据驱动/混合方法的对比</w:t>
      </w:r>
    </w:p>
    <w:p>
      <w:pPr>
        <w:pStyle w:val="11"/>
      </w:pPr>
      <w:r>
        <w:t xml:space="preserve">文献综述与引证（APA 示例）：</w:t>
      </w:r>
      <w:r>
        <w:t xml:space="preserve"> </w:t>
      </w:r>
      <w:r>
        <w:t xml:space="preserve">- Raissi, M., Perdikaris, P., &amp; Karniadakis, G. E. (2019). Physics-informed neural networks: A deep learning framework for solving forward and inverse problems involving nonlinear partial differential equations. Journal of Computational Physics, 378, 686–707. https://doi.org/10.1016/j.jcp.2018.10.045</w:t>
      </w:r>
      <w:r>
        <w:t xml:space="preserve"> </w:t>
      </w:r>
      <w:r>
        <w:t xml:space="preserve">- Li, Z., Kovachki, N. B., Azizzadenesheli, K., Liu, B., Bhattacharya, K., Stuart, A., &amp; Anandkumar, A. (2021). Fourier neural operator for parametric partial differential equations. In ICLR 2021. https://openreview.net/forum?id=c8P9NQVtmnO</w:t>
      </w:r>
      <w:r>
        <w:t xml:space="preserve"> </w:t>
      </w:r>
      <w:r>
        <w:t xml:space="preserve">- Lu, L., Jin, P., Pang, G., Zhang, Z., &amp; Karniadakis, G. E. (2021). Learning nonlinear operators via DeepONet based on the universal approximation theorem of operators. Nature Machine Intelligence, 3(3), 218–229. https://doi.org/10.1038/s42256-021-00302-5</w:t>
      </w:r>
      <w:r>
        <w:t xml:space="preserve"> </w:t>
      </w:r>
      <w:r>
        <w:t xml:space="preserve">- Takamoto, M., Praditia, T., Leiteritz, R., MacKinlay, D., Alesiani, F., Pflüger, D., &amp; Niepert, M. (2022). PDEBench: An extensive benchmark for scientific machine learning. NeurIPS Datasets and Benchmarks. https://arxiv.org/abs/2210.07182</w:t>
      </w:r>
      <w:r>
        <w:t xml:space="preserve"> </w:t>
      </w:r>
      <w:r>
        <w:t xml:space="preserve">- OpenCV documentation and community guidance on anti-aliasing downsampling</w:t>
      </w:r>
      <w:r>
        <w:t xml:space="preserve"> </w:t>
      </w:r>
      <m:oMath>
        <m:r>
          <m:t>I</m:t>
        </m:r>
        <m:r>
          <m:t>N</m:t>
        </m:r>
        <m:r>
          <m:t>T</m:t>
        </m:r>
        <m:r>
          <m:t>E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R</m:t>
        </m:r>
        <m:r>
          <m:t>E</m:t>
        </m:r>
        <m:r>
          <m:t>A</m:t>
        </m:r>
        <m:r>
          <m:rPr>
            <m:sty m:val="p"/>
          </m:rPr>
          <m:t>+</m:t>
        </m:r>
        <m:r>
          <m:t>G</m:t>
        </m:r>
        <m:r>
          <m:t>a</m:t>
        </m:r>
        <m:r>
          <m:t>u</m:t>
        </m:r>
        <m:r>
          <m:t>s</m:t>
        </m:r>
        <m:r>
          <m:t>s</m:t>
        </m:r>
        <m:r>
          <m:t>i</m:t>
        </m:r>
        <m:r>
          <m:t>a</m:t>
        </m:r>
        <m:r>
          <m:t>n</m:t>
        </m:r>
        <m:r>
          <m:t>p</m:t>
        </m:r>
        <m:r>
          <m:t>r</m:t>
        </m:r>
        <m:r>
          <m:t>e</m:t>
        </m:r>
        <m:r>
          <m:t>f</m:t>
        </m:r>
        <m:r>
          <m:t>i</m:t>
        </m:r>
        <m:r>
          <m:t>l</m:t>
        </m:r>
        <m:r>
          <m:t>t</m:t>
        </m:r>
        <m:r>
          <m:t>e</m:t>
        </m:r>
        <m:r>
          <m:t>r</m:t>
        </m:r>
      </m:oMath>
      <w:r>
        <w:t xml:space="preserve">. See e.g., OpenCV Q&amp;A. https://answers.opencv.org/question/222322/how-to-choose-sigmakernel-size-when-downsampling-image/</w:t>
      </w:r>
    </w:p>
    <w:bookmarkEnd w:id="25"/>
    <w:bookmarkStart w:id="26" w:name="稀疏观测重建技术"/>
    <w:p>
      <w:pPr>
        <w:pStyle w:val="3"/>
      </w:pPr>
      <w:r>
        <w:t xml:space="preserve">2.2 稀疏观测重建技术</w:t>
      </w:r>
    </w:p>
    <w:p>
      <w:pPr>
        <w:numPr>
          <w:ilvl w:val="0"/>
          <w:numId w:val="1006"/>
        </w:numPr>
        <w:pStyle w:val="Compact"/>
      </w:pPr>
      <w:r>
        <w:t xml:space="preserve">压缩感知、深度学习、时空建模方法</w:t>
      </w:r>
    </w:p>
    <w:p>
      <w:pPr>
        <w:pStyle w:val="11"/>
      </w:pPr>
      <w:r>
        <w:t xml:space="preserve">方法比较要点：</w:t>
      </w:r>
      <w:r>
        <w:t xml:space="preserve"> </w:t>
      </w:r>
      <w:r>
        <w:t xml:space="preserve">- PINN 强化物理约束，适于数据匮乏但在高维与复杂边界时训练困难（收敛与优化挑战；Raissi et al., 2019）。</w:t>
      </w:r>
      <w:r>
        <w:t xml:space="preserve"> </w:t>
      </w:r>
      <w:r>
        <w:t xml:space="preserve">- FNO 通过谱域核高效学习解算算子，适合参数化 PDE 的快速外推，但对网格与边界条件的外部分布敏感（Li et al., 2021）。</w:t>
      </w:r>
      <w:r>
        <w:t xml:space="preserve"> </w:t>
      </w:r>
      <w:r>
        <w:t xml:space="preserve">- DeepONet 基于算子近似理论，分支/主干结构学习函数到函数的映射，具备强表达力但训练稳定性与数据设计重要（Lu et al., 2021）。</w:t>
      </w:r>
      <w:r>
        <w:t xml:space="preserve"> </w:t>
      </w:r>
      <w:r>
        <w:t xml:space="preserve">- PDEBench 提供多类 PDE、充足规模与公平对比基准，便于统一评测与复现实验（Takamoto et al., 2022）。</w:t>
      </w:r>
    </w:p>
    <w:bookmarkEnd w:id="26"/>
    <w:bookmarkStart w:id="27" w:name="时空耦合建模"/>
    <w:p>
      <w:pPr>
        <w:pStyle w:val="3"/>
      </w:pPr>
      <w:r>
        <w:t xml:space="preserve">2.3 时空耦合建模</w:t>
      </w:r>
    </w:p>
    <w:p>
      <w:pPr>
        <w:numPr>
          <w:ilvl w:val="0"/>
          <w:numId w:val="1007"/>
        </w:numPr>
        <w:pStyle w:val="Compact"/>
      </w:pPr>
      <w:r>
        <w:t xml:space="preserve">统一表示、动态系统、尺度机制</w:t>
      </w:r>
    </w:p>
    <w:p>
      <w:pPr>
        <w:pStyle w:val="11"/>
      </w:pPr>
      <w:r>
        <w:t xml:space="preserve">观点异同与矛盾：</w:t>
      </w:r>
      <w:r>
        <w:t xml:space="preserve"> </w:t>
      </w:r>
      <w:r>
        <w:t xml:space="preserve">- PINN 与算子学习（FNO/DeepONet）在物理约束显式程度与数据需求上存在差异：前者以残差损失显式嵌入 PDE；后者以数据驱动的算子近似为主。</w:t>
      </w:r>
      <w:r>
        <w:t xml:space="preserve"> </w:t>
      </w:r>
      <w:r>
        <w:t xml:space="preserve">- 在稀疏观测场景，显式一致性（观测算子 H 与训练 DC 复用）常被忽视，导致域外性能与可复现性差；我们的规划将其作为核心约束。</w:t>
      </w:r>
    </w:p>
    <w:bookmarkEnd w:id="27"/>
    <w:bookmarkStart w:id="28" w:name="现有方法的不足"/>
    <w:p>
      <w:pPr>
        <w:pStyle w:val="3"/>
      </w:pPr>
      <w:r>
        <w:t xml:space="preserve">2.4 现有方法的不足</w:t>
      </w:r>
    </w:p>
    <w:p>
      <w:pPr>
        <w:numPr>
          <w:ilvl w:val="0"/>
          <w:numId w:val="1008"/>
        </w:numPr>
        <w:pStyle w:val="Compact"/>
      </w:pPr>
      <w:r>
        <w:t xml:space="preserve">观测一致性缺失、耦合不足、可解释性差</w:t>
      </w:r>
    </w:p>
    <w:p>
      <w:pPr>
        <w:pStyle w:val="11"/>
      </w:pPr>
      <w:r>
        <w:t xml:space="preserve">我们的见解：</w:t>
      </w:r>
      <w:r>
        <w:t xml:space="preserve"> </w:t>
      </w:r>
      <w:r>
        <w:t xml:space="preserve">- 建议以统一的观测口径（GaussianBlur + INTER_AREA / Crop 对齐策略）定义 H，并在训练端复用同一 DC，实现“口径一致性→统计可比性→复现可靠性”。</w:t>
      </w:r>
      <w:r>
        <w:t xml:space="preserve"> </w:t>
      </w:r>
      <w:r>
        <w:t xml:space="preserve">- 采用统一指标集与资源成本报告（见第6章），并以 ≥3 种子显著性检验约束结论稳健性。</w:t>
      </w:r>
    </w:p>
    <w:bookmarkEnd w:id="28"/>
    <w:bookmarkEnd w:id="29"/>
    <w:bookmarkStart w:id="44" w:name="第3章-方法论"/>
    <w:p>
      <w:pPr>
        <w:pStyle w:val="2"/>
      </w:pPr>
      <w:r>
        <w:t xml:space="preserve">第3章 方法论</w:t>
      </w:r>
    </w:p>
    <w:bookmarkStart w:id="32" w:name="问题定义"/>
    <w:p>
      <w:pPr>
        <w:pStyle w:val="3"/>
      </w:pPr>
      <w:r>
        <w:t xml:space="preserve">3.1 问题定义</w:t>
      </w:r>
    </w:p>
    <w:p>
      <w:pPr>
        <w:numPr>
          <w:ilvl w:val="0"/>
          <w:numId w:val="1009"/>
        </w:numPr>
        <w:pStyle w:val="Compact"/>
      </w:pPr>
      <w:r>
        <w:t xml:space="preserve">数学建模（变量、域、边界）与优化目标、约束条件</w:t>
      </w:r>
    </w:p>
    <w:bookmarkStart w:id="30" w:name="数学形式化"/>
    <w:p>
      <w:pPr>
        <w:pStyle w:val="4"/>
      </w:pPr>
      <w:r>
        <w:t xml:space="preserve">数学形式化</w:t>
      </w:r>
    </w:p>
    <w:p>
      <w:pPr>
        <w:numPr>
          <w:ilvl w:val="0"/>
          <w:numId w:val="1010"/>
        </w:numPr>
        <w:pStyle w:val="Compact"/>
      </w:pPr>
      <w:r>
        <w:t xml:space="preserve">定义时空域：</w:t>
      </w:r>
      <m:oMath>
        <m:r>
          <m:t>Ω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。目标是从稀疏观测恢复场函数 u(t,</w:t>
      </w:r>
      <w:r>
        <w:t xml:space="preserve">)$$。</w:t>
      </w:r>
    </w:p>
    <w:p>
      <w:pPr>
        <w:numPr>
          <w:ilvl w:val="0"/>
          <w:numId w:val="1010"/>
        </w:numPr>
        <w:pStyle w:val="Compact"/>
      </w:pPr>
      <w:r>
        <w:t xml:space="preserve">PDE 约束：存在算子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与参数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，满足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;</m:t>
              </m:r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r>
            <m:t>Ω</m:t>
          </m:r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numPr>
          <w:ilvl w:val="0"/>
          <w:numId w:val="1000"/>
        </w:numPr>
        <w:pStyle w:val="Compact"/>
      </w:pPr>
      <w:r>
        <w:t xml:space="preserve">并满足初始/边界条件</w:t>
      </w:r>
      <w:r>
        <w:t xml:space="preserve"> </w:t>
      </w:r>
      <m:oMath>
        <m:r>
          <m:rPr>
            <m:sty m:val="p"/>
            <m:scr m:val="script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观测模型：给定观测算子</w:t>
      </w:r>
      <w:r>
        <w:t xml:space="preserve"> </w:t>
      </w:r>
      <m:oMath>
        <m:r>
          <m:t>H</m:t>
        </m:r>
      </m:oMath>
      <w:r>
        <w:t xml:space="preserve">，对空间超分辨任务（SR）与裁剪任务（Crop）：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SR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Crop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为高斯核（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），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下采样因子</w:t>
      </w:r>
      <w:r>
        <w:t xml:space="preserve"> </w:t>
      </w:r>
      <m:oMath>
        <m:r>
          <m:t>s</m:t>
        </m:r>
      </m:oMath>
      <w:r>
        <w:t xml:space="preserve">，</w:t>
      </w:r>
      <m:oMath>
        <m:sSub>
          <m:e>
            <m:r>
              <m:t>C</m:t>
            </m:r>
          </m:e>
          <m:sub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 </w:t>
      </w:r>
      <w:r>
        <w:t xml:space="preserve">为中心对齐裁剪算子，</w:t>
      </w:r>
      <m:oMath>
        <m:r>
          <m:t>n</m:t>
        </m:r>
      </m:oMath>
      <w:r>
        <w:t xml:space="preserve"> </w:t>
      </w:r>
      <w:r>
        <w:t xml:space="preserve">为噪声。</w:t>
      </w:r>
    </w:p>
    <w:bookmarkEnd w:id="30"/>
    <w:bookmarkStart w:id="31" w:name="优化目标统一损失"/>
    <w:p>
      <w:pPr>
        <w:pStyle w:val="4"/>
      </w:pPr>
      <w:r>
        <w:t xml:space="preserve">优化目标（统一损失）</w:t>
      </w:r>
    </w:p>
    <w:p>
      <w:pPr>
        <w:pStyle w:val="Formula"/>
      </w:pPr>
      <w:r>
        <w:t xml:space="preserve">令模型预测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 </w:t>
      </w:r>
      <w:r>
        <w:t xml:space="preserve">在 z-score 域；反归一化到原值域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σ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μ</m:t>
        </m:r>
      </m:oMath>
      <w:r>
        <w:t xml:space="preserve">。损失由三部分组成：</w:t>
      </w:r>
      <w:r>
        <w:t xml:space="preserve"> </w:t>
      </w:r>
      <w:r>
        <w:t xml:space="preserve">- 重建损失：$ L_{</w:t>
      </w:r>
      <w:r>
        <w:t xml:space="preserve">} = |</w:t>
      </w:r>
      <w:r>
        <w:t xml:space="preserve"> </w:t>
      </w:r>
      <w:r>
        <w:t xml:space="preserve">- u|</w:t>
      </w:r>
      <w:r>
        <w:rPr>
          <w:iCs/>
          <w:i/>
        </w:rPr>
        <w:t xml:space="preserve">2^2 $</w:t>
      </w:r>
      <w:r>
        <w:rPr>
          <w:iCs/>
          <w:i/>
        </w:rPr>
        <w:t xml:space="preserve"> </w:t>
      </w:r>
      <w:r>
        <w:rPr>
          <w:iCs/>
          <w:i/>
        </w:rPr>
        <w:t xml:space="preserve">- 频谱低频损失（仅</w:t>
      </w:r>
      <w:r>
        <w:rPr>
          <w:iCs/>
          <w:i/>
        </w:rPr>
        <w:t xml:space="preserve"> </w:t>
      </w:r>
      <m:oMath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≤</m:t>
        </m:r>
        <m:r>
          <m:t>16</m:t>
        </m:r>
      </m:oMath>
      <w:r>
        <w:rPr>
          <w:iCs/>
          <w:i/>
        </w:rPr>
        <w:t xml:space="preserve">）：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spec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  <m:r>
                <m:rPr>
                  <m:nor/>
                  <m:sty m:val="p"/>
                </m:rPr>
                <m:t>D</m:t>
              </m:r>
            </m:sub>
          </m:sSub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</m:d>
            </m:e>
            <m:sub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2</m:t>
              </m:r>
              <m:r>
                <m:rPr>
                  <m:nor/>
                  <m:sty m:val="p"/>
                </m:rPr>
                <m:t>D</m:t>
              </m:r>
            </m:sub>
          </m:sSub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e>
            <m:sub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- 一致性损失（原值域）：$ L</w:t>
      </w:r>
      <w:r>
        <w:t xml:space="preserve">{</w:t>
      </w:r>
      <w:r>
        <w:t xml:space="preserve">} = | H(</w:t>
      </w:r>
      <w:r>
        <w:t xml:space="preserve">) - y |</w:t>
      </w:r>
      <w:r>
        <w:rPr>
          <w:iCs/>
          <w:i/>
        </w:rPr>
        <w:t xml:space="preserve">2^2 $</w:t>
      </w:r>
      <w:r>
        <w:rPr>
          <w:iCs/>
          <w:i/>
        </w:rPr>
        <w:t xml:space="preserve"> </w:t>
      </w:r>
      <w:r>
        <w:rPr>
          <w:iCs/>
          <w:i/>
        </w:rPr>
        <w:t xml:space="preserve">总损失：$ L = L</w:t>
      </w:r>
      <w:r>
        <w:t xml:space="preserve">{</w:t>
      </w:r>
      <w:r>
        <w:t xml:space="preserve">} +</w:t>
      </w:r>
      <w:r>
        <w:t xml:space="preserve"> </w:t>
      </w:r>
      <w:r>
        <w:rPr>
          <w:iCs/>
          <w:i/>
        </w:rPr>
        <w:t xml:space="preserve">s L</w:t>
      </w:r>
      <w:r>
        <w:t xml:space="preserve">{</w:t>
      </w:r>
      <w:r>
        <w:t xml:space="preserve">} +</w:t>
      </w:r>
      <w:r>
        <w:t xml:space="preserve"> </w:t>
      </w:r>
      <w:r>
        <w:rPr>
          <w:iCs/>
          <w:i/>
        </w:rPr>
        <w:t xml:space="preserve">{dc} L</w:t>
      </w:r>
      <w:r>
        <w:t xml:space="preserve">{</w:t>
      </w:r>
      <w:r>
        <w:t xml:space="preserve">} $（默认权重 1.0/0.5/1.0）。</w:t>
      </w:r>
    </w:p>
    <w:bookmarkEnd w:id="31"/>
    <w:bookmarkEnd w:id="32"/>
    <w:bookmarkStart w:id="34" w:name="观测算子设计"/>
    <w:p>
      <w:pPr>
        <w:pStyle w:val="3"/>
      </w:pPr>
      <w:r>
        <w:t xml:space="preserve">3.2 观测算子设计</w:t>
      </w:r>
    </w:p>
    <w:p>
      <w:pPr>
        <w:numPr>
          <w:ilvl w:val="0"/>
          <w:numId w:val="1011"/>
        </w:numPr>
        <w:pStyle w:val="Compact"/>
      </w:pPr>
      <w:r>
        <w:t xml:space="preserve">稀疏观测建模与退化算子构造</w:t>
      </w:r>
    </w:p>
    <w:p>
      <w:pPr>
        <w:numPr>
          <w:ilvl w:val="0"/>
          <w:numId w:val="1011"/>
        </w:numPr>
        <w:pStyle w:val="Compact"/>
      </w:pPr>
      <w:r>
        <w:t xml:space="preserve">明确核/σ/插值/对齐/边界；与训练 DC 完全复用</w:t>
      </w:r>
    </w:p>
    <w:bookmarkStart w:id="33" w:name="观测口径"/>
    <w:p>
      <w:pPr>
        <w:pStyle w:val="4"/>
      </w:pPr>
      <w:r>
        <w:t xml:space="preserve">观测口径</w:t>
      </w:r>
    </w:p>
    <w:p>
      <w:pPr>
        <w:numPr>
          <w:ilvl w:val="0"/>
          <w:numId w:val="1012"/>
        </w:numPr>
        <w:pStyle w:val="Compact"/>
      </w:pPr>
      <w:r>
        <w:t xml:space="preserve">SR：</w:t>
      </w:r>
      <w:r>
        <w:rPr>
          <w:rStyle w:val="VerbatimChar"/>
        </w:rPr>
        <w:t xml:space="preserve">GaussianBlur$σ,k=5$+INTER_AREA downsample×s</w:t>
      </w:r>
      <w:r>
        <w:t xml:space="preserve">，遵循抗混叠原则；</w:t>
      </w:r>
      <m:oMath>
        <m:r>
          <m:t>σ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的关系按Nyquist近似与经验规则设定。</w:t>
      </w:r>
    </w:p>
    <w:p>
      <w:pPr>
        <w:numPr>
          <w:ilvl w:val="0"/>
          <w:numId w:val="1012"/>
        </w:numPr>
        <w:pStyle w:val="Compact"/>
      </w:pPr>
      <w:r>
        <w:t xml:space="preserve">Crop：窗口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与中心对齐且为 patch_size 的倍数；边界策略明示（mirror/zero/wrap）。</w:t>
      </w:r>
    </w:p>
    <w:p>
      <w:pPr>
        <w:numPr>
          <w:ilvl w:val="0"/>
          <w:numId w:val="1012"/>
        </w:numPr>
        <w:pStyle w:val="Compact"/>
      </w:pPr>
      <w:r>
        <w:t xml:space="preserve">训练时 DC 与数据观测 H 完全复用同一实现与配置，确保口径一致性与统计可比性。</w:t>
      </w:r>
    </w:p>
    <w:bookmarkEnd w:id="33"/>
    <w:bookmarkEnd w:id="34"/>
    <w:bookmarkStart w:id="36" w:name="时空耦合架构"/>
    <w:p>
      <w:pPr>
        <w:pStyle w:val="3"/>
      </w:pPr>
      <w:r>
        <w:t xml:space="preserve">3.3 时空耦合架构</w:t>
      </w:r>
    </w:p>
    <w:p>
      <w:pPr>
        <w:numPr>
          <w:ilvl w:val="0"/>
          <w:numId w:val="1013"/>
        </w:numPr>
        <w:pStyle w:val="Compact"/>
      </w:pPr>
      <w:r>
        <w:t xml:space="preserve">网络结构与特征提取、信息融合策略</w:t>
      </w:r>
    </w:p>
    <w:p>
      <w:pPr>
        <w:numPr>
          <w:ilvl w:val="0"/>
          <w:numId w:val="1013"/>
        </w:numPr>
        <w:pStyle w:val="Compact"/>
      </w:pPr>
      <w:r>
        <w:t xml:space="preserve">统一接口：</w:t>
      </w:r>
      <w:r>
        <w:rPr>
          <w:rStyle w:val="VerbatimChar"/>
        </w:rPr>
        <w:t xml:space="preserve">forward$x[B,C_in,H,W]$→y[B,C_out,H,W]</w:t>
      </w:r>
      <w:r>
        <w:t xml:space="preserve">；输入包含</w:t>
      </w:r>
      <w:r>
        <w:t xml:space="preserve"> </w:t>
      </w:r>
      <w:r>
        <w:rPr>
          <w:rStyle w:val="VerbatimChar"/>
        </w:rPr>
        <w:t xml:space="preserve">[baseline, coords, mask, $fourier_pe?$]</w:t>
      </w:r>
    </w:p>
    <w:bookmarkStart w:id="35" w:name="编码与解码"/>
    <w:p>
      <w:pPr>
        <w:pStyle w:val="4"/>
      </w:pPr>
      <w:r>
        <w:t xml:space="preserve">编码与解码</w:t>
      </w:r>
    </w:p>
    <w:p>
      <w:pPr>
        <w:numPr>
          <w:ilvl w:val="0"/>
          <w:numId w:val="1014"/>
        </w:numPr>
        <w:pStyle w:val="Compact"/>
      </w:pPr>
      <w:r>
        <w:t xml:space="preserve">编码：多尺度卷积/注意力/频域块提取空间特征；时间维以时序模块或显式坐标编码融合。</w:t>
      </w:r>
    </w:p>
    <w:p>
      <w:pPr>
        <w:numPr>
          <w:ilvl w:val="0"/>
          <w:numId w:val="1014"/>
        </w:numPr>
        <w:pStyle w:val="Compact"/>
      </w:pPr>
      <w:r>
        <w:t xml:space="preserve">解码：优先“双线性 + 3×3”减少棋盘格；输出在 z-score 域。</w:t>
      </w:r>
    </w:p>
    <w:p>
      <w:pPr>
        <w:numPr>
          <w:ilvl w:val="0"/>
          <w:numId w:val="1014"/>
        </w:numPr>
        <w:pStyle w:val="Compact"/>
      </w:pPr>
      <w:r>
        <w:t xml:space="preserve">可选：FNO/DeepONet 算子层用于全局泛化；PINN 残差项用于显式条件化物理约束。</w:t>
      </w:r>
    </w:p>
    <w:bookmarkEnd w:id="35"/>
    <w:bookmarkEnd w:id="36"/>
    <w:bookmarkStart w:id="38" w:name="损失函数设计"/>
    <w:p>
      <w:pPr>
        <w:pStyle w:val="3"/>
      </w:pPr>
      <w:r>
        <w:t xml:space="preserve">3.4 损失函数设计</w:t>
      </w:r>
    </w:p>
    <w:p>
      <w:pPr>
        <w:numPr>
          <w:ilvl w:val="0"/>
          <w:numId w:val="1015"/>
        </w:numPr>
        <w:pStyle w:val="Compact"/>
      </w:pPr>
      <w:r>
        <w:t xml:space="preserve">重建损失 + 频谱损失 + 一致性损失（默认权重 1.0/0.5/1.0）</w:t>
      </w:r>
    </w:p>
    <w:p>
      <w:pPr>
        <w:numPr>
          <w:ilvl w:val="0"/>
          <w:numId w:val="1015"/>
        </w:numPr>
        <w:pStyle w:val="Compact"/>
      </w:pPr>
      <w:r>
        <w:t xml:space="preserve">频域仅低频模（kx=ky=16）；DC 与频域损失在原值域计算</w:t>
      </w:r>
    </w:p>
    <w:bookmarkStart w:id="37" w:name="训练确定性与复现"/>
    <w:p>
      <w:pPr>
        <w:pStyle w:val="4"/>
      </w:pPr>
      <w:r>
        <w:t xml:space="preserve">训练确定性与复现</w:t>
      </w:r>
    </w:p>
    <w:p>
      <w:pPr>
        <w:numPr>
          <w:ilvl w:val="0"/>
          <w:numId w:val="1016"/>
        </w:numPr>
        <w:pStyle w:val="Compact"/>
      </w:pPr>
      <w:r>
        <w:t xml:space="preserve">统一随机种子与精度策略；同一 YAML+种子验证指标方差 ≤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训练开始写入配置快照</w:t>
      </w:r>
      <w:r>
        <w:t xml:space="preserve"> </w:t>
      </w:r>
      <w:r>
        <w:rPr>
          <w:rStyle w:val="VerbatimChar"/>
        </w:rPr>
        <w:t xml:space="preserve">runs/&lt;exp&gt;/config_merged.yaml</w:t>
      </w:r>
      <w:r>
        <w:t xml:space="preserve"> </w:t>
      </w:r>
      <w:r>
        <w:t xml:space="preserve">与环境指纹</w:t>
      </w:r>
      <w:r>
        <w:t xml:space="preserve"> </w:t>
      </w:r>
      <w:r>
        <w:rPr>
          <w:rStyle w:val="VerbatimChar"/>
        </w:rPr>
        <w:t xml:space="preserve">runs/&lt;exp&gt;/env_fingerprint.json</w:t>
      </w:r>
      <w:r>
        <w:t xml:space="preserve">。</w:t>
      </w:r>
    </w:p>
    <w:bookmarkEnd w:id="37"/>
    <w:bookmarkEnd w:id="38"/>
    <w:bookmarkStart w:id="39" w:name="变量与符号说明表"/>
    <w:p>
      <w:pPr>
        <w:pStyle w:val="3"/>
      </w:pPr>
      <w:r>
        <w:t xml:space="preserve">3.5 变量与符号说明表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空间域与时间跨度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真值、z-score 预测、原值域预测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逐通道均值与标准差（z-score）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PDE 算子与参数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观测算子与训练退化一致性算子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高斯核与</w:t>
            </w:r>
            <w:r>
              <w:t xml:space="preserve"> </w:t>
            </w:r>
            <w:r>
              <w:rPr>
                <w:rStyle w:val="VerbatimChar"/>
              </w:rPr>
              <w:t xml:space="preserve">INTER_AREA</w:t>
            </w:r>
            <w:r>
              <w:t xml:space="preserve"> </w:t>
            </w:r>
            <w:r>
              <w:t xml:space="preserve">下采样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居中对齐裁剪算子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频谱/一致性损失权重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低频索引集合（</w:t>
            </w:r>
            <m:oMath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16</m:t>
              </m:r>
            </m:oMath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Rel-L2, MAE, PSNR, SSIM, fRMSE-low/mid/high, bRMSE, cRMSE, ||H(ŷ)−y||</w:t>
            </w:r>
          </w:p>
        </w:tc>
      </w:tr>
    </w:tbl>
    <w:bookmarkEnd w:id="39"/>
    <w:bookmarkStart w:id="41" w:name="研究设计与实验流程"/>
    <w:p>
      <w:pPr>
        <w:pStyle w:val="3"/>
      </w:pPr>
      <w:r>
        <w:t xml:space="preserve">3.6 研究设计与实验流程</w:t>
      </w:r>
    </w:p>
    <w:p>
      <w:pPr>
        <w:numPr>
          <w:ilvl w:val="0"/>
          <w:numId w:val="1017"/>
        </w:numPr>
        <w:pStyle w:val="Compact"/>
      </w:pPr>
      <w:r>
        <w:t xml:space="preserve">数据与切分：采用 PDEBench（NeurIPS 2022）；固定</w:t>
      </w:r>
      <w:r>
        <w:t xml:space="preserve"> </w:t>
      </w:r>
      <w:r>
        <w:rPr>
          <w:rStyle w:val="VerbatimChar"/>
        </w:rPr>
        <w:t xml:space="preserve">splits/{train,val,test}.txt</w:t>
      </w:r>
      <w:r>
        <w:t xml:space="preserve">；逐通道 z-score 标准化并产出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t xml:space="preserve">观测生成：由单一入口实现的</w:t>
      </w:r>
      <w:r>
        <w:t xml:space="preserve"> </w:t>
      </w:r>
      <m:oMath>
        <m:r>
          <m:t>H</m:t>
        </m:r>
      </m:oMath>
      <w:r>
        <w:t xml:space="preserve">；训练</w:t>
      </w:r>
      <w:r>
        <w:t xml:space="preserve"> </w:t>
      </w:r>
      <m:oMath>
        <m:r>
          <m:rPr>
            <m:nor/>
            <m:sty m:val="p"/>
          </m:rPr>
          <m:t>DC</m:t>
        </m:r>
      </m:oMath>
      <w:r>
        <w:t xml:space="preserve"> </w:t>
      </w:r>
      <w:r>
        <w:t xml:space="preserve">复用同一实例；通过</w:t>
      </w:r>
      <w:r>
        <w:t xml:space="preserve"> </w:t>
      </w:r>
      <w:r>
        <w:rPr>
          <w:rStyle w:val="VerbatimChar"/>
        </w:rPr>
        <w:t xml:space="preserve">tools/check_dc_equivalence.py</w:t>
      </w:r>
      <w:r>
        <w:t xml:space="preserve"> </w:t>
      </w:r>
      <w:r>
        <w:t xml:space="preserve">抽样≥100 验证</w:t>
      </w:r>
      <w:r>
        <w:t xml:space="preserve"> </w:t>
      </w:r>
      <m:oMath>
        <m:r>
          <m:rPr>
            <m:nor/>
            <m:sty m:val="p"/>
          </m:rPr>
          <m:t>MSE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t xml:space="preserve">训练策略：AdamW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1</m:t>
        </m:r>
        <m:r>
          <m:t>e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w</m:t>
        </m:r>
        <m:r>
          <m:t>d</m:t>
        </m:r>
        <m:r>
          <m:rPr>
            <m:sty m:val="p"/>
          </m:rPr>
          <m:t>=</m:t>
        </m:r>
        <m:r>
          <m:t>1</m:t>
        </m:r>
        <m:r>
          <m:t>e</m:t>
        </m:r>
        <m:r>
          <m:rPr>
            <m:sty m:val="p"/>
          </m:rPr>
          <m:t>−</m:t>
        </m:r>
        <m:r>
          <m:t>4</m:t>
        </m:r>
      </m:oMath>
      <w:r>
        <w:t xml:space="preserve">、Cosine+1k warmup、AMP、梯度裁剪 1.0；SR 课程：×2→×4；Crop 课程：窗 40%→20%。</w:t>
      </w:r>
    </w:p>
    <w:p>
      <w:pPr>
        <w:numPr>
          <w:ilvl w:val="0"/>
          <w:numId w:val="1017"/>
        </w:numPr>
        <w:pStyle w:val="Compact"/>
      </w:pPr>
      <w:r>
        <w:t xml:space="preserve">评测统计：≥3 种子报告</w:t>
      </w:r>
      <w:r>
        <w:t xml:space="preserve"> </w:t>
      </w:r>
      <w:r>
        <w:rPr>
          <w:rStyle w:val="VerbatimChar"/>
        </w:rPr>
        <w:t xml:space="preserve">均值±标准差</w:t>
      </w:r>
      <w:r>
        <w:t xml:space="preserve">；对主基线进行 paired t-test（Rel-L2）与 Cohen’s d；资源成本四项记录。</w:t>
      </w:r>
    </w:p>
    <w:p>
      <w:pPr>
        <w:numPr>
          <w:ilvl w:val="0"/>
          <w:numId w:val="1017"/>
        </w:numPr>
        <w:pStyle w:val="Compact"/>
      </w:pPr>
      <w:r>
        <w:t xml:space="preserve">敏感性分析：</w:t>
      </w:r>
      <m:oMath>
        <m:r>
          <m:t>σ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</m:oMath>
      <w:r>
        <w:t xml:space="preserve">h_c,w_c$$ 与边界策略；低频阈值</w:t>
      </w:r>
      <w:r>
        <w:t xml:space="preserve"> </w:t>
      </w:r>
      <m:oMath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y</m:t>
            </m:r>
          </m:sub>
        </m:sSub>
      </m:oMath>
      <w:r>
        <w:t xml:space="preserve">；随机种子与网格分辨率；对口径不一致进行对比。</w:t>
      </w:r>
    </w:p>
    <w:p>
      <w:pPr>
        <w:numPr>
          <w:ilvl w:val="0"/>
          <w:numId w:val="1017"/>
        </w:numPr>
        <w:pStyle w:val="Compact"/>
      </w:pPr>
      <w:r>
        <w:t xml:space="preserve">可视化：GT/Pred/Err（统一色标）、功率谱（log）、边界带局部放大；失败案例分类与建议。</w:t>
      </w:r>
    </w:p>
    <w:bookmarkStart w:id="40" w:name="具体步骤"/>
    <w:p>
      <w:pPr>
        <w:pStyle w:val="4"/>
      </w:pPr>
      <w:r>
        <w:t xml:space="preserve">具体步骤</w:t>
      </w:r>
    </w:p>
    <w:p>
      <w:pPr>
        <w:numPr>
          <w:ilvl w:val="0"/>
          <w:numId w:val="1018"/>
        </w:numPr>
        <w:pStyle w:val="Compact"/>
      </w:pPr>
      <w:r>
        <w:t xml:space="preserve">步骤1 数据准备：下载并校验 PDEBench 与数据卡，生成</w:t>
      </w:r>
      <w:r>
        <w:t xml:space="preserve"> </w:t>
      </w:r>
      <w:r>
        <w:rPr>
          <w:rStyle w:val="VerbatimChar"/>
        </w:rPr>
        <w:t xml:space="preserve">splits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t xml:space="preserve">步骤2 配置观测：设定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参数（</w:t>
      </w:r>
      <m:oMath>
        <m:r>
          <m:t>σ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</m:oMath>
      <w:r>
        <w:t xml:space="preserve">h_c,w_c$$ 与边界策略），绑定到训练</w:t>
      </w:r>
      <w:r>
        <w:t xml:space="preserve"> </w:t>
      </w:r>
      <m:oMath>
        <m:r>
          <m:rPr>
            <m:nor/>
            <m:sty m:val="p"/>
          </m:rPr>
          <m:t>DC</m:t>
        </m:r>
      </m:oMath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t xml:space="preserve">步骤3 训练：固定 YAML 与种子，记录配置快照与环境指纹。</w:t>
      </w:r>
    </w:p>
    <w:p>
      <w:pPr>
        <w:numPr>
          <w:ilvl w:val="0"/>
          <w:numId w:val="1018"/>
        </w:numPr>
        <w:pStyle w:val="Compact"/>
      </w:pPr>
      <w:r>
        <w:t xml:space="preserve">步骤4 评测：统一指标与资源统计；生成</w:t>
      </w:r>
      <w:r>
        <w:t xml:space="preserve"> </w:t>
      </w:r>
      <w:r>
        <w:rPr>
          <w:rStyle w:val="VerbatimChar"/>
        </w:rPr>
        <w:t xml:space="preserve">paper_package/metrics/</w:t>
      </w:r>
      <w:r>
        <w:t xml:space="preserve"> </w:t>
      </w:r>
      <w:r>
        <w:t xml:space="preserve">与可视化图组。</w:t>
      </w:r>
    </w:p>
    <w:p>
      <w:pPr>
        <w:numPr>
          <w:ilvl w:val="0"/>
          <w:numId w:val="1018"/>
        </w:numPr>
        <w:pStyle w:val="Compact"/>
      </w:pPr>
      <w:r>
        <w:t xml:space="preserve">步骤5 显著性与敏感性：运行统计脚本与参数扫描，形成报告。</w:t>
      </w:r>
    </w:p>
    <w:bookmarkEnd w:id="40"/>
    <w:bookmarkEnd w:id="41"/>
    <w:bookmarkStart w:id="42" w:name="假设与检验"/>
    <w:p>
      <w:pPr>
        <w:pStyle w:val="3"/>
      </w:pPr>
      <w:r>
        <w:t xml:space="preserve">3.7 假设与检验</w:t>
      </w:r>
    </w:p>
    <w:p>
      <w:pPr>
        <w:numPr>
          <w:ilvl w:val="0"/>
          <w:numId w:val="1019"/>
        </w:numPr>
        <w:pStyle w:val="Compact"/>
      </w:pPr>
      <w:r>
        <w:t xml:space="preserve">H1：复用一致的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nor/>
            <m:sty m:val="p"/>
          </m:rPr>
          <m:t>DC</m:t>
        </m:r>
      </m:oMath>
      <w:r>
        <w:t xml:space="preserve"> </w:t>
      </w:r>
      <w:r>
        <w:t xml:space="preserve">能显著提升域外泛化与复现稳定性（Rel-L2 显著下降）。</w:t>
      </w:r>
    </w:p>
    <w:p>
      <w:pPr>
        <w:numPr>
          <w:ilvl w:val="0"/>
          <w:numId w:val="1019"/>
        </w:numPr>
        <w:pStyle w:val="Compact"/>
      </w:pPr>
      <w:r>
        <w:t xml:space="preserve">H2：低频谱一致性损失可降低大尺度误差并改善</w:t>
      </w:r>
      <w:r>
        <w:t xml:space="preserve"> </w:t>
      </w:r>
      <w:r>
        <w:rPr>
          <w:rStyle w:val="VerbatimChar"/>
        </w:rPr>
        <w:t xml:space="preserve">||H(ŷ)−y||</w:t>
      </w:r>
      <w:r>
        <w:t xml:space="preserve"> </w:t>
      </w:r>
      <w:r>
        <w:t xml:space="preserve">同步下降。</w:t>
      </w:r>
    </w:p>
    <w:p>
      <w:pPr>
        <w:numPr>
          <w:ilvl w:val="0"/>
          <w:numId w:val="1019"/>
        </w:numPr>
        <w:pStyle w:val="Compact"/>
      </w:pPr>
      <w:r>
        <w:t xml:space="preserve">检验：paired t-test（Rel-L2）与 Cohen’s d；敏感性分析覆盖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</m:oMath>
      <w:r>
        <w:t xml:space="preserve">h_c,w_c</w:t>
      </w:r>
      <m:oMath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y</m:t>
            </m:r>
          </m:sub>
        </m:sSub>
      </m:oMath>
      <w:r>
        <w:t xml:space="preserve">。</w:t>
      </w:r>
    </w:p>
    <w:bookmarkEnd w:id="42"/>
    <w:bookmarkStart w:id="43" w:name="方法论引用apa"/>
    <w:p>
      <w:pPr>
        <w:pStyle w:val="3"/>
      </w:pPr>
      <w:r>
        <w:t xml:space="preserve">3.8 方法论引用（APA）</w:t>
      </w:r>
    </w:p>
    <w:p>
      <w:pPr>
        <w:numPr>
          <w:ilvl w:val="0"/>
          <w:numId w:val="1020"/>
        </w:numPr>
        <w:pStyle w:val="Compact"/>
      </w:pPr>
      <w:r>
        <w:t xml:space="preserve">Raissi, M., Perdikaris, P., &amp; Karniadakis, G. E. (2019). Journal of Computational Physics, 378, 686–707. https://doi.org/10.1016/j.jcp.2018.10.045</w:t>
      </w:r>
    </w:p>
    <w:p>
      <w:pPr>
        <w:numPr>
          <w:ilvl w:val="0"/>
          <w:numId w:val="1020"/>
        </w:numPr>
        <w:pStyle w:val="Compact"/>
      </w:pPr>
      <w:r>
        <w:t xml:space="preserve">Li, Z., Kovachki, N. B., Azizzadenesheli, K., Liu, B., Bhattacharya, K., Stuart, A., &amp; Anandkumar, A. (2021). ICLR 2021. https://openreview.net/forum?id=c8P9NQVtmnO</w:t>
      </w:r>
    </w:p>
    <w:p>
      <w:pPr>
        <w:numPr>
          <w:ilvl w:val="0"/>
          <w:numId w:val="1020"/>
        </w:numPr>
        <w:pStyle w:val="Compact"/>
      </w:pPr>
      <w:r>
        <w:t xml:space="preserve">Lu, L., Jin, P., Pang, G., Zhang, Z., &amp; Karniadakis, G. E. (2021). Nature Machine Intelligence, 3(3), 218–229. https://doi.org/10.1038/s42256-021-00302-5</w:t>
      </w:r>
    </w:p>
    <w:p>
      <w:pPr>
        <w:numPr>
          <w:ilvl w:val="0"/>
          <w:numId w:val="1020"/>
        </w:numPr>
        <w:pStyle w:val="Compact"/>
      </w:pPr>
      <w:r>
        <w:t xml:space="preserve">Wang, S., Yu, X., &amp; Perdikaris, P. (2022). Journal of Computational Physics, 449, 110768. https://doi.org/10.1016/j.jcp.2022.110768</w:t>
      </w:r>
    </w:p>
    <w:p>
      <w:pPr>
        <w:numPr>
          <w:ilvl w:val="0"/>
          <w:numId w:val="1020"/>
        </w:numPr>
        <w:pStyle w:val="Compact"/>
      </w:pPr>
      <w:r>
        <w:t xml:space="preserve">Takamoto, M., Praditia, T., Leiteritz, R., et al. (2022). NeurIPS Datasets and Benchmarks. https://arxiv.org/abs/2210.07182</w:t>
      </w:r>
    </w:p>
    <w:p>
      <w:pPr>
        <w:numPr>
          <w:ilvl w:val="0"/>
          <w:numId w:val="1020"/>
        </w:numPr>
        <w:pStyle w:val="Compact"/>
      </w:pPr>
      <w:r>
        <w:t xml:space="preserve">Bartolucci, F., de Bézenac, E., Raonić, B., Molinaro, R., Mishra, S., &amp; Alaifari, R. (2023). NeurIPS 2023. https://arxiv.org/abs/2305.19913</w:t>
      </w:r>
    </w:p>
    <w:p>
      <w:pPr>
        <w:numPr>
          <w:ilvl w:val="0"/>
          <w:numId w:val="1020"/>
        </w:numPr>
        <w:pStyle w:val="Compact"/>
      </w:pPr>
      <w:r>
        <w:t xml:space="preserve">Kovachki, N. B., Li, Z., Liu, B., Azizzadenesheli, K., Bhattacharya, K., Stuart, A. M., &amp; Anandkumar, A. (2023). Journal of Machine Learning Research, 24, 1–97. https://www.jmlr.org/papers/volume24/21-1524/21-1524.pdf</w:t>
      </w:r>
    </w:p>
    <w:p>
      <w:pPr>
        <w:numPr>
          <w:ilvl w:val="0"/>
          <w:numId w:val="1020"/>
        </w:numPr>
        <w:pStyle w:val="Compact"/>
      </w:pPr>
      <w:r>
        <w:t xml:space="preserve">Acta Numerica (2023). Numerical analysis of PINNs and related models. https://www.cambridge.org/…/numerical-analysis-of-physicsinformed-neural-networks-and-related-models-in-physicsinformed-machine-learning</w:t>
      </w:r>
    </w:p>
    <w:p>
      <w:pPr>
        <w:numPr>
          <w:ilvl w:val="0"/>
          <w:numId w:val="1020"/>
        </w:numPr>
        <w:pStyle w:val="Compact"/>
      </w:pPr>
      <w:r>
        <w:t xml:space="preserve">SIAM Journal on Scientific Computing (2024). Operator Learning Using Random Features. https://doi.org/10.1137/24M1648703</w:t>
      </w:r>
    </w:p>
    <w:p>
      <w:pPr>
        <w:numPr>
          <w:ilvl w:val="0"/>
          <w:numId w:val="1020"/>
        </w:numPr>
        <w:pStyle w:val="Compact"/>
      </w:pPr>
      <w:r>
        <w:t xml:space="preserve">Science Advances (2021). Physics-informed DeepONet. https://doi.org/10.1126/sciadv.abi8605</w:t>
      </w:r>
    </w:p>
    <w:p>
      <w:pPr>
        <w:numPr>
          <w:ilvl w:val="0"/>
          <w:numId w:val="1020"/>
        </w:numPr>
        <w:pStyle w:val="Compact"/>
      </w:pPr>
      <w:r>
        <w:t xml:space="preserve">CMAME (2022). PhyCRNet: Physics-informed convolutional-recurrent network. https://doi.org/10.1016/j.cma.2022.114399</w:t>
      </w:r>
    </w:p>
    <w:p>
      <w:pPr>
        <w:numPr>
          <w:ilvl w:val="0"/>
          <w:numId w:val="1020"/>
        </w:numPr>
        <w:pStyle w:val="Compact"/>
      </w:pPr>
      <w:r>
        <w:t xml:space="preserve">OpenCV Anti-aliasing Guidance. https://answers.opencv.org/question/222322/how-to-choose-sigmakernel-size-when-downsampling-image/</w:t>
      </w:r>
    </w:p>
    <w:bookmarkEnd w:id="43"/>
    <w:bookmarkEnd w:id="44"/>
    <w:bookmarkStart w:id="48" w:name="第4章-理论分析"/>
    <w:p>
      <w:pPr>
        <w:pStyle w:val="2"/>
      </w:pPr>
      <w:r>
        <w:t xml:space="preserve">第4章 理论分析</w:t>
      </w:r>
    </w:p>
    <w:bookmarkStart w:id="45" w:name="收敛性分析"/>
    <w:p>
      <w:pPr>
        <w:pStyle w:val="3"/>
      </w:pPr>
      <w:r>
        <w:t xml:space="preserve">4.1 收敛性分析</w:t>
      </w:r>
    </w:p>
    <w:p>
      <w:pPr>
        <w:numPr>
          <w:ilvl w:val="0"/>
          <w:numId w:val="1021"/>
        </w:numPr>
        <w:pStyle w:val="Compact"/>
      </w:pPr>
      <w:r>
        <w:t xml:space="preserve">算法收敛性、复杂度、稳定性</w:t>
      </w:r>
    </w:p>
    <w:bookmarkEnd w:id="45"/>
    <w:bookmarkStart w:id="46" w:name="泛化能力分析"/>
    <w:p>
      <w:pPr>
        <w:pStyle w:val="3"/>
      </w:pPr>
      <w:r>
        <w:t xml:space="preserve">4.2 泛化能力分析</w:t>
      </w:r>
    </w:p>
    <w:p>
      <w:pPr>
        <w:numPr>
          <w:ilvl w:val="0"/>
          <w:numId w:val="1022"/>
        </w:numPr>
        <w:pStyle w:val="Compact"/>
      </w:pPr>
      <w:r>
        <w:t xml:space="preserve">误差界与适用性、边界条件</w:t>
      </w:r>
    </w:p>
    <w:bookmarkEnd w:id="46"/>
    <w:bookmarkStart w:id="47" w:name="观测一致性理论"/>
    <w:p>
      <w:pPr>
        <w:pStyle w:val="3"/>
      </w:pPr>
      <w:r>
        <w:t xml:space="preserve">4.3 观测一致性理论</w:t>
      </w:r>
    </w:p>
    <w:p>
      <w:pPr>
        <w:numPr>
          <w:ilvl w:val="0"/>
          <w:numId w:val="1023"/>
        </w:numPr>
        <w:pStyle w:val="Compact"/>
      </w:pPr>
      <w:r>
        <w:t xml:space="preserve">一致性条件、误差界与重建保证</w:t>
      </w:r>
    </w:p>
    <w:bookmarkEnd w:id="47"/>
    <w:bookmarkEnd w:id="48"/>
    <w:bookmarkStart w:id="52" w:name="第5章-算法设计"/>
    <w:p>
      <w:pPr>
        <w:pStyle w:val="2"/>
      </w:pPr>
      <w:r>
        <w:t xml:space="preserve">第5章 算法设计</w:t>
      </w:r>
    </w:p>
    <w:bookmarkStart w:id="49" w:name="整体算法流程"/>
    <w:p>
      <w:pPr>
        <w:pStyle w:val="3"/>
      </w:pPr>
      <w:r>
        <w:t xml:space="preserve">5.1 整体算法流程</w:t>
      </w:r>
    </w:p>
    <w:p>
      <w:pPr>
        <w:numPr>
          <w:ilvl w:val="0"/>
          <w:numId w:val="1024"/>
        </w:numPr>
        <w:pStyle w:val="Compact"/>
      </w:pPr>
      <w:r>
        <w:t xml:space="preserve">训练与推理流程、优化策略（AdamW、Cosine+Warmup、AMP、梯度裁剪）</w:t>
      </w:r>
    </w:p>
    <w:bookmarkEnd w:id="49"/>
    <w:bookmarkStart w:id="50" w:name="关键组件实现"/>
    <w:p>
      <w:pPr>
        <w:pStyle w:val="3"/>
      </w:pPr>
      <w:r>
        <w:t xml:space="preserve">5.2 关键组件实现</w:t>
      </w:r>
    </w:p>
    <w:p>
      <w:pPr>
        <w:numPr>
          <w:ilvl w:val="0"/>
          <w:numId w:val="1025"/>
        </w:numPr>
        <w:pStyle w:val="Compact"/>
      </w:pPr>
      <w:r>
        <w:t xml:space="preserve">观测算子、网络细节、损失计算的实现要点</w:t>
      </w:r>
    </w:p>
    <w:bookmarkEnd w:id="50"/>
    <w:bookmarkStart w:id="51" w:name="超参数设置"/>
    <w:p>
      <w:pPr>
        <w:pStyle w:val="3"/>
      </w:pPr>
      <w:r>
        <w:t xml:space="preserve">5.3 超参数设置</w:t>
      </w:r>
    </w:p>
    <w:p>
      <w:pPr>
        <w:numPr>
          <w:ilvl w:val="0"/>
          <w:numId w:val="1026"/>
        </w:numPr>
        <w:pStyle w:val="Compact"/>
      </w:pPr>
      <w:r>
        <w:t xml:space="preserve">网络/训练/正则化参数；Hydra YAML 分层配置</w:t>
      </w:r>
    </w:p>
    <w:bookmarkEnd w:id="51"/>
    <w:bookmarkEnd w:id="52"/>
    <w:bookmarkStart w:id="57" w:name="第6章-实验结果与分析"/>
    <w:p>
      <w:pPr>
        <w:pStyle w:val="2"/>
      </w:pPr>
      <w:r>
        <w:t xml:space="preserve">第6章 实验结果与分析</w:t>
      </w:r>
    </w:p>
    <w:bookmarkStart w:id="53" w:name="实验设置"/>
    <w:p>
      <w:pPr>
        <w:pStyle w:val="3"/>
      </w:pPr>
      <w:r>
        <w:t xml:space="preserve">6.1 实验设置</w:t>
      </w:r>
    </w:p>
    <w:p>
      <w:pPr>
        <w:numPr>
          <w:ilvl w:val="0"/>
          <w:numId w:val="1027"/>
        </w:numPr>
        <w:pStyle w:val="Compact"/>
      </w:pPr>
      <w:r>
        <w:t xml:space="preserve">数据集介绍；固定切分</w:t>
      </w:r>
      <w:r>
        <w:t xml:space="preserve"> </w:t>
      </w:r>
      <w:r>
        <w:rPr>
          <w:rStyle w:val="VerbatimChar"/>
        </w:rPr>
        <w:t xml:space="preserve">splits/{train,val,test}.txt</w:t>
      </w:r>
    </w:p>
    <w:p>
      <w:pPr>
        <w:numPr>
          <w:ilvl w:val="0"/>
          <w:numId w:val="1027"/>
        </w:numPr>
        <w:pStyle w:val="Compact"/>
      </w:pPr>
      <w:r>
        <w:t xml:space="preserve">标准化：逐通道 z-score，产出并引用</w:t>
      </w:r>
      <w:r>
        <w:t xml:space="preserve"> </w:t>
      </w:r>
      <w:r>
        <w:rPr>
          <w:rStyle w:val="VerbatimChar"/>
        </w:rPr>
        <w:t xml:space="preserve">norm_stat.npz</w:t>
      </w:r>
    </w:p>
    <w:p>
      <w:pPr>
        <w:numPr>
          <w:ilvl w:val="0"/>
          <w:numId w:val="1027"/>
        </w:numPr>
        <w:pStyle w:val="Compact"/>
      </w:pPr>
      <w:r>
        <w:t xml:space="preserve">观测生成：与训练 DC 完全一致的观测算子 H（核/σ/插值/对齐/边界）</w:t>
      </w:r>
    </w:p>
    <w:p>
      <w:pPr>
        <w:numPr>
          <w:ilvl w:val="0"/>
          <w:numId w:val="1027"/>
        </w:numPr>
        <w:pStyle w:val="Compact"/>
      </w:pPr>
      <w:r>
        <w:t xml:space="preserve">确定性：统一随机种子与精度策略，方差 ≤ 1e-4</w:t>
      </w:r>
    </w:p>
    <w:p>
      <w:pPr>
        <w:numPr>
          <w:ilvl w:val="0"/>
          <w:numId w:val="1027"/>
        </w:numPr>
        <w:pStyle w:val="Compact"/>
      </w:pPr>
      <w:r>
        <w:t xml:space="preserve">配置快照：</w:t>
      </w:r>
      <w:r>
        <w:rPr>
          <w:rStyle w:val="VerbatimChar"/>
        </w:rPr>
        <w:t xml:space="preserve">runs/&lt;exp&gt;/config_merged.yaml</w:t>
      </w:r>
      <w:r>
        <w:t xml:space="preserve">；环境指纹：</w:t>
      </w:r>
      <w:r>
        <w:rPr>
          <w:rStyle w:val="VerbatimChar"/>
        </w:rPr>
        <w:t xml:space="preserve">runs/&lt;exp&gt;/env_fingerprint.json</w:t>
      </w:r>
    </w:p>
    <w:bookmarkEnd w:id="53"/>
    <w:bookmarkStart w:id="54" w:name="主实验结果"/>
    <w:p>
      <w:pPr>
        <w:pStyle w:val="3"/>
      </w:pPr>
      <w:r>
        <w:t xml:space="preserve">6.2 主实验结果</w:t>
      </w:r>
    </w:p>
    <w:p>
      <w:pPr>
        <w:numPr>
          <w:ilvl w:val="0"/>
          <w:numId w:val="1028"/>
        </w:numPr>
        <w:pStyle w:val="Compact"/>
      </w:pPr>
      <w:r>
        <w:t xml:space="preserve">指标：Rel-L2、MAE、PSNR、SSIM、fRMSE-low/mid/high、bRMSE、cRMSE、</w:t>
      </w:r>
      <w:r>
        <w:rPr>
          <w:rStyle w:val="VerbatimChar"/>
        </w:rPr>
        <w:t xml:space="preserve">||H(ŷ)−y||</w:t>
      </w:r>
    </w:p>
    <w:p>
      <w:pPr>
        <w:numPr>
          <w:ilvl w:val="0"/>
          <w:numId w:val="1028"/>
        </w:numPr>
        <w:pStyle w:val="Compact"/>
      </w:pPr>
      <w:r>
        <w:t xml:space="preserve">统计：≥3 种子均值±标准差；显著性检验（paired t-test + Cohen’s d）</w:t>
      </w:r>
    </w:p>
    <w:p>
      <w:pPr>
        <w:numPr>
          <w:ilvl w:val="0"/>
          <w:numId w:val="1028"/>
        </w:numPr>
        <w:pStyle w:val="Compact"/>
      </w:pPr>
      <w:r>
        <w:t xml:space="preserve">资源：Params(M)、FLOPs(G@256²)、显存峰值(GB)、推理延迟(ms)</w:t>
      </w:r>
    </w:p>
    <w:bookmarkEnd w:id="54"/>
    <w:bookmarkStart w:id="55" w:name="消融实验"/>
    <w:p>
      <w:pPr>
        <w:pStyle w:val="3"/>
      </w:pPr>
      <w:r>
        <w:t xml:space="preserve">6.3 消融实验</w:t>
      </w:r>
    </w:p>
    <w:p>
      <w:pPr>
        <w:numPr>
          <w:ilvl w:val="0"/>
          <w:numId w:val="1029"/>
        </w:numPr>
        <w:pStyle w:val="Compact"/>
      </w:pPr>
      <w:r>
        <w:t xml:space="preserve">组件贡献与敏感性；DC/H 一致性影响（</w:t>
      </w:r>
      <w:r>
        <w:rPr>
          <w:rStyle w:val="VerbatimChar"/>
        </w:rPr>
        <w:t xml:space="preserve">tools/check_dc_equivalence.py</w:t>
      </w:r>
      <w:r>
        <w:t xml:space="preserve">）</w:t>
      </w:r>
    </w:p>
    <w:bookmarkEnd w:id="55"/>
    <w:bookmarkStart w:id="56" w:name="可视化分析"/>
    <w:p>
      <w:pPr>
        <w:pStyle w:val="3"/>
      </w:pPr>
      <w:r>
        <w:t xml:space="preserve">6.4 可视化分析</w:t>
      </w:r>
    </w:p>
    <w:p>
      <w:pPr>
        <w:numPr>
          <w:ilvl w:val="0"/>
          <w:numId w:val="1030"/>
        </w:numPr>
        <w:pStyle w:val="Compact"/>
      </w:pPr>
      <w:r>
        <w:t xml:space="preserve">GT/Pred/Err（统一色标）、功率谱（log）、边界带局部放大</w:t>
      </w:r>
    </w:p>
    <w:p>
      <w:pPr>
        <w:numPr>
          <w:ilvl w:val="0"/>
          <w:numId w:val="1030"/>
        </w:numPr>
        <w:pStyle w:val="Compact"/>
      </w:pPr>
      <w:r>
        <w:t xml:space="preserve">失败案例分类与改进建议</w:t>
      </w:r>
    </w:p>
    <w:bookmarkEnd w:id="56"/>
    <w:bookmarkEnd w:id="57"/>
    <w:bookmarkStart w:id="61" w:name="第7章-理论验证"/>
    <w:p>
      <w:pPr>
        <w:pStyle w:val="2"/>
      </w:pPr>
      <w:r>
        <w:t xml:space="preserve">第7章 理论验证</w:t>
      </w:r>
    </w:p>
    <w:bookmarkStart w:id="58" w:name="一致性验证"/>
    <w:p>
      <w:pPr>
        <w:pStyle w:val="3"/>
      </w:pPr>
      <w:r>
        <w:t xml:space="preserve">7.1 一致性验证</w:t>
      </w:r>
    </w:p>
    <w:p>
      <w:pPr>
        <w:numPr>
          <w:ilvl w:val="0"/>
          <w:numId w:val="1031"/>
        </w:numPr>
        <w:pStyle w:val="Compact"/>
      </w:pPr>
      <w:r>
        <w:t xml:space="preserve">观测一致性、误差与收敛性验证</w:t>
      </w:r>
    </w:p>
    <w:bookmarkEnd w:id="58"/>
    <w:bookmarkStart w:id="59" w:name="泛化能力验证"/>
    <w:p>
      <w:pPr>
        <w:pStyle w:val="3"/>
      </w:pPr>
      <w:r>
        <w:t xml:space="preserve">7.2 泛化能力验证</w:t>
      </w:r>
    </w:p>
    <w:p>
      <w:pPr>
        <w:numPr>
          <w:ilvl w:val="0"/>
          <w:numId w:val="1032"/>
        </w:numPr>
        <w:pStyle w:val="Compact"/>
      </w:pPr>
      <w:r>
        <w:t xml:space="preserve">跨数据集/任务、鲁棒性分析</w:t>
      </w:r>
    </w:p>
    <w:bookmarkEnd w:id="59"/>
    <w:bookmarkStart w:id="60" w:name="计算效率分析"/>
    <w:p>
      <w:pPr>
        <w:pStyle w:val="3"/>
      </w:pPr>
      <w:r>
        <w:t xml:space="preserve">7.3 计算效率分析</w:t>
      </w:r>
    </w:p>
    <w:p>
      <w:pPr>
        <w:numPr>
          <w:ilvl w:val="0"/>
          <w:numId w:val="1033"/>
        </w:numPr>
        <w:pStyle w:val="Compact"/>
      </w:pPr>
      <w:r>
        <w:t xml:space="preserve">时间/空间复杂度与实际效率</w:t>
      </w:r>
    </w:p>
    <w:bookmarkEnd w:id="60"/>
    <w:bookmarkEnd w:id="61"/>
    <w:bookmarkStart w:id="65" w:name="第8章-讨论"/>
    <w:p>
      <w:pPr>
        <w:pStyle w:val="2"/>
      </w:pPr>
      <w:r>
        <w:t xml:space="preserve">第8章 讨论</w:t>
      </w:r>
    </w:p>
    <w:bookmarkStart w:id="62" w:name="方法优势"/>
    <w:p>
      <w:pPr>
        <w:pStyle w:val="3"/>
      </w:pPr>
      <w:r>
        <w:t xml:space="preserve">8.1 方法优势</w:t>
      </w:r>
    </w:p>
    <w:bookmarkEnd w:id="62"/>
    <w:bookmarkStart w:id="63" w:name="局限性分析"/>
    <w:p>
      <w:pPr>
        <w:pStyle w:val="3"/>
      </w:pPr>
      <w:r>
        <w:t xml:space="preserve">8.2 局限性分析</w:t>
      </w:r>
    </w:p>
    <w:bookmarkEnd w:id="63"/>
    <w:bookmarkStart w:id="64" w:name="未来工作"/>
    <w:p>
      <w:pPr>
        <w:pStyle w:val="3"/>
      </w:pPr>
      <w:r>
        <w:t xml:space="preserve">8.3 未来工作</w:t>
      </w:r>
    </w:p>
    <w:p>
      <w:pPr>
        <w:pStyle w:val="11"/>
      </w:pPr>
      <w:r>
        <w:t xml:space="preserve">未来方向建议：</w:t>
      </w:r>
      <w:r>
        <w:t xml:space="preserve"> </w:t>
      </w:r>
      <w:r>
        <w:t xml:space="preserve">- 稀疏时空采样自适应设计与主动学习；</w:t>
      </w:r>
      <w:r>
        <w:t xml:space="preserve"> </w:t>
      </w:r>
      <w:r>
        <w:t xml:space="preserve">- 频域低/中/高频分层一致性损失的权衡与自适应；</w:t>
      </w:r>
      <w:r>
        <w:t xml:space="preserve"> </w:t>
      </w:r>
      <w:r>
        <w:t xml:space="preserve">- 面向复杂边界与非周期条件的算子外推鲁棒性；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 </w:t>
      </w:r>
      <w:r>
        <w:t xml:space="preserve">的盲审化与跨环境复现实验工具链完善。</w:t>
      </w:r>
    </w:p>
    <w:bookmarkEnd w:id="64"/>
    <w:bookmarkEnd w:id="65"/>
    <w:bookmarkStart w:id="69" w:name="第9章-结论"/>
    <w:p>
      <w:pPr>
        <w:pStyle w:val="2"/>
      </w:pPr>
      <w:r>
        <w:t xml:space="preserve">第9章 结论</w:t>
      </w:r>
    </w:p>
    <w:bookmarkStart w:id="66" w:name="研究总结"/>
    <w:p>
      <w:pPr>
        <w:pStyle w:val="3"/>
      </w:pPr>
      <w:r>
        <w:t xml:space="preserve">9.1 研究总结</w:t>
      </w:r>
    </w:p>
    <w:bookmarkEnd w:id="66"/>
    <w:bookmarkStart w:id="67" w:name="创新点回顾"/>
    <w:p>
      <w:pPr>
        <w:pStyle w:val="3"/>
      </w:pPr>
      <w:r>
        <w:t xml:space="preserve">9.2 创新点回顾</w:t>
      </w:r>
    </w:p>
    <w:bookmarkEnd w:id="67"/>
    <w:bookmarkStart w:id="68" w:name="展望"/>
    <w:p>
      <w:pPr>
        <w:pStyle w:val="3"/>
      </w:pPr>
      <w:r>
        <w:t xml:space="preserve">9.3 展望</w:t>
      </w:r>
    </w:p>
    <w:bookmarkEnd w:id="68"/>
    <w:bookmarkEnd w:id="69"/>
    <w:bookmarkStart w:id="70" w:name="参考文献"/>
    <w:p>
      <w:pPr>
        <w:pStyle w:val="2"/>
      </w:pPr>
      <w:r>
        <w:t xml:space="preserve">参考文献</w:t>
      </w:r>
    </w:p>
    <w:bookmarkEnd w:id="70"/>
    <w:bookmarkStart w:id="77" w:name="附录"/>
    <w:p>
      <w:pPr>
        <w:pStyle w:val="2"/>
      </w:pPr>
      <w:r>
        <w:t xml:space="preserve">附录</w:t>
      </w:r>
    </w:p>
    <w:bookmarkStart w:id="71" w:name="a.-数学推导"/>
    <w:p>
      <w:pPr>
        <w:pStyle w:val="3"/>
      </w:pPr>
      <w:r>
        <w:t xml:space="preserve">A. 数学推导</w:t>
      </w:r>
    </w:p>
    <w:bookmarkEnd w:id="71"/>
    <w:bookmarkStart w:id="72" w:name="b.-实验细节"/>
    <w:p>
      <w:pPr>
        <w:pStyle w:val="3"/>
      </w:pPr>
      <w:r>
        <w:t xml:space="preserve">B. 实验细节</w:t>
      </w:r>
    </w:p>
    <w:bookmarkEnd w:id="72"/>
    <w:bookmarkStart w:id="73" w:name="c.-代码说明"/>
    <w:p>
      <w:pPr>
        <w:pStyle w:val="3"/>
      </w:pPr>
      <w:r>
        <w:t xml:space="preserve">C. 代码说明</w:t>
      </w:r>
    </w:p>
    <w:bookmarkEnd w:id="73"/>
    <w:bookmarkStart w:id="74" w:name="d.-数据集详情"/>
    <w:p>
      <w:pPr>
        <w:pStyle w:val="3"/>
      </w:pPr>
      <w:r>
        <w:t xml:space="preserve">D. 数据集详情</w:t>
      </w:r>
    </w:p>
    <w:bookmarkEnd w:id="74"/>
    <w:bookmarkStart w:id="75" w:name="e.-复现材料包paper_package结构与生成命令"/>
    <w:p>
      <w:pPr>
        <w:pStyle w:val="3"/>
      </w:pPr>
      <w:r>
        <w:t xml:space="preserve">E. 复现材料包（</w:t>
      </w:r>
      <w:r>
        <w:rPr>
          <w:rStyle w:val="VerbatimChar"/>
        </w:rPr>
        <w:t xml:space="preserve">paper_package/</w:t>
      </w:r>
      <w:r>
        <w:t xml:space="preserve">）结构与生成命令</w:t>
      </w:r>
    </w:p>
    <w:bookmarkEnd w:id="75"/>
    <w:bookmarkStart w:id="76" w:name="f.-训练环境指纹与配置快照说明"/>
    <w:p>
      <w:pPr>
        <w:pStyle w:val="3"/>
      </w:pPr>
      <w:r>
        <w:t xml:space="preserve">F. 训练环境指纹与配置快照说明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写作提示内嵌"/>
    <w:p>
      <w:pPr>
        <w:pStyle w:val="2"/>
      </w:pPr>
      <w:r>
        <w:t xml:space="preserve">写作提示（内嵌）</w:t>
      </w:r>
    </w:p>
    <w:p>
      <w:pPr>
        <w:numPr>
          <w:ilvl w:val="0"/>
          <w:numId w:val="1034"/>
        </w:numPr>
        <w:pStyle w:val="Compact"/>
      </w:pPr>
      <w:r>
        <w:t xml:space="preserve">先写方法与实验，再补理论，最后绪论与摘要/结论</w:t>
      </w:r>
    </w:p>
    <w:p>
      <w:pPr>
        <w:numPr>
          <w:ilvl w:val="0"/>
          <w:numId w:val="1034"/>
        </w:numPr>
        <w:pStyle w:val="Compact"/>
      </w:pPr>
      <w:r>
        <w:t xml:space="preserve">所有指标与资源按 ≥3 种子统计并进行显著性检验</w:t>
      </w:r>
    </w:p>
    <w:p>
      <w:pPr>
        <w:numPr>
          <w:ilvl w:val="0"/>
          <w:numId w:val="1034"/>
        </w:numPr>
        <w:pStyle w:val="Compact"/>
      </w:pPr>
      <w:r>
        <w:t xml:space="preserve">图表统一色标与矢量格式；在</w:t>
      </w:r>
      <w:r>
        <w:t xml:space="preserve"> </w:t>
      </w:r>
      <w:r>
        <w:rPr>
          <w:rStyle w:val="VerbatimChar"/>
        </w:rPr>
        <w:t xml:space="preserve">paper_package/figs/</w:t>
      </w:r>
      <w:r>
        <w:t xml:space="preserve"> </w:t>
      </w:r>
      <w:r>
        <w:t xml:space="preserve">产出代表案例</w:t>
      </w:r>
    </w:p>
    <w:p>
      <w:pPr>
        <w:numPr>
          <w:ilvl w:val="0"/>
          <w:numId w:val="1034"/>
        </w:numPr>
        <w:pStyle w:val="Compact"/>
      </w:pPr>
      <w:r>
        <w:t xml:space="preserve">实验口径与训练脚本一致，避免与 H/DC 配置不一致</w:t>
      </w:r>
    </w:p>
    <w:p>
      <w:pPr>
        <w:pStyle w:val="11"/>
      </w:pPr>
      <w:r>
        <w:rPr>
          <w:iCs/>
          <w:i/>
        </w:rPr>
        <w:t xml:space="preserve">最后更新：2025年</w:t>
      </w:r>
    </w:p>
    <w:bookmarkEnd w:id="78"/>
    <w:bookmarkEnd w:id="79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2026-01-18T16:45:32Z</dcterms:created>
  <dcterms:modified xsi:type="dcterms:W3CDTF">2026-01-18T16:45:32Z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