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4章-理论分析核验修订版命题强化假设边界与可检验映射"/>
    <w:p>
      <w:pPr>
        <w:pStyle w:val="Heading1"/>
      </w:pPr>
      <w:r>
        <w:t xml:space="preserve">第4章 理论分析（核验修订版：命题强化、假设边界与可检验映射）</w:t>
      </w:r>
    </w:p>
    <w:bookmarkStart w:id="20" w:name="引言"/>
    <w:p>
      <w:pPr>
        <w:pStyle w:val="Heading2"/>
      </w:pPr>
      <w:r>
        <w:t xml:space="preserve">4.0 引言</w:t>
      </w:r>
    </w:p>
    <w:p>
      <w:pPr>
        <w:pStyle w:val="FirstParagraph"/>
      </w:pPr>
      <w:r>
        <w:t xml:space="preserve">稀疏观测驱动的时空流场重建可视为一个典型的</w:t>
      </w:r>
      <w:r>
        <w:rPr>
          <w:bCs/>
          <w:b/>
        </w:rPr>
        <w:t xml:space="preserve">欠定逆问题</w:t>
      </w:r>
      <w:r>
        <w:t xml:space="preserve">：观测算子 (H) 往往不可逆，观测 (y) 仅约束真值 (u) 的一部分信息（低维投影或退化表示），从而允许大量候选解同时满足观测一致性。仅依赖观测一致性项 ( |H(</w:t>
      </w:r>
      <w:r>
        <w:t xml:space="preserve">u)-y| ) 通常不足以唯一确定高分辨率场。</w:t>
      </w:r>
    </w:p>
    <w:p>
      <w:pPr>
        <w:pStyle w:val="BodyText"/>
      </w:pPr>
      <w:r>
        <w:t xml:space="preserve">本章的目标不是“把欠定问题变成严格可解”，而是给出一条可证明、可审计、可复现的理论链条，解释为何本文提出的三类约束能够把学习过程稳定地引导到</w:t>
      </w:r>
      <w:r>
        <w:rPr>
          <w:bCs/>
          <w:b/>
        </w:rPr>
        <w:t xml:space="preserve">评测口径一致且结构合理</w:t>
      </w:r>
      <w:r>
        <w:t xml:space="preserve">的解族（如图 3-1 所示的完整框架）。</w:t>
      </w:r>
    </w:p>
    <w:p>
      <w:pPr>
        <w:pStyle w:val="BodyText"/>
      </w:pPr>
      <w:r>
        <w:t xml:space="preserve">在理论层面，本章集中回答三组问题：</w:t>
      </w:r>
    </w:p>
    <w:p>
      <w:pPr>
        <w:numPr>
          <w:ilvl w:val="0"/>
          <w:numId w:val="1001"/>
        </w:numPr>
        <w:pStyle w:val="Compact"/>
      </w:pPr>
      <w:r>
        <w:t xml:space="preserve">**Q1：为何 (H/DC) 复用能够把评测口径误差 (H_{</w:t>
      </w:r>
      <w:r>
        <w:t xml:space="preserve">}=|H(</w:t>
      </w:r>
      <w:r>
        <w:t xml:space="preserve">u)-y|_2) 与重建误差 (|</w:t>
      </w:r>
      <w:r>
        <w:t xml:space="preserve">u-u|_2) 重新绑定？**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Q2：为何低频谱一致性 (L_{</w:t>
      </w:r>
      <w:r>
        <w:rPr>
          <w:bCs/>
          <w:b/>
        </w:rPr>
        <w:t xml:space="preserve">}) 会显著改善大尺度结构稳定性，并缓解谱偏置导致的“宏观正确但细节漂移/振铃”？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Q3：为何“序列化时空训练”能比端到端训练更有效地收敛？（见 4.5.5 课程学习视角）</w:t>
      </w:r>
    </w:p>
    <w:p>
      <w:r>
        <w:pict>
          <v:rect style="width:0;height:1.5pt" o:hralign="center" o:hrstd="t" o:hr="t"/>
        </w:pict>
      </w:r>
    </w:p>
    <w:bookmarkEnd w:id="20"/>
    <w:bookmarkStart w:id="22" w:name="预备定义空间时间函数空间算子稳定性与误差度量"/>
    <w:p>
      <w:pPr>
        <w:pStyle w:val="Heading2"/>
      </w:pPr>
      <w:r>
        <w:t xml:space="preserve">4.1 预备定义：空间—时间函数空间、算子稳定性与误差度量</w:t>
      </w:r>
    </w:p>
    <w:p>
      <w:pPr>
        <w:pStyle w:val="FirstParagraph"/>
      </w:pPr>
      <w:r>
        <w:t xml:space="preserve">令空间域 (</w:t>
      </w:r>
      <w:r>
        <w:t xml:space="preserve">^2)，离散网格为 (</w:t>
      </w:r>
      <w:r>
        <w:t xml:space="preserve">_h)，时间索引 (t</w:t>
      </w:r>
      <w:r>
        <w:t xml:space="preserve">{1,</w:t>
      </w:r>
      <w:r>
        <w:t xml:space="preserve">,T})。对每个时刻 (t)，真值场记为</w:t>
      </w:r>
      <w:r>
        <w:t xml:space="preserve"> </w:t>
      </w:r>
      <w:r>
        <w:t xml:space="preserve">[</w:t>
      </w:r>
      <w:r>
        <w:t xml:space="preserve"> </w:t>
      </w:r>
      <w:r>
        <w:t xml:space="preserve">u_t</w:t>
      </w:r>
      <w:r>
        <w:t xml:space="preserve">,</w:t>
      </w:r>
      <w:r>
        <w:t xml:space="preserve">=L</w:t>
      </w:r>
      <w:r>
        <w:rPr>
          <w:vertAlign w:val="superscript"/>
        </w:rPr>
        <w:t xml:space="preserve">2(</w:t>
      </w:r>
      <w:r>
        <w:rPr>
          <w:vertAlign w:val="superscript"/>
        </w:rPr>
        <w:t xml:space="preserve">)</w:t>
      </w:r>
      <w:r>
        <w:t xml:space="preserve">C </w:t>
      </w:r>
      <w:r>
        <w:t xml:space="preserve"> </w:t>
      </w:r>
      <w:r>
        <w:t xml:space="preserve">^{N_x</w:t>
      </w:r>
      <w:r>
        <w:t xml:space="preserve">N_y</w:t>
      </w:r>
      <w:r>
        <w:t xml:space="preserve">C}.</w:t>
      </w:r>
      <w:r>
        <w:t xml:space="preserve"> </w:t>
      </w:r>
      <w:r>
        <w:t xml:space="preserve">]</w:t>
      </w:r>
      <w:r>
        <w:t xml:space="preserve"> </w:t>
      </w:r>
      <w:r>
        <w:t xml:space="preserve">观测由观测算子 (H:</w:t>
      </w:r>
      <w:r>
        <w:t xml:space="preserve">) 与噪声 (n_t) 生成：</w:t>
      </w:r>
      <w:r>
        <w:t xml:space="preserve"> </w:t>
      </w:r>
      <w:r>
        <w:t xml:space="preserve">[</w:t>
      </w:r>
      <w:r>
        <w:t xml:space="preserve"> </w:t>
      </w:r>
      <w:r>
        <w:t xml:space="preserve">y_t = H(u_t) + n_t.</w:t>
      </w:r>
      <w:r>
        <w:t xml:space="preserve"> </w:t>
      </w:r>
      <w:r>
        <w:t xml:space="preserve">]</w:t>
      </w:r>
    </w:p>
    <w:bookmarkStart w:id="21" w:name="评测口径误差与重建误差"/>
    <w:p>
      <w:pPr>
        <w:pStyle w:val="Heading3"/>
      </w:pPr>
      <w:r>
        <w:t xml:space="preserve">4.1.1 评测口径误差与重建误差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评测口径误差（原值域）</w:t>
      </w:r>
      <w:r>
        <w:t xml:space="preserve"> </w:t>
      </w:r>
      <w:r>
        <w:t xml:space="preserve">[</w:t>
      </w:r>
      <w:r>
        <w:t xml:space="preserve"> </w:t>
      </w:r>
      <w:r>
        <w:t xml:space="preserve">H_{</w:t>
      </w:r>
      <w:r>
        <w:t xml:space="preserve">}(t)</w:t>
      </w:r>
      <w:r>
        <w:t xml:space="preserve">|H(</w:t>
      </w:r>
      <w:r>
        <w:t xml:space="preserve">u_t)-y_t|_2.</w:t>
      </w:r>
      <w:r>
        <w:t xml:space="preserve"> </w:t>
      </w:r>
      <w:r>
        <w:t xml:space="preserve">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重建相对误差（Rel-L2）</w:t>
      </w:r>
      <w:r>
        <w:t xml:space="preserve"> </w:t>
      </w:r>
      <w:r>
        <w:t xml:space="preserve">[</w:t>
      </w:r>
      <w:r>
        <w:t xml:space="preserve"> </w:t>
      </w:r>
      <w:r>
        <w:t xml:space="preserve">(t)=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关键点在于：若训练阶段约束使用的退化算子 (DC) 与评测阶段的 (H) 不一致，则“训练时的数据一致性”并不等价于“评测口径下的一致性”，从而出现</w:t>
      </w:r>
      <w:r>
        <w:rPr>
          <w:bCs/>
          <w:b/>
        </w:rPr>
        <w:t xml:space="preserve">指标断裂</w:t>
      </w:r>
      <w:r>
        <w:t xml:space="preserve">：训练损失下降、Rel-L2 下降，但 (H_{</w:t>
      </w:r>
      <w:r>
        <w:t xml:space="preserve">}) 不降或波动。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观测口径一致性hdc-复用的可证明意义"/>
    <w:p>
      <w:pPr>
        <w:pStyle w:val="Heading2"/>
      </w:pPr>
      <w:r>
        <w:t xml:space="preserve">4.2 观测口径一致性（(H/DC) 复用）的可证明意义</w:t>
      </w:r>
    </w:p>
    <w:bookmarkStart w:id="23" w:name="命题-4.1在同一-h-下评测口径误差由重建误差上界控制"/>
    <w:p>
      <w:pPr>
        <w:pStyle w:val="Heading3"/>
      </w:pPr>
      <w:r>
        <w:t xml:space="preserve">4.2.1 命题 4.1：在同一 (H) 下，评测口径误差由重建误差上界控制</w:t>
      </w:r>
    </w:p>
    <w:p>
      <w:pPr>
        <w:pStyle w:val="FirstParagraph"/>
      </w:pPr>
      <w:r>
        <w:rPr>
          <w:bCs/>
          <w:b/>
        </w:rPr>
        <w:t xml:space="preserve">命题 4.1（评测一致性上界，线性情形）</w:t>
      </w:r>
      <w:r>
        <w:br/>
      </w:r>
      <w:r>
        <w:t xml:space="preserve">若 (H) 是有界线性算子，则对任意预测 (</w:t>
      </w:r>
      <w:r>
        <w:t xml:space="preserve">u)：</w:t>
      </w:r>
      <w:r>
        <w:t xml:space="preserve"> </w:t>
      </w:r>
      <w:r>
        <w:t xml:space="preserve">[</w:t>
      </w:r>
      <w:r>
        <w:t xml:space="preserve"> </w:t>
      </w:r>
      <w:r>
        <w:t xml:space="preserve">|H(</w:t>
      </w:r>
      <w:r>
        <w:t xml:space="preserve">u)-H(u)|</w:t>
      </w:r>
      <w:r>
        <w:rPr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iCs/>
          <w:i/>
        </w:rPr>
        <w:t xml:space="preserve">|H|</w:t>
      </w:r>
      <w:r>
        <w:t xml:space="preserve">{</w:t>
      </w:r>
      <w:r>
        <w:t xml:space="preserve">} |</w:t>
      </w:r>
      <w:r>
        <w:t xml:space="preserve">u-u|</w:t>
      </w:r>
      <w:r>
        <w:rPr>
          <w:iCs/>
          <w:i/>
        </w:rPr>
        <w:t xml:space="preserve">2,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其中 (|H|</w:t>
      </w:r>
      <w:r>
        <w:t xml:space="preserve">{</w:t>
      </w:r>
      <w:r>
        <w:t xml:space="preserve">}=</w:t>
      </w:r>
      <w:r>
        <w:t xml:space="preserve">_{|v|_2=1}|H(v)|</w:t>
      </w:r>
      <w:r>
        <w:rPr>
          <w:iCs/>
          <w:i/>
        </w:rPr>
        <w:t xml:space="preserve">2) 为算子范数。若 (y=H(u)+n)，则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H</w:t>
      </w:r>
      <w:r>
        <w:t xml:space="preserve">{</w:t>
      </w:r>
      <w:r>
        <w:t xml:space="preserve">}=|H(</w:t>
      </w:r>
      <w:r>
        <w:t xml:space="preserve">u)-y|</w:t>
      </w:r>
      <w:r>
        <w:rPr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iCs/>
          <w:i/>
        </w:rPr>
        <w:t xml:space="preserve">|H|</w:t>
      </w:r>
      <w:r>
        <w:t xml:space="preserve">{</w:t>
      </w:r>
      <w:r>
        <w:t xml:space="preserve">} |</w:t>
      </w:r>
      <w:r>
        <w:t xml:space="preserve">u-u|_2+|n|_2.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证明（简要）</w:t>
      </w:r>
      <w:r>
        <w:br/>
      </w:r>
      <w:r>
        <w:t xml:space="preserve">由有界线性算子定义得 (|H(v)|</w:t>
      </w:r>
      <w:r>
        <w:rPr>
          <w:iCs/>
          <w:i/>
        </w:rPr>
        <w:t xml:space="preserve">2</w:t>
      </w:r>
      <w:r>
        <w:rPr>
          <w:iCs/>
          <w:i/>
        </w:rPr>
        <w:t xml:space="preserve">|H|</w:t>
      </w:r>
      <w:r>
        <w:t xml:space="preserve">{</w:t>
      </w:r>
      <w:r>
        <w:t xml:space="preserve">}|v|_2)，令 (v=</w:t>
      </w:r>
      <w:r>
        <w:t xml:space="preserve">u-u) 得第一式；再对 (H(</w:t>
      </w:r>
      <w:r>
        <w:t xml:space="preserve">u)-y=H(</w:t>
      </w:r>
      <w:r>
        <w:t xml:space="preserve">u)-H(u)-n) 用三角不等式即可。</w:t>
      </w:r>
    </w:p>
    <w:p>
      <w:pPr>
        <w:pStyle w:val="BodyText"/>
      </w:pPr>
      <w:r>
        <w:rPr>
          <w:bCs/>
          <w:b/>
        </w:rPr>
        <w:t xml:space="preserve">解释与方法学含义</w:t>
      </w:r>
      <w:r>
        <w:br/>
      </w:r>
      <w:r>
        <w:t xml:space="preserve">只有当训练与评测共享同一 (H)（即 (DC</w:t>
      </w:r>
      <w:r>
        <w:t xml:space="preserve">H) 且实现一致）时，</w:t>
      </w:r>
      <w:r>
        <w:t xml:space="preserve">“</w:t>
      </w:r>
      <w:r>
        <w:t xml:space="preserve">降低重建误差 (</w:t>
      </w:r>
      <w:r>
        <w:t xml:space="preserve">) 降低评测口径误差</w:t>
      </w:r>
      <w:r>
        <w:t xml:space="preserve">”</w:t>
      </w:r>
      <w:r>
        <w:t xml:space="preserve">这一传导链条才具有稳定上界保证。</w:t>
      </w:r>
    </w:p>
    <w:p>
      <w:pPr>
        <w:pStyle w:val="BlockText"/>
      </w:pPr>
      <w:r>
        <w:t xml:space="preserve">注：当 (H) 含有少量非线性实现细节（例如与边界处理相关的条件分支），仍可用局部 Lipschitz 假设给出类似结论（见 4.2.2）。</w:t>
      </w:r>
    </w:p>
    <w:p>
      <w:r>
        <w:pict>
          <v:rect style="width:0;height:1.5pt" o:hralign="center" o:hrstd="t" o:hr="t"/>
        </w:pict>
      </w:r>
    </w:p>
    <w:bookmarkEnd w:id="23"/>
    <w:bookmarkStart w:id="24" w:name="推广非线性分段实现的-h-与-lipschitz-上界"/>
    <w:p>
      <w:pPr>
        <w:pStyle w:val="Heading3"/>
      </w:pPr>
      <w:r>
        <w:t xml:space="preserve">4.2.2 推广：非线性/分段实现的 (H) 与 Lipschitz 上界</w:t>
      </w:r>
    </w:p>
    <w:p>
      <w:pPr>
        <w:pStyle w:val="FirstParagraph"/>
      </w:pPr>
      <w:r>
        <w:t xml:space="preserve">实际工程中的观测算子 (H) 常由“高斯预滤 + 插值缩放 + 边界策略”等模块组合而成。OpenCV 明确给出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 </w:t>
      </w:r>
      <w:r>
        <w:t xml:space="preserve">在缩小图像时推荐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，并提供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的参数语义（核大小、(</w:t>
      </w:r>
      <w:r>
        <w:t xml:space="preserve">_{</w:t>
      </w:r>
      <w:r>
        <w:t xml:space="preserve">})、</w:t>
      </w:r>
      <w:r>
        <w:rPr>
          <w:rStyle w:val="VerbatimChar"/>
        </w:rPr>
        <w:t xml:space="preserve">borderType</w:t>
      </w:r>
      <w:r>
        <w:t xml:space="preserve"> </w:t>
      </w:r>
      <w:r>
        <w:t xml:space="preserve">等），这些都使 (H) 的实现细节可被明确固化并复用。</w:t>
      </w:r>
    </w:p>
    <w:bookmarkEnd w:id="24"/>
    <w:bookmarkStart w:id="25" w:name="观测模型"/>
    <w:p>
      <w:pPr>
        <w:pStyle w:val="Heading3"/>
      </w:pPr>
      <w:r>
        <w:t xml:space="preserve">4.2.3 观测模型</w:t>
      </w:r>
    </w:p>
    <w:p>
      <w:pPr>
        <w:pStyle w:val="FirstParagraph"/>
      </w:pPr>
      <w:r>
        <w:t xml:space="preserve">本文采用的观测模型为：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H(u)=D_s(G_{</w:t>
      </w:r>
      <w:r>
        <w:t xml:space="preserve">_{</w:t>
      </w:r>
      <w:r>
        <w:t xml:space="preserve">}} * u),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其中 (G_{</w:t>
      </w:r>
      <w:r>
        <w:t xml:space="preserve">_{</w:t>
      </w:r>
      <w:r>
        <w:t xml:space="preserve">}}) 为高斯低通核，(D_s) 为缩小采样。OpenCV 对缩小采样推荐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，并对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给出可核验参数语义。</w:t>
      </w:r>
    </w:p>
    <w:p>
      <w:pPr>
        <w:pStyle w:val="BodyText"/>
      </w:pPr>
      <w:r>
        <w:t xml:space="preserve">若 (H) 在研究域内满足（局部）Lipschitz：</w:t>
      </w:r>
      <w:r>
        <w:t xml:space="preserve"> </w:t>
      </w:r>
      <w:r>
        <w:t xml:space="preserve">[</w:t>
      </w:r>
      <w:r>
        <w:t xml:space="preserve"> </w:t>
      </w:r>
      <w:r>
        <w:t xml:space="preserve">|H(</w:t>
      </w:r>
      <w:r>
        <w:t xml:space="preserve">u)-H(u)|_2</w:t>
      </w:r>
      <w:r>
        <w:t xml:space="preserve"> </w:t>
      </w:r>
      <w:r>
        <w:t xml:space="preserve">L_H |</w:t>
      </w:r>
      <w:r>
        <w:t xml:space="preserve">u-u|</w:t>
      </w:r>
      <w:r>
        <w:rPr>
          <w:iCs/>
          <w:i/>
        </w:rPr>
        <w:t xml:space="preserve">2,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则命题 4.1 中的 (|H|</w:t>
      </w:r>
      <w:r>
        <w:t xml:space="preserve">{</w:t>
      </w:r>
      <w:r>
        <w:t xml:space="preserve">}) 可替换为 Lipschitz 常数 (L_H)，上界仍成立。</w:t>
      </w:r>
    </w:p>
    <w:p>
      <w:r>
        <w:pict>
          <v:rect style="width:0;height:1.5pt" o:hralign="center" o:hrstd="t" o:hr="t"/>
        </w:pict>
      </w:r>
    </w:p>
    <w:bookmarkEnd w:id="25"/>
    <w:bookmarkStart w:id="26" w:name="命题-4.2若-dch一致性项可能不再约束-h_"/>
    <w:p>
      <w:pPr>
        <w:pStyle w:val="Heading3"/>
      </w:pPr>
      <w:r>
        <w:t xml:space="preserve">4.2.3 命题 4.2：若 (DC</w:t>
      </w:r>
      <w:r>
        <w:t xml:space="preserve">H)，一致性项可能不再约束 (H_{</w:t>
      </w:r>
      <w:r>
        <w:t xml:space="preserve">})</w:t>
      </w:r>
    </w:p>
    <w:p>
      <w:pPr>
        <w:pStyle w:val="FirstParagraph"/>
      </w:pPr>
      <w:r>
        <w:rPr>
          <w:bCs/>
          <w:b/>
        </w:rPr>
        <w:t xml:space="preserve">命题 4.2（错配导致的约束失效）</w:t>
      </w:r>
      <w:r>
        <w:br/>
      </w:r>
      <w:r>
        <w:t xml:space="preserve">若训练侧使用 (DC) 约束 (|DC(</w:t>
      </w:r>
      <w:r>
        <w:t xml:space="preserve">u)-y|_2) 而评测使用 (H)，当 (DC</w:t>
      </w:r>
      <w:r>
        <w:t xml:space="preserve">H) 时，即便 (|DC(</w:t>
      </w:r>
      <w:r>
        <w:t xml:space="preserve">u)-y|_2) 很小，也不能推出 (|H(</w:t>
      </w:r>
      <w:r>
        <w:t xml:space="preserve">u)-y|_2) 很小。更具体地，</w:t>
      </w:r>
      <w:r>
        <w:t xml:space="preserve"> </w:t>
      </w:r>
      <w:r>
        <w:t xml:space="preserve">[</w:t>
      </w:r>
      <w:r>
        <w:t xml:space="preserve"> </w:t>
      </w:r>
      <w:r>
        <w:t xml:space="preserve">|H(</w:t>
      </w:r>
      <w:r>
        <w:t xml:space="preserve">u)-y|_2</w:t>
      </w:r>
      <w:r>
        <w:t xml:space="preserve"> </w:t>
      </w:r>
      <w:r>
        <w:t xml:space="preserve">|H(</w:t>
      </w:r>
      <w:r>
        <w:t xml:space="preserve">u)-DC(</w:t>
      </w:r>
      <w:r>
        <w:t xml:space="preserve">u)|_2 + |DC(</w:t>
      </w:r>
      <w:r>
        <w:t xml:space="preserve">u)-y|_2,</w:t>
      </w:r>
      <w:r>
        <w:t xml:space="preserve"> </w:t>
      </w:r>
      <w:r>
        <w:t xml:space="preserve">]</w:t>
      </w:r>
      <w:r>
        <w:t xml:space="preserve"> </w:t>
      </w:r>
      <w:r>
        <w:t xml:space="preserve">第一项成为不可控“口径错配项”。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两类典型-h-的稳定性为何-h-往往温和"/>
    <w:p>
      <w:pPr>
        <w:pStyle w:val="Heading2"/>
      </w:pPr>
      <w:r>
        <w:t xml:space="preserve">4.3 两类典型 (H) 的稳定性：为何 (|H|) 往往“温和”</w:t>
      </w:r>
    </w:p>
    <w:bookmarkStart w:id="28" w:name="crop裁剪子集选择的能量不放大性"/>
    <w:p>
      <w:pPr>
        <w:pStyle w:val="Heading3"/>
      </w:pPr>
      <w:r>
        <w:t xml:space="preserve">4.3.1 Crop（裁剪/子集选择）的能量不放大性</w:t>
      </w:r>
    </w:p>
    <w:p>
      <w:pPr>
        <w:pStyle w:val="FirstParagraph"/>
      </w:pPr>
      <w:r>
        <w:t xml:space="preserve">在离散 (</w:t>
      </w:r>
      <w:r>
        <w:t xml:space="preserve">_2) 范数下，中心裁剪等价于从向量中抽取子集坐标（restriction）。对任意 (u)，裁剪后的能量不超过原能量：</w:t>
      </w:r>
      <w:r>
        <w:t xml:space="preserve"> </w:t>
      </w:r>
      <w:r>
        <w:t xml:space="preserve">[</w:t>
      </w:r>
      <w:r>
        <w:t xml:space="preserve"> </w:t>
      </w:r>
      <w:r>
        <w:t xml:space="preserve">|C(u)|_2</w:t>
      </w:r>
      <w:r>
        <w:t xml:space="preserve"> </w:t>
      </w:r>
      <w:r>
        <w:t xml:space="preserve">|u|</w:t>
      </w:r>
      <w:r>
        <w:rPr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iCs/>
          <w:i/>
        </w:rPr>
        <w:t xml:space="preserve">|C|</w:t>
      </w:r>
      <w:r>
        <w:t xml:space="preserve">{</w:t>
      </w:r>
      <w:r>
        <w:t xml:space="preserve">}</w:t>
      </w:r>
      <w:r>
        <w:t xml:space="preserve">.</w:t>
      </w:r>
      <w:r>
        <w:t xml:space="preserve"> </w:t>
      </w:r>
      <w:r>
        <w:t xml:space="preserve">]</w:t>
      </w:r>
    </w:p>
    <w:bookmarkEnd w:id="28"/>
    <w:bookmarkStart w:id="29" w:name="sr预滤-缩小的平滑性与抗混叠设计"/>
    <w:p>
      <w:pPr>
        <w:pStyle w:val="Heading3"/>
      </w:pPr>
      <w:r>
        <w:t xml:space="preserve">4.3.2 SR（预滤 + 缩小）的平滑性与抗混叠设计</w:t>
      </w:r>
    </w:p>
    <w:p>
      <w:pPr>
        <w:pStyle w:val="FirstParagraph"/>
      </w:pPr>
      <w:r>
        <w:t xml:space="preserve">SR 口径常写为</w:t>
      </w:r>
      <w:r>
        <w:t xml:space="preserve"> </w:t>
      </w:r>
      <w:r>
        <w:t xml:space="preserve">[</w:t>
      </w:r>
      <w:r>
        <w:t xml:space="preserve"> </w:t>
      </w:r>
      <w:r>
        <w:t xml:space="preserve">H(u)=D_s(G_{</w:t>
      </w:r>
      <w:r>
        <w:t xml:space="preserve">_{</w:t>
      </w:r>
      <w:r>
        <w:t xml:space="preserve">}} * u),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其中 (G_{</w:t>
      </w:r>
      <w:r>
        <w:t xml:space="preserve">_{</w:t>
      </w:r>
      <w:r>
        <w:t xml:space="preserve">}}) 为高斯低通核，(D_s) 为缩小采样。OpenCV 对缩小采样推荐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，并对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给出可核验参数语义。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欠定性与可识别性为何仅最小化-l_-不足"/>
    <w:p>
      <w:pPr>
        <w:pStyle w:val="Heading2"/>
      </w:pPr>
      <w:r>
        <w:t xml:space="preserve">4.4 欠定性与可识别性：为何仅最小化 (L_{</w:t>
      </w:r>
      <w:r>
        <w:t xml:space="preserve">}) 不足</w:t>
      </w:r>
    </w:p>
    <w:p>
      <w:pPr>
        <w:pStyle w:val="FirstParagraph"/>
      </w:pPr>
      <w:r>
        <w:t xml:space="preserve">即便 (DC</w:t>
      </w:r>
      <w:r>
        <w:t xml:space="preserve">H)，若只最小化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}=|H(</w:t>
      </w:r>
      <w:r>
        <w:t xml:space="preserve">u)-y|_2^2,</w:t>
      </w:r>
      <w:r>
        <w:t xml:space="preserve"> </w:t>
      </w:r>
      <w:r>
        <w:t xml:space="preserve">]</w:t>
      </w:r>
      <w:r>
        <w:t xml:space="preserve"> </w:t>
      </w:r>
      <w:r>
        <w:t xml:space="preserve">仍可能存在多组 (</w:t>
      </w:r>
      <w:r>
        <w:t xml:space="preserve">u) 使 (H(</w:t>
      </w:r>
      <w:r>
        <w:t xml:space="preserve">u)</w:t>
      </w:r>
      <w:r>
        <w:t xml:space="preserve">y)。其根源在于 (H) 的</w:t>
      </w:r>
      <w:r>
        <w:rPr>
          <w:bCs/>
          <w:b/>
        </w:rPr>
        <w:t xml:space="preserve">零空间/不可观测子空间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(H)={v</w:t>
      </w:r>
      <w:r>
        <w:t xml:space="preserve">H(v)=0}.</w:t>
      </w:r>
      <w:r>
        <w:t xml:space="preserve"> </w:t>
      </w:r>
      <w:r>
        <w:t xml:space="preserve">]</w:t>
      </w:r>
      <w:r>
        <w:t xml:space="preserve"> </w:t>
      </w:r>
      <w:r>
        <w:t xml:space="preserve">若 (</w:t>
      </w:r>
      <w:r>
        <w:t xml:space="preserve">(H)) 非平凡，则对任意满足观测的解 (</w:t>
      </w:r>
      <w:r>
        <w:t xml:space="preserve">u)，(</w:t>
      </w:r>
      <w:r>
        <w:t xml:space="preserve">u+v)（(v</w:t>
      </w:r>
      <w:r>
        <w:t xml:space="preserve">(H))）在无噪声时同样满足观测一致性。</w:t>
      </w:r>
    </w:p>
    <w:p>
      <w:r>
        <w:pict>
          <v:rect style="width:0;height:1.5pt" o:hralign="center" o:hrstd="t" o:hr="t"/>
        </w:pict>
      </w:r>
    </w:p>
    <w:bookmarkEnd w:id="31"/>
    <w:bookmarkStart w:id="37" w:name="三件套损失的作用分解从可行解到可泛化解"/>
    <w:p>
      <w:pPr>
        <w:pStyle w:val="Heading2"/>
      </w:pPr>
      <w:r>
        <w:t xml:space="preserve">4.5 三件套损失的作用分解：从“可行解”到“可泛化解”</w:t>
      </w:r>
    </w:p>
    <w:p>
      <w:pPr>
        <w:pStyle w:val="FirstParagraph"/>
      </w:pPr>
      <w:r>
        <w:t xml:space="preserve">总损失：</w:t>
      </w:r>
      <w:r>
        <w:t xml:space="preserve"> </w:t>
      </w:r>
      <w:r>
        <w:t xml:space="preserve">[</w:t>
      </w:r>
      <w:r>
        <w:t xml:space="preserve"> </w:t>
      </w:r>
      <w:r>
        <w:t xml:space="preserve">L = L_{</w:t>
      </w:r>
      <w:r>
        <w:t xml:space="preserve">} +</w:t>
      </w:r>
      <w:r>
        <w:t xml:space="preserve"> </w:t>
      </w:r>
      <w:r>
        <w:rPr>
          <w:iCs/>
          <w:i/>
        </w:rPr>
        <w:t xml:space="preserve">s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{dc} L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bookmarkStart w:id="32" w:name="l_经验风险最小化与主任务对齐"/>
    <w:p>
      <w:pPr>
        <w:pStyle w:val="Heading3"/>
      </w:pPr>
      <w:r>
        <w:t xml:space="preserve">4.5.1 (L_{</w:t>
      </w:r>
      <w:r>
        <w:t xml:space="preserve">})：经验风险最小化与主任务对齐</w:t>
      </w:r>
    </w:p>
    <w:p>
      <w:pPr>
        <w:pStyle w:val="FirstParagraph"/>
      </w:pPr>
      <w:r>
        <w:t xml:space="preserve">(L_{</w:t>
      </w:r>
      <w:r>
        <w:t xml:space="preserve">}) 直接压缩 (|</w:t>
      </w:r>
      <w:r>
        <w:t xml:space="preserve">u-u|)，决定模型对真值的主逼近能力。</w:t>
      </w:r>
    </w:p>
    <w:bookmarkEnd w:id="32"/>
    <w:bookmarkStart w:id="33" w:name="l_把优化目标绑定到评测口径"/>
    <w:p>
      <w:pPr>
        <w:pStyle w:val="Heading3"/>
      </w:pPr>
      <w:r>
        <w:t xml:space="preserve">4.5.2 (L_{</w:t>
      </w:r>
      <w:r>
        <w:t xml:space="preserve">})：把优化目标绑定到评测口径</w:t>
      </w:r>
    </w:p>
    <w:p>
      <w:pPr>
        <w:pStyle w:val="FirstParagraph"/>
      </w:pPr>
      <w:r>
        <w:t xml:space="preserve">当且仅当 (DC</w:t>
      </w:r>
      <w:r>
        <w:t xml:space="preserve">H) 时，最小化 (L_{</w:t>
      </w:r>
      <w:r>
        <w:t xml:space="preserve">}) 直接压缩 (H_{</w:t>
      </w:r>
      <w:r>
        <w:t xml:space="preserve">})，并通过命题 4.1 把评测口径误差与重建误差建立稳定联系。</w:t>
      </w:r>
    </w:p>
    <w:bookmarkEnd w:id="33"/>
    <w:bookmarkStart w:id="34" w:name="l_锁定大尺度结构并缓解谱偏置"/>
    <w:p>
      <w:pPr>
        <w:pStyle w:val="Heading3"/>
      </w:pPr>
      <w:r>
        <w:t xml:space="preserve">4.5.3 (L_{</w:t>
      </w:r>
      <w:r>
        <w:t xml:space="preserve">})：锁定大尺度结构并缓解谱偏置</w:t>
      </w:r>
    </w:p>
    <w:p>
      <w:pPr>
        <w:pStyle w:val="FirstParagraph"/>
      </w:pPr>
      <w:r>
        <w:t xml:space="preserve">针对谱偏置的缓解研究已提出自适应 Fourier 编码等策略，并在 Neural Networks 期刊给出具体方法与实验支持。</w:t>
      </w:r>
    </w:p>
    <w:p>
      <w:pPr>
        <w:pStyle w:val="BodyText"/>
      </w:pPr>
      <w:r>
        <w:t xml:space="preserve">本文采用低频子集约束：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}=</w:t>
      </w:r>
      <w:r>
        <w:t xml:space="preserve"> </w:t>
      </w:r>
      <w:r>
        <w:rPr>
          <w:iCs/>
          <w:i/>
        </w:rPr>
        <w:t xml:space="preserve">{(k_x,k_y)</w:t>
      </w:r>
      <w:r>
        <w:t xml:space="preserve">{</w:t>
      </w:r>
      <w:r>
        <w:t xml:space="preserve">}}</w:t>
      </w:r>
      <w:r>
        <w:t xml:space="preserve"> </w:t>
      </w:r>
      <w:r>
        <w:t xml:space="preserve">|</w:t>
      </w:r>
      <w:r>
        <w:t xml:space="preserve">(</w:t>
      </w:r>
      <w:r>
        <w:t xml:space="preserve">u)</w:t>
      </w:r>
      <w:r>
        <w:rPr>
          <w:iCs/>
          <w:i/>
        </w:rPr>
        <w:t xml:space="preserve">{k_x,k_y}-</w:t>
      </w:r>
      <w:r>
        <w:rPr>
          <w:iCs/>
          <w:i/>
        </w:rPr>
        <w:t xml:space="preserve">(u)</w:t>
      </w:r>
      <w:r>
        <w:t xml:space="preserve">{k_x,k_y}</w:t>
      </w:r>
      <w:r>
        <w:t xml:space="preserve">|_2^2.</w:t>
      </w:r>
      <w:r>
        <w:t xml:space="preserve"> </w:t>
      </w:r>
      <w:r>
        <w:t xml:space="preserve">]</w:t>
      </w:r>
    </w:p>
    <w:bookmarkEnd w:id="34"/>
    <w:bookmarkStart w:id="35" w:name="时序一致性项抑制误差累积与非物理漂移"/>
    <w:p>
      <w:pPr>
        <w:pStyle w:val="Heading3"/>
      </w:pPr>
      <w:r>
        <w:t xml:space="preserve">4.5.4 时序一致性项：抑制误差累积与非物理漂移</w:t>
      </w:r>
    </w:p>
    <w:p>
      <w:pPr>
        <w:pStyle w:val="FirstParagraph"/>
      </w:pPr>
      <w:r>
        <w:t xml:space="preserve">在自回归（AR）序列预测中，单步误差 (</w:t>
      </w:r>
      <w:r>
        <w:t xml:space="preserve">_t) 往往随时间 (t) 指数级放大（Lyapunov 不稳定性）。引入时序一致性项的理论动机在于：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导数一致性（(L_{</w:t>
      </w:r>
      <w:r>
        <w:rPr>
          <w:bCs/>
          <w:b/>
        </w:rPr>
        <w:t xml:space="preserve">})）</w:t>
      </w:r>
      <w:r>
        <w:t xml:space="preserve">：约束 (</w:t>
      </w:r>
      <w:r>
        <w:t xml:space="preserve">_t</w:t>
      </w:r>
      <w:r>
        <w:t xml:space="preserve"> </w:t>
      </w:r>
      <w:r>
        <w:t xml:space="preserve"> </w:t>
      </w:r>
      <w:r>
        <w:t xml:space="preserve">_t u)，本质上是在相空间中限制预测轨迹的切向量方向，迫使预测流形贴近真实动力学流形，减少“一步错、步步错”的方向性偏离。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能量一致性（(L_{</w:t>
      </w:r>
      <w:r>
        <w:rPr>
          <w:bCs/>
          <w:b/>
        </w:rPr>
        <w:t xml:space="preserve">})）</w:t>
      </w:r>
      <w:r>
        <w:t xml:space="preserve">：由于神经网络倾向于优先拟合低频分量（Spectral Bias），长时预测常出现能量衰减（过度平滑/耗散）。(L_{</w:t>
      </w:r>
      <w:r>
        <w:t xml:space="preserve">}) 作为显式的守恒律（Conservation Law）软约束，对抗能量耗散，保持长时统计特性的物理合理性。</w:t>
      </w:r>
    </w:p>
    <w:bookmarkEnd w:id="35"/>
    <w:bookmarkStart w:id="36" w:name="X0235c9ecc566637b751b85647c3cf3154d460b2"/>
    <w:p>
      <w:pPr>
        <w:pStyle w:val="Heading3"/>
      </w:pPr>
      <w:r>
        <w:t xml:space="preserve">4.5.5 序列化训练的课程学习视角 (Theoretical Motivation for Sequential Training)</w:t>
      </w:r>
    </w:p>
    <w:p>
      <w:pPr>
        <w:pStyle w:val="FirstParagraph"/>
      </w:pPr>
      <w:r>
        <w:t xml:space="preserve">时空耦合模型的端到端训练（End-to-End Training）常面临优化地形崎岖、收敛速度慢且易陷入局部极小值的问题。本文提出的“空间预训练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联合微调”策略，其理论依据可从</w:t>
      </w:r>
      <w:r>
        <w:rPr>
          <w:bCs/>
          <w:b/>
        </w:rPr>
        <w:t xml:space="preserve">课程学习（Curriculum Learning）</w:t>
      </w:r>
      <w:r>
        <w:t xml:space="preserve">与</w:t>
      </w:r>
      <w:r>
        <w:rPr>
          <w:bCs/>
          <w:b/>
        </w:rPr>
        <w:t xml:space="preserve">分解学习（Decomposition Learning）</w:t>
      </w:r>
      <w:r>
        <w:t xml:space="preserve">的角度进行解释：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降低任务复杂度（Complexity Reduction）</w:t>
      </w:r>
      <w:r>
        <w:t xml:space="preserve">：</w:t>
      </w:r>
      <w:r>
        <w:t xml:space="preserve"> </w:t>
      </w:r>
      <w:r>
        <w:t xml:space="preserve">时空重建任务可分解为两个正交子任务：</w:t>
      </w:r>
      <m:oMath>
        <m:sSub>
          <m:e>
            <m:r>
              <m:t>T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（从稀疏观测恢复全场）与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（学习流体动力学演化）。</w:t>
      </w:r>
    </w:p>
    <w:p>
      <w:pPr>
        <w:numPr>
          <w:ilvl w:val="1"/>
          <w:numId w:val="1005"/>
        </w:numPr>
        <w:pStyle w:val="Compact"/>
      </w:pPr>
      <w:r>
        <w:t xml:space="preserve">若直接联合训练，模型需同时寻找满足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的解，解空间搜索难度呈指数级上升。</w:t>
      </w:r>
    </w:p>
    <w:p>
      <w:pPr>
        <w:numPr>
          <w:ilvl w:val="1"/>
          <w:numId w:val="1005"/>
        </w:numPr>
        <w:pStyle w:val="Compact"/>
      </w:pPr>
      <w:r>
        <w:t xml:space="preserve">序列化训练首先在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上找到较优的初始参数点</w:t>
      </w:r>
      <w:r>
        <w:t xml:space="preserve"> </w:t>
      </w:r>
      <m:oMath>
        <m:sSubSup>
          <m:e>
            <m:r>
              <m:t>θ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，再在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上找到</w:t>
      </w:r>
      <w:r>
        <w:t xml:space="preserve"> </w:t>
      </w:r>
      <m:oMath>
        <m:sSubSup>
          <m:e>
            <m:r>
              <m:t>θ</m:t>
            </m:r>
          </m:e>
          <m:sub>
            <m:r>
              <m:t>t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  <m:r>
              <m:t>r</m:t>
            </m:r>
            <m:r>
              <m:t>a</m:t>
            </m:r>
            <m:r>
              <m:t>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，最后在联合空间微调。这本质上利用了先验知识将非凸优化问题转化为一系列更简单的凸（或良态）子问题。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特征质量保证（Feature Quality Assurance）</w:t>
      </w:r>
      <w:r>
        <w:t xml:space="preserve">：</w:t>
      </w:r>
      <w:r>
        <w:t xml:space="preserve"> </w:t>
      </w:r>
      <w:r>
        <w:t xml:space="preserve">在时序模块（如 LSTM/Transformer）训练初期，若输入的空间特征（来自未训练的空间编码器）充满噪声，时序模块将难以捕捉真实的动力学规律，甚至过拟合噪声。空间预训练确保了进入时序模块的 latent feature 具备明确的物理语义，从而加速时序模块的收敛。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缓解 Exposure Bias</w:t>
      </w:r>
      <w:r>
        <w:t xml:space="preserve">：</w:t>
      </w:r>
      <w:r>
        <w:t xml:space="preserve"> </w:t>
      </w:r>
      <w:r>
        <w:t xml:space="preserve">Teacher Forcing Decay 策略使得模型在训练初期依赖真实历史（Ground Truth），逐步过渡到依赖自身预测。这在理论上减小了训练分布（Conditioned on GT）与测试分布（Conditioned on Prediction）之间的差异（Distribution Shift），增强了长时预测的鲁棒性。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离散化别名与跨网格鲁棒性为何需要口径统一-抗混叠-算子视角"/>
    <w:p>
      <w:pPr>
        <w:pStyle w:val="Heading2"/>
      </w:pPr>
      <w:r>
        <w:t xml:space="preserve">4.6 离散化、别名与跨网格鲁棒性：为何需要“口径统一 + 抗混叠 + 算子视角”</w:t>
      </w:r>
    </w:p>
    <w:p>
      <w:pPr>
        <w:pStyle w:val="FirstParagraph"/>
      </w:pPr>
      <w:r>
        <w:t xml:space="preserve">Representation Equivalent Neural Operators（ReNO）将 aliasing 作为核心障碍并给出框架化处理。</w:t>
      </w:r>
      <w:r>
        <w:br/>
      </w:r>
      <w:r>
        <w:t xml:space="preserve">Neural Operator 的系统综述对函数空间映射视角、适用边界与工程意义进行了总结。</w:t>
      </w:r>
      <w:r>
        <w:br/>
      </w:r>
      <w:r>
        <w:t xml:space="preserve">FNO 的 OpenReview/arXiv 版本给出了谱域卷积核逼近算子的具体实现与实验。</w:t>
      </w:r>
    </w:p>
    <w:p>
      <w:r>
        <w:pict>
          <v:rect style="width:0;height:1.5pt" o:hralign="center" o:hrstd="t" o:hr="t"/>
        </w:pict>
      </w:r>
    </w:p>
    <w:bookmarkEnd w:id="38"/>
    <w:bookmarkStart w:id="39" w:name="解码稳定性与伪影为何更偏好上采样-卷积而非转置卷积堆叠"/>
    <w:p>
      <w:pPr>
        <w:pStyle w:val="Heading2"/>
      </w:pPr>
      <w:r>
        <w:t xml:space="preserve">4.7 解码稳定性与伪影：为何更偏好“上采样 + 卷积”而非转置卷积堆叠</w:t>
      </w:r>
    </w:p>
    <w:p>
      <w:pPr>
        <w:pStyle w:val="FirstParagraph"/>
      </w:pPr>
      <w:r>
        <w:t xml:space="preserve">Distill 的经典分析指出棋盘格伪影与卷积核/步幅配置的结构耦合有关，并给出“插值上采样 + 卷积”作为常用替代路径。</w:t>
      </w:r>
    </w:p>
    <w:p>
      <w:r>
        <w:pict>
          <v:rect style="width:0;height:1.5pt" o:hralign="center" o:hrstd="t" o:hr="t"/>
        </w:pict>
      </w:r>
    </w:p>
    <w:bookmarkEnd w:id="39"/>
    <w:bookmarkStart w:id="40" w:name="确定性训练与可复现性把可复现作为统计结论的前提条件"/>
    <w:p>
      <w:pPr>
        <w:pStyle w:val="Heading2"/>
      </w:pPr>
      <w:r>
        <w:t xml:space="preserve">4.8 确定性训练与可复现性：把“可复现”作为统计结论的前提条件</w:t>
      </w:r>
    </w:p>
    <w:p>
      <w:pPr>
        <w:pStyle w:val="FirstParagraph"/>
      </w:pPr>
      <w:r>
        <w:t xml:space="preserve">PyTorch 对随机性来源、种子控制、确定性算法开关与相关限制给出明确说明，并提供</w:t>
      </w:r>
      <w:r>
        <w:t xml:space="preserve"> </w:t>
      </w:r>
      <w:r>
        <w:rPr>
          <w:rStyle w:val="VerbatimChar"/>
        </w:rPr>
        <w:t xml:space="preserve">torch.use_deterministic_algorithms</w:t>
      </w:r>
      <w:r>
        <w:t xml:space="preserve"> </w:t>
      </w:r>
      <w:r>
        <w:t xml:space="preserve">作为约束入口。</w:t>
      </w:r>
    </w:p>
    <w:p>
      <w:r>
        <w:pict>
          <v:rect style="width:0;height:1.5pt" o:hralign="center" o:hrstd="t" o:hr="t"/>
        </w:pict>
      </w:r>
    </w:p>
    <w:bookmarkEnd w:id="40"/>
    <w:bookmarkStart w:id="44" w:name="理论命题到实证设计的映射建议直接写入论文并作为第6章检查清单"/>
    <w:p>
      <w:pPr>
        <w:pStyle w:val="Heading2"/>
      </w:pPr>
      <w:r>
        <w:t xml:space="preserve">4.9 理论命题到实证设计的映射（建议直接写入论文并作为第6章检查清单）</w:t>
      </w:r>
    </w:p>
    <w:bookmarkStart w:id="41" w:name="命题-4.1评测一致性上界-负例验证"/>
    <w:p>
      <w:pPr>
        <w:pStyle w:val="Heading3"/>
      </w:pPr>
      <w:r>
        <w:t xml:space="preserve">4.9.1 命题 4.1（评测一致性上界）→ 负例验证</w:t>
      </w:r>
    </w:p>
    <w:p>
      <w:pPr>
        <w:pStyle w:val="FirstParagraph"/>
      </w:pPr>
      <w:r>
        <w:t xml:space="preserve">为了验证命题 4.1，我们在第 6 章设计了专门的“口径一致性消融实验”（见 6.3.2 节）。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正例（Consistent）</w:t>
      </w:r>
      <w:r>
        <w:t xml:space="preserve">：(DC</w:t>
      </w:r>
      <w:r>
        <w:t xml:space="preserve">H)（同实现、同 (</w:t>
      </w:r>
      <w:r>
        <w:rPr>
          <w:iCs/>
          <w:i/>
        </w:rPr>
        <w:t xml:space="preserve">{</w:t>
      </w:r>
      <w:r>
        <w:rPr>
          <w:iCs/>
          <w:i/>
        </w:rPr>
        <w:t xml:space="preserve">}=1.0)）。实验显示，在此设置下，EDSR 和 UNet 均达到了最高的 PSNR（64.75 dB / 48.95 dB）和最低的 (H</w:t>
      </w:r>
      <w:r>
        <w:t xml:space="preserve">{</w:t>
      </w:r>
      <w:r>
        <w:t xml:space="preserve">})。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负例（Mismatch）</w:t>
      </w:r>
      <w:r>
        <w:t xml:space="preserve">：故意错配退化参数（(</w:t>
      </w:r>
      <w:r>
        <w:rPr>
          <w:iCs/>
          <w:i/>
        </w:rPr>
        <w:t xml:space="preserve">{</w:t>
      </w:r>
      <w:r>
        <w:rPr>
          <w:iCs/>
          <w:i/>
        </w:rPr>
        <w:t xml:space="preserve">}^{</w:t>
      </w:r>
      <w:r>
        <w:rPr>
          <w:iCs/>
          <w:i/>
        </w:rPr>
        <w:t xml:space="preserve">}=2.0</w:t>
      </w:r>
      <w:r>
        <w:rPr>
          <w:iCs/>
          <w:i/>
        </w:rPr>
        <w:t xml:space="preserve"> </w:t>
      </w:r>
      <w:r>
        <w:t xml:space="preserve">{</w:t>
      </w:r>
      <w:r>
        <w:t xml:space="preserve">}^{</w:t>
      </w:r>
      <w:r>
        <w:t xml:space="preserve">}=1.0)）。实验结果表明，尽管 Rel-L2 变化不大，但 (H_{</w:t>
      </w:r>
      <w:r>
        <w:t xml:space="preserve">}) 激增 30% 以上，且 PSNR 显著下降（-0.8 ~ -1.1 dB），证实了“口径错配导致理论上界失效”的推论。</w:t>
      </w:r>
    </w:p>
    <w:bookmarkEnd w:id="41"/>
    <w:bookmarkStart w:id="42" w:name="低频谱一致性有效性-稳定性曲线而非单点胜负"/>
    <w:p>
      <w:pPr>
        <w:pStyle w:val="Heading3"/>
      </w:pPr>
      <w:r>
        <w:t xml:space="preserve">4.9.2 低频谱一致性有效性 → 稳定性曲线而非单点胜负</w:t>
      </w:r>
    </w:p>
    <w:p>
      <w:pPr>
        <w:pStyle w:val="FirstParagraph"/>
      </w:pPr>
      <w:r>
        <w:t xml:space="preserve">扫描 (K_{</w:t>
      </w:r>
      <w:r>
        <w:t xml:space="preserve">}</w:t>
      </w:r>
      <w:r>
        <w:t xml:space="preserve">) 与 (</w:t>
      </w:r>
      <w:r>
        <w:rPr>
          <w:iCs/>
          <w:i/>
        </w:rPr>
        <w:t xml:space="preserve">s)，同时报告 Rel-L2、低频谱误差、(H</w:t>
      </w:r>
      <w:r>
        <w:t xml:space="preserve">{</w:t>
      </w:r>
      <w:r>
        <w:t xml:space="preserve">})。</w:t>
      </w:r>
    </w:p>
    <w:bookmarkEnd w:id="42"/>
    <w:bookmarkStart w:id="43" w:name="抗混叠口径的必要性-频谱折叠可视化与误差归因"/>
    <w:p>
      <w:pPr>
        <w:pStyle w:val="Heading3"/>
      </w:pPr>
      <w:r>
        <w:t xml:space="preserve">4.9.3 抗混叠口径的必要性 → 频谱折叠可视化与误差归因</w:t>
      </w:r>
    </w:p>
    <w:p>
      <w:pPr>
        <w:pStyle w:val="FirstParagraph"/>
      </w:pPr>
      <w:r>
        <w:t xml:space="preserve">对比</w:t>
      </w:r>
      <w:r>
        <w:t xml:space="preserve"> </w:t>
      </w:r>
      <w:r>
        <w:t xml:space="preserve">“</w:t>
      </w:r>
      <w:r>
        <w:t xml:space="preserve">无预滤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Gaussian 预滤 +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缩小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本章小结"/>
    <w:p>
      <w:pPr>
        <w:pStyle w:val="Heading2"/>
      </w:pPr>
      <w:r>
        <w:t xml:space="preserve">4.10 本章小结</w:t>
      </w:r>
    </w:p>
    <w:p>
      <w:pPr>
        <w:numPr>
          <w:ilvl w:val="0"/>
          <w:numId w:val="1007"/>
        </w:numPr>
        <w:pStyle w:val="Compact"/>
      </w:pPr>
      <w:r>
        <w:t xml:space="preserve">当 (DC</w:t>
      </w:r>
      <w:r>
        <w:t xml:space="preserve">H) 时，评测口径误差 (H_{</w:t>
      </w:r>
      <w:r>
        <w:t xml:space="preserve">}) 可由重建误差上界控制（命题 4.1），从机制上抑制指标断裂。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低频谱一致性 (L_{</w:t>
      </w:r>
      <w:r>
        <w:t xml:space="preserve">}) 以工程可审计方式锁定主导模态，缓解谱偏置引发的宏观漂移与振铃扩散。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跨网格鲁棒性受离散化别名影响，ReNO 等工作将 alias-free/representation-equivalent 作为关键议题；本文通过“口径统一 + 抗混叠 + 低频谱约束 + 敏感性实验”把该议题转化为可检验的实证协议。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可复现性是统计结论的前提；PyTorch 文档提供确定性训练的可核验约束入口。</w:t>
      </w:r>
    </w:p>
    <w:p>
      <w:r>
        <w:pict>
          <v:rect style="width:0;height:1.5pt" o:hralign="center" o:hrstd="t" o:hr="t"/>
        </w:pict>
      </w:r>
    </w:p>
    <w:bookmarkEnd w:id="45"/>
    <w:bookmarkStart w:id="46" w:name="参考文献apa已核验可追溯入口"/>
    <w:p>
      <w:pPr>
        <w:pStyle w:val="Heading2"/>
      </w:pPr>
      <w:r>
        <w:t xml:space="preserve">参考文献（APA｜已核验可追溯入口）</w:t>
      </w:r>
    </w:p>
    <w:p>
      <w:pPr>
        <w:numPr>
          <w:ilvl w:val="0"/>
          <w:numId w:val="1008"/>
        </w:numPr>
        <w:pStyle w:val="Compact"/>
      </w:pPr>
      <w:r>
        <w:t xml:space="preserve">Kovachki, N., Li, Z., Liu, B., Azizzadenesheli, K., Bhattacharya, K., Stuart, A. M., &amp; Anandkumar, A. (2023).</w:t>
      </w:r>
      <w:r>
        <w:t xml:space="preserve"> </w:t>
      </w:r>
      <w:r>
        <w:rPr>
          <w:iCs/>
          <w:i/>
        </w:rPr>
        <w:t xml:space="preserve">Neural operator: Learning maps between function spaces with applications to PDEs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Machine Learning Research, 24</w:t>
      </w:r>
      <w:r>
        <w:t xml:space="preserve">(89), 1–97.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Li, Z., Kovachki, N., Azizzadenesheli, K., Liu, B., Bhattacharya, K., Stuart, A., &amp; Anandkumar, A. (2021).</w:t>
      </w:r>
      <w:r>
        <w:t xml:space="preserve"> </w:t>
      </w:r>
      <w:r>
        <w:rPr>
          <w:iCs/>
          <w:i/>
        </w:rPr>
        <w:t xml:space="preserve">Fourier Neural Operator for Parametric Partial Differential Equations</w:t>
      </w:r>
      <w:r>
        <w:t xml:space="preserve">. ICLR (OpenReview) / arXiv.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Bartolucci, F., de Bézenac, E., Raonić, B., Molinaro, R., Mishra, S., &amp; Alaifari, R. (2023).</w:t>
      </w:r>
      <w:r>
        <w:t xml:space="preserve"> </w:t>
      </w:r>
      <w:r>
        <w:rPr>
          <w:iCs/>
          <w:i/>
        </w:rPr>
        <w:t xml:space="preserve">Representation Equivalent Neural Operators: A framework for alias-free operator learning</w:t>
      </w:r>
      <w:r>
        <w:t xml:space="preserve">. arXiv:2305.19913.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Geometric Image Transformations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resize</w:t>
      </w:r>
      <w:r>
        <w:rPr>
          <w:iCs/>
          <w:i/>
        </w:rPr>
        <w:t xml:space="preserve"> </w:t>
      </w:r>
      <w:r>
        <w:rPr>
          <w:iCs/>
          <w:i/>
        </w:rPr>
        <w:t xml:space="preserve">interpolation (recommendation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INTER_AREA</w:t>
      </w:r>
      <w:r>
        <w:rPr>
          <w:iCs/>
          <w:i/>
        </w:rPr>
        <w:t xml:space="preserve"> </w:t>
      </w:r>
      <w:r>
        <w:rPr>
          <w:iCs/>
          <w:i/>
        </w:rPr>
        <w:t xml:space="preserve">for shrinking)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OpenCV Documentation.</w:t>
      </w:r>
      <w:r>
        <w:t xml:space="preserve"> </w:t>
      </w:r>
      <w:r>
        <w:rPr>
          <w:iCs/>
          <w:i/>
        </w:rPr>
        <w:t xml:space="preserve">Image Filtering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GaussianBlur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reference (ksize, sigma, borderType)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Odena, A., Dumoulin, V., &amp; Olah, C. (2016).</w:t>
      </w:r>
      <w:r>
        <w:t xml:space="preserve"> </w:t>
      </w:r>
      <w:r>
        <w:rPr>
          <w:iCs/>
          <w:i/>
        </w:rPr>
        <w:t xml:space="preserve">Deconvolution and Checkerboard Artifacts</w:t>
      </w:r>
      <w:r>
        <w:t xml:space="preserve">.</w:t>
      </w:r>
      <w:r>
        <w:t xml:space="preserve"> </w:t>
      </w:r>
      <w:r>
        <w:rPr>
          <w:iCs/>
          <w:i/>
        </w:rPr>
        <w:t xml:space="preserve">Distill</w:t>
      </w:r>
      <w:r>
        <w:t xml:space="preserve">. DOI: 10.23915/distill.00003.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PyTorch Documentation.</w:t>
      </w:r>
      <w:r>
        <w:t xml:space="preserve"> </w:t>
      </w:r>
      <w:r>
        <w:rPr>
          <w:iCs/>
          <w:i/>
        </w:rPr>
        <w:t xml:space="preserve">Reproducibility / Randomness Notes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PyTorch Documentation.</w:t>
      </w:r>
      <w:r>
        <w:t xml:space="preserve"> </w:t>
      </w:r>
      <w:r>
        <w:rPr>
          <w:rStyle w:val="VerbatimChar"/>
          <w:iCs/>
          <w:i/>
        </w:rPr>
        <w:t xml:space="preserve">torch.use_deterministic_algorithms</w:t>
      </w:r>
      <w:r>
        <w:rPr>
          <w:iCs/>
          <w:i/>
        </w:rPr>
        <w:t xml:space="preserve"> </w:t>
      </w:r>
      <w:r>
        <w:rPr>
          <w:iCs/>
          <w:i/>
        </w:rPr>
        <w:t xml:space="preserve">API reference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Neural Networks (2024).</w:t>
      </w:r>
      <w:r>
        <w:t xml:space="preserve"> </w:t>
      </w:r>
      <w:r>
        <w:rPr>
          <w:iCs/>
          <w:i/>
        </w:rPr>
        <w:t xml:space="preserve">Diminishing spectral bias in physics-informed neural networks using adaptive Fourier encoding policy</w:t>
      </w:r>
      <w:r>
        <w:t xml:space="preserve">. (DOI: 10.1016/j.neunet.2024.106886).</w:t>
      </w:r>
    </w:p>
    <w:bookmarkEnd w:id="46"/>
    <w:bookmarkEnd w:id="47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2026-01-17T17:20:18Z</dcterms:created>
  <dcterms:modified xsi:type="dcterms:W3CDTF">2026-01-17T17:20:18Z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