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下面给出</w:t>
      </w:r>
      <w:r>
        <w:rPr>
          <w:bCs/>
          <w:b/>
        </w:rPr>
        <w:t xml:space="preserve">已核实并增强连贯性</w:t>
      </w:r>
      <w:r>
        <w:t xml:space="preserve">的第6章（可直接复制进论文的</w:t>
      </w:r>
      <w:r>
        <w:t xml:space="preserve"> </w:t>
      </w:r>
      <w:r>
        <w:rPr>
          <w:bCs/>
          <w:b/>
        </w:rPr>
        <w:t xml:space="preserve">Markdown</w:t>
      </w:r>
      <w:r>
        <w:t xml:space="preserve">）。我对你原稿做了这些关键修订：</w:t>
      </w:r>
    </w:p>
    <w:p>
      <w:pPr>
        <w:numPr>
          <w:ilvl w:val="0"/>
          <w:numId w:val="1001"/>
        </w:numPr>
        <w:pStyle w:val="Compact"/>
      </w:pPr>
      <w:r>
        <w:rPr>
          <w:bCs/>
          <w:b/>
        </w:rPr>
        <w:t xml:space="preserve">口径统一更严格</w:t>
      </w:r>
      <w:r>
        <w:t xml:space="preserve">：把</w:t>
      </w:r>
      <w:r>
        <w:t xml:space="preserve"> </w:t>
      </w:r>
      <w:r>
        <w:rPr>
          <w:rStyle w:val="VerbatimChar"/>
        </w:rPr>
        <w:t xml:space="preserve">H_err</w:t>
      </w:r>
      <w:r>
        <w:t xml:space="preserve"> </w:t>
      </w:r>
      <w:r>
        <w:t xml:space="preserve">明确为</w:t>
      </w:r>
      <w:r>
        <w:t xml:space="preserve"> </w:t>
      </w:r>
      <w:r>
        <w:rPr>
          <w:rStyle w:val="VerbatimChar"/>
        </w:rPr>
        <w:t xml:space="preserve">||H(\tilde u)-y||</w:t>
      </w:r>
      <w:r>
        <w:t xml:space="preserve">（在</w:t>
      </w:r>
      <w:r>
        <w:rPr>
          <w:bCs/>
          <w:b/>
        </w:rPr>
        <w:t xml:space="preserve">原值域</w:t>
      </w:r>
      <w:r>
        <w:t xml:space="preserve">计算），并与第3–5章符号一致。</w:t>
      </w:r>
    </w:p>
    <w:p>
      <w:pPr>
        <w:numPr>
          <w:ilvl w:val="0"/>
          <w:numId w:val="1001"/>
        </w:numPr>
        <w:pStyle w:val="Compact"/>
      </w:pPr>
      <w:r>
        <w:rPr>
          <w:bCs/>
          <w:b/>
        </w:rPr>
        <w:t xml:space="preserve">指标定义补全</w:t>
      </w:r>
      <w:r>
        <w:t xml:space="preserve">：补齐</w:t>
      </w:r>
      <w:r>
        <w:t xml:space="preserve"> </w:t>
      </w:r>
      <w:r>
        <w:rPr>
          <w:rStyle w:val="VerbatimChar"/>
        </w:rPr>
        <w:t xml:space="preserve">fRMSE-low/mid/high、bRMSE、cRMSE</w:t>
      </w:r>
      <w:r>
        <w:t xml:space="preserve"> </w:t>
      </w:r>
      <w:r>
        <w:t xml:space="preserve">的可复现定义（否则第6章会“只列指标不落地”）。</w:t>
      </w:r>
    </w:p>
    <w:p>
      <w:pPr>
        <w:numPr>
          <w:ilvl w:val="0"/>
          <w:numId w:val="1001"/>
        </w:numPr>
        <w:pStyle w:val="Compact"/>
      </w:pPr>
      <w:r>
        <w:rPr>
          <w:bCs/>
          <w:b/>
        </w:rPr>
        <w:t xml:space="preserve">实验可审计</w:t>
      </w:r>
      <w:r>
        <w:t xml:space="preserve">：补齐“对比方法/消融/课程/资源统计”的</w:t>
      </w:r>
      <w:r>
        <w:rPr>
          <w:bCs/>
          <w:b/>
        </w:rPr>
        <w:t xml:space="preserve">必须声明项</w:t>
      </w:r>
      <w:r>
        <w:t xml:space="preserve">与建议表格骨架（你填入数值即可）。</w:t>
      </w:r>
    </w:p>
    <w:p>
      <w:pPr>
        <w:numPr>
          <w:ilvl w:val="0"/>
          <w:numId w:val="1001"/>
        </w:numPr>
        <w:pStyle w:val="Compact"/>
      </w:pPr>
      <w:r>
        <w:rPr>
          <w:bCs/>
          <w:b/>
        </w:rPr>
        <w:t xml:space="preserve">引用核实与纠错</w:t>
      </w:r>
      <w:r>
        <w:t xml:space="preserve">：将 PDEBench 的</w:t>
      </w:r>
      <w:r>
        <w:rPr>
          <w:bCs/>
          <w:b/>
        </w:rPr>
        <w:t xml:space="preserve">数据集 DOI</w:t>
      </w:r>
      <w:r>
        <w:t xml:space="preserve">与</w:t>
      </w:r>
      <w:r>
        <w:rPr>
          <w:bCs/>
          <w:b/>
        </w:rPr>
        <w:t xml:space="preserve">论文入口</w:t>
      </w:r>
      <w:r>
        <w:t xml:space="preserve">分开引用；修正 PyTorch 引用为稳定入口（去掉</w:t>
      </w:r>
      <w:r>
        <w:t xml:space="preserve"> </w:t>
      </w:r>
      <w:r>
        <w:rPr>
          <w:rStyle w:val="VerbatimChar"/>
        </w:rPr>
        <w:t xml:space="preserve">utm_source</w:t>
      </w:r>
      <w:r>
        <w:t xml:space="preserve">）；补齐 SSIM 的 DOI；Student(1908) 的 DOI 已核实。</w:t>
      </w:r>
    </w:p>
    <w:p>
      <w:r>
        <w:pict>
          <v:rect style="width:0;height:1.5pt" o:hralign="center" o:hrstd="t" o:hr="t"/>
        </w:pict>
      </w:r>
    </w:p>
    <w:bookmarkStart w:id="68" w:name="第6章-实验结果与分析核实修订版口径一致指标可复现引用可追溯"/>
    <w:p>
      <w:pPr>
        <w:pStyle w:val="Heading1"/>
      </w:pPr>
      <w:r>
        <w:t xml:space="preserve">第6章 实验结果与分析（核实修订版｜口径一致、指标可复现、引用可追溯）</w:t>
      </w:r>
    </w:p>
    <w:p>
      <w:pPr>
        <w:pStyle w:val="BlockText"/>
      </w:pPr>
      <w:r>
        <w:t xml:space="preserve">本章在第3–5章提出的“</w:t>
      </w:r>
      <w:r>
        <w:rPr>
          <w:bCs/>
          <w:b/>
        </w:rPr>
        <w:t xml:space="preserve">统一观测口径（H/DC 同源复用）+ 三件套损失（(L_{</w:t>
      </w:r>
      <w:r>
        <w:rPr>
          <w:bCs/>
          <w:b/>
        </w:rPr>
        <w:t xml:space="preserve">}+</w:t>
      </w:r>
      <w:r>
        <w:rPr>
          <w:iCs/>
          <w:i/>
          <w:bCs/>
          <w:b/>
        </w:rPr>
        <w:t xml:space="preserve">s L</w:t>
      </w:r>
      <w:r>
        <w:rPr>
          <w:bCs/>
          <w:b/>
        </w:rPr>
        <w:t xml:space="preserve">{</w:t>
      </w:r>
      <w:r>
        <w:rPr>
          <w:bCs/>
          <w:b/>
        </w:rPr>
        <w:t xml:space="preserve">}+</w:t>
      </w:r>
      <w:r>
        <w:rPr>
          <w:iCs/>
          <w:i/>
          <w:bCs/>
          <w:b/>
        </w:rPr>
        <w:t xml:space="preserve">{dc}L</w:t>
      </w:r>
      <w:r>
        <w:rPr>
          <w:bCs/>
          <w:b/>
        </w:rPr>
        <w:t xml:space="preserve">{</w:t>
      </w:r>
      <w:r>
        <w:rPr>
          <w:bCs/>
          <w:b/>
        </w:rPr>
        <w:t xml:space="preserve">})）+ 确定性训练闭环</w:t>
      </w:r>
      <w:r>
        <w:t xml:space="preserve">”框架下，系统评估稀疏观测驱动的时空场重建性能，并从</w:t>
      </w:r>
      <w:r>
        <w:rPr>
          <w:bCs/>
          <w:b/>
        </w:rPr>
        <w:t xml:space="preserve">主结果—消融—可视化—资源—统计显著性</w:t>
      </w:r>
      <w:r>
        <w:t xml:space="preserve">五个层面给出可审计证据链。</w:t>
      </w:r>
      <w:r>
        <w:t xml:space="preserve"> </w:t>
      </w:r>
      <w:r>
        <w:t xml:space="preserve">为避免“训练口径与评测口径不一致”导致的指标断裂，本章所有实验均执行：</w:t>
      </w:r>
      <w:r>
        <w:t xml:space="preserve"> </w:t>
      </w:r>
      <w:r>
        <w:t xml:space="preserve">[</w:t>
      </w:r>
      <w:r>
        <w:t xml:space="preserve"> </w:t>
      </w:r>
      <w:r>
        <w:t xml:space="preserve">H</w:t>
      </w:r>
      <w:r>
        <w:t xml:space="preserve">.]</w:t>
      </w:r>
    </w:p>
    <w:p>
      <w:pPr>
        <w:pStyle w:val="FirstParagraph"/>
      </w:pPr>
      <w:r>
        <w:t xml:space="preserve">承接第5章的算法设计与工程实现，本章将正式进入实验验证环节。首先，我们将详细介绍实验设置，包括数据集、基线模型与评测指标（6.1节）；随后展示主实验结果，验证所提方法在统一口径下的整体有效性（6.2节）；接着通过消融实验，逐一验证三件套损失与序列化训练策略的贡献（6.3节）；最后通过定性可视化与资源成本分析，提供更直观的性能画像（6.4-6.5节）。</w:t>
      </w:r>
    </w:p>
    <w:p>
      <w:r>
        <w:pict>
          <v:rect style="width:0;height:1.5pt" o:hralign="center" o:hrstd="t" o:hr="t"/>
        </w:pict>
      </w:r>
    </w:p>
    <w:bookmarkStart w:id="32" w:name="实验设置"/>
    <w:p>
      <w:pPr>
        <w:pStyle w:val="Heading2"/>
      </w:pPr>
      <w:r>
        <w:t xml:space="preserve">6.1 实验设置</w:t>
      </w:r>
    </w:p>
    <w:bookmarkStart w:id="20" w:name="数据集与任务设定pdebench"/>
    <w:p>
      <w:pPr>
        <w:pStyle w:val="Heading3"/>
      </w:pPr>
      <w:r>
        <w:t xml:space="preserve">6.1.1 数据集与任务设定（PDEBench）</w:t>
      </w:r>
    </w:p>
    <w:p>
      <w:pPr>
        <w:numPr>
          <w:ilvl w:val="0"/>
          <w:numId w:val="1002"/>
        </w:numPr>
        <w:pStyle w:val="Compact"/>
      </w:pPr>
      <w:r>
        <w:rPr>
          <w:bCs/>
          <w:b/>
        </w:rPr>
        <w:t xml:space="preserve">数据来源</w:t>
      </w:r>
      <w:r>
        <w:t xml:space="preserve">：采用 PDEBench 基准数据集与其公开数据发布入口。本研究具体选用了以下两个具有代表性的 PDE 子集进行实验：</w:t>
      </w:r>
    </w:p>
    <w:p>
      <w:pPr>
        <w:numPr>
          <w:ilvl w:val="1"/>
          <w:numId w:val="1003"/>
        </w:numPr>
        <w:pStyle w:val="Compact"/>
      </w:pPr>
      <w:r>
        <w:rPr>
          <w:bCs/>
          <w:b/>
        </w:rPr>
        <w:t xml:space="preserve">2D Diffusion-Reaction Equation (2D-Diff-React)</w:t>
      </w:r>
      <w:r>
        <w:t xml:space="preserve">: 描述了扩散与化学反应的耦合过程，具有复杂的非线性动力学特征。</w:t>
      </w:r>
    </w:p>
    <w:p>
      <w:pPr>
        <w:numPr>
          <w:ilvl w:val="2"/>
          <w:numId w:val="1004"/>
        </w:numPr>
        <w:pStyle w:val="Compact"/>
      </w:pPr>
      <w:r>
        <w:t xml:space="preserve">分辨率：</w:t>
      </w:r>
      <m:oMath>
        <m:r>
          <m:t>128</m:t>
        </m:r>
        <m:r>
          <m:rPr>
            <m:sty m:val="p"/>
          </m:rPr>
          <m:t>×</m:t>
        </m:r>
        <m:r>
          <m:t>128</m:t>
        </m:r>
      </m:oMath>
    </w:p>
    <w:p>
      <w:pPr>
        <w:numPr>
          <w:ilvl w:val="2"/>
          <w:numId w:val="1004"/>
        </w:numPr>
        <w:pStyle w:val="Compact"/>
      </w:pPr>
      <w:r>
        <w:t xml:space="preserve">物理量：</w:t>
      </w:r>
      <m:oMath>
        <m:r>
          <m:t>u</m:t>
        </m:r>
        <m:d>
          <m:dPr>
            <m:begChr m:val="("/>
            <m:endChr m:val=")"/>
            <m:sepChr m:val=""/>
            <m:grow/>
          </m:dPr>
          <m:e>
            <m:r>
              <m:t>x</m:t>
            </m:r>
            <m:r>
              <m:rPr>
                <m:sty m:val="p"/>
              </m:rPr>
              <m:t>,</m:t>
            </m:r>
            <m:r>
              <m:t>y</m:t>
            </m:r>
            <m:r>
              <m:rPr>
                <m:sty m:val="p"/>
              </m:rPr>
              <m:t>,</m:t>
            </m:r>
            <m:r>
              <m:t>t</m:t>
            </m:r>
          </m:e>
        </m:d>
      </m:oMath>
      <w:r>
        <w:t xml:space="preserve"> </w:t>
      </w:r>
      <w:r>
        <w:t xml:space="preserve">(标量场)</w:t>
      </w:r>
    </w:p>
    <w:p>
      <w:pPr>
        <w:numPr>
          <w:ilvl w:val="2"/>
          <w:numId w:val="1004"/>
        </w:numPr>
        <w:pStyle w:val="Compact"/>
      </w:pPr>
      <w:r>
        <w:t xml:space="preserve">参数设置：扩散系数</w:t>
      </w:r>
      <w:r>
        <w:t xml:space="preserve"> </w:t>
      </w:r>
      <m:oMath>
        <m:r>
          <m:t>D</m:t>
        </m:r>
        <m:r>
          <m:rPr>
            <m:sty m:val="p"/>
          </m:rPr>
          <m:t>∈</m:t>
        </m:r>
        <m:d>
          <m:dPr>
            <m:begChr m:val="["/>
            <m:endChr m:val="]"/>
            <m:sepChr m:val=""/>
            <m:grow/>
          </m:dPr>
          <m:e>
            <m:r>
              <m:t>0.01</m:t>
            </m:r>
            <m:r>
              <m:rPr>
                <m:sty m:val="p"/>
              </m:rPr>
              <m:t>,</m:t>
            </m:r>
            <m:r>
              <m:t>0.2</m:t>
            </m:r>
          </m:e>
        </m:d>
      </m:oMath>
      <w:r>
        <w:t xml:space="preserve">，反应速率</w:t>
      </w:r>
      <w:r>
        <w:t xml:space="preserve"> </w:t>
      </w:r>
      <m:oMath>
        <m:r>
          <m:t>k</m:t>
        </m:r>
        <m:r>
          <m:rPr>
            <m:sty m:val="p"/>
          </m:rPr>
          <m:t>∈</m:t>
        </m:r>
        <m:d>
          <m:dPr>
            <m:begChr m:val="["/>
            <m:endChr m:val="]"/>
            <m:sepChr m:val=""/>
            <m:grow/>
          </m:dPr>
          <m:e>
            <m:r>
              <m:t>0.01</m:t>
            </m:r>
            <m:r>
              <m:rPr>
                <m:sty m:val="p"/>
              </m:rPr>
              <m:t>,</m:t>
            </m:r>
            <m:r>
              <m:t>1.0</m:t>
            </m:r>
          </m:e>
        </m:d>
      </m:oMath>
      <w:r>
        <w:t xml:space="preserve">。</w:t>
      </w:r>
    </w:p>
    <w:p>
      <w:pPr>
        <w:numPr>
          <w:ilvl w:val="1"/>
          <w:numId w:val="1003"/>
        </w:numPr>
        <w:pStyle w:val="Compact"/>
      </w:pPr>
      <w:r>
        <w:rPr>
          <w:bCs/>
          <w:b/>
        </w:rPr>
        <w:t xml:space="preserve">2D Darcy Flow</w:t>
      </w:r>
      <w:r>
        <w:t xml:space="preserve">: 描述多孔介质中的流体流动，常用于验证稳态问题的求解能力。</w:t>
      </w:r>
    </w:p>
    <w:p>
      <w:pPr>
        <w:numPr>
          <w:ilvl w:val="2"/>
          <w:numId w:val="1005"/>
        </w:numPr>
        <w:pStyle w:val="Compact"/>
      </w:pPr>
      <w:r>
        <w:t xml:space="preserve">分辨率：</w:t>
      </w:r>
      <m:oMath>
        <m:r>
          <m:t>128</m:t>
        </m:r>
        <m:r>
          <m:rPr>
            <m:sty m:val="p"/>
          </m:rPr>
          <m:t>×</m:t>
        </m:r>
        <m:r>
          <m:t>128</m:t>
        </m:r>
      </m:oMath>
    </w:p>
    <w:p>
      <w:pPr>
        <w:numPr>
          <w:ilvl w:val="2"/>
          <w:numId w:val="1005"/>
        </w:numPr>
        <w:pStyle w:val="Compact"/>
      </w:pPr>
      <w:r>
        <w:t xml:space="preserve">物理量：渗透率</w:t>
      </w:r>
      <w:r>
        <w:t xml:space="preserve"> </w:t>
      </w:r>
      <m:oMath>
        <m:r>
          <m:t>a</m:t>
        </m:r>
        <m:d>
          <m:dPr>
            <m:begChr m:val="("/>
            <m:endChr m:val=")"/>
            <m:sepChr m:val=""/>
            <m:grow/>
          </m:dPr>
          <m:e>
            <m:r>
              <m:t>x</m:t>
            </m:r>
            <m:r>
              <m:rPr>
                <m:sty m:val="p"/>
              </m:rPr>
              <m:t>,</m:t>
            </m:r>
            <m:r>
              <m:t>y</m:t>
            </m:r>
          </m:e>
        </m:d>
      </m:oMath>
      <w:r>
        <w:t xml:space="preserve"> </w:t>
      </w:r>
      <w:r>
        <w:t xml:space="preserve">(输入) 与 压力</w:t>
      </w:r>
      <w:r>
        <w:t xml:space="preserve"> </w:t>
      </w:r>
      <m:oMath>
        <m:r>
          <m:t>u</m:t>
        </m:r>
        <m:d>
          <m:dPr>
            <m:begChr m:val="("/>
            <m:endChr m:val=")"/>
            <m:sepChr m:val=""/>
            <m:grow/>
          </m:dPr>
          <m:e>
            <m:r>
              <m:t>x</m:t>
            </m:r>
            <m:r>
              <m:rPr>
                <m:sty m:val="p"/>
              </m:rPr>
              <m:t>,</m:t>
            </m:r>
            <m:r>
              <m:t>y</m:t>
            </m:r>
          </m:e>
        </m:d>
      </m:oMath>
      <w:r>
        <w:t xml:space="preserve"> </w:t>
      </w:r>
      <w:r>
        <w:t xml:space="preserve">(输出)</w:t>
      </w:r>
    </w:p>
    <w:p>
      <w:pPr>
        <w:numPr>
          <w:ilvl w:val="2"/>
          <w:numId w:val="1005"/>
        </w:numPr>
        <w:pStyle w:val="Compact"/>
      </w:pPr>
      <w:r>
        <w:t xml:space="preserve">边界条件：Dirichlet 边界条件。</w:t>
      </w:r>
    </w:p>
    <w:p>
      <w:pPr>
        <w:numPr>
          <w:ilvl w:val="0"/>
          <w:numId w:val="1002"/>
        </w:numPr>
        <w:pStyle w:val="Compact"/>
      </w:pPr>
      <w:r>
        <w:rPr>
          <w:bCs/>
          <w:b/>
        </w:rPr>
        <w:t xml:space="preserve">数据发布与可复用性</w:t>
      </w:r>
      <w:r>
        <w:t xml:space="preserve">：PDEBench 数据集以 DOI 形式发布，满足可追溯引用与可复现实验的基本条件（见参考文献）。</w:t>
      </w:r>
    </w:p>
    <w:p>
      <w:r>
        <w:pict>
          <v:rect style="width:0;height:1.5pt" o:hralign="center" o:hrstd="t" o:hr="t"/>
        </w:pict>
      </w:r>
    </w:p>
    <w:bookmarkEnd w:id="20"/>
    <w:bookmarkStart w:id="21" w:name="训练验证测试切分与标准化"/>
    <w:p>
      <w:pPr>
        <w:pStyle w:val="Heading3"/>
      </w:pPr>
      <w:r>
        <w:t xml:space="preserve">6.1.2 训练/验证/测试切分与标准化</w:t>
      </w:r>
    </w:p>
    <w:p>
      <w:pPr>
        <w:numPr>
          <w:ilvl w:val="0"/>
          <w:numId w:val="1006"/>
        </w:numPr>
        <w:pStyle w:val="Compact"/>
      </w:pPr>
      <w:r>
        <w:rPr>
          <w:bCs/>
          <w:b/>
        </w:rPr>
        <w:t xml:space="preserve">固定切分</w:t>
      </w:r>
      <w:r>
        <w:t xml:space="preserve">：使用固定文件</w:t>
      </w:r>
      <w:r>
        <w:t xml:space="preserve"> </w:t>
      </w:r>
      <w:r>
        <w:rPr>
          <w:rStyle w:val="VerbatimChar"/>
        </w:rPr>
        <w:t xml:space="preserve">splits/{train,val,test}.txt</w:t>
      </w:r>
      <w:r>
        <w:t xml:space="preserve"> </w:t>
      </w:r>
      <w:r>
        <w:t xml:space="preserve">确保跨实验横向对照公平。</w:t>
      </w:r>
    </w:p>
    <w:p>
      <w:pPr>
        <w:numPr>
          <w:ilvl w:val="0"/>
          <w:numId w:val="1006"/>
        </w:numPr>
        <w:pStyle w:val="Compact"/>
      </w:pPr>
      <w:r>
        <w:rPr>
          <w:bCs/>
          <w:b/>
        </w:rPr>
        <w:t xml:space="preserve">标准化（Normalization）</w:t>
      </w:r>
      <w:r>
        <w:t xml:space="preserve">：采用逐通道 z-score 标准化。从训练集计算统计量，产出</w:t>
      </w:r>
      <w:r>
        <w:t xml:space="preserve"> </w:t>
      </w:r>
      <w:r>
        <w:rPr>
          <w:rStyle w:val="VerbatimChar"/>
        </w:rPr>
        <w:t xml:space="preserve">norm_stat.npz</w:t>
      </w:r>
      <w:r>
        <w:t xml:space="preserve">（包含每通道 (</w:t>
      </w:r>
      <w:r>
        <w:t xml:space="preserve">,</w:t>
      </w:r>
      <w:r>
        <w:t xml:space="preserve">_z)），并在训练与评测中严格复用。</w:t>
      </w:r>
    </w:p>
    <w:p>
      <w:pPr>
        <w:numPr>
          <w:ilvl w:val="1"/>
          <w:numId w:val="1007"/>
        </w:numPr>
        <w:pStyle w:val="Compact"/>
      </w:pPr>
      <w:r>
        <w:t xml:space="preserve">真值（z-score 域）：(u^{(z)}=</w:t>
      </w:r>
      <w:r>
        <w:t xml:space="preserve">)</w:t>
      </w:r>
    </w:p>
    <w:p>
      <w:pPr>
        <w:numPr>
          <w:ilvl w:val="1"/>
          <w:numId w:val="1007"/>
        </w:numPr>
        <w:pStyle w:val="Compact"/>
      </w:pPr>
      <w:r>
        <w:t xml:space="preserve">预测（原值域）：(</w:t>
      </w:r>
      <w:r>
        <w:t xml:space="preserve">u=</w:t>
      </w:r>
      <w:r>
        <w:t xml:space="preserve">_z</w:t>
      </w:r>
      <w:r>
        <w:t xml:space="preserve"> </w:t>
      </w:r>
      <w:r>
        <w:t xml:space="preserve">u^{(z)}+</w:t>
      </w:r>
      <w:r>
        <w:t xml:space="preserve">)</w:t>
      </w:r>
    </w:p>
    <w:p>
      <w:r>
        <w:pict>
          <v:rect style="width:0;height:1.5pt" o:hralign="center" o:hrstd="t" o:hr="t"/>
        </w:pict>
      </w:r>
    </w:p>
    <w:bookmarkEnd w:id="21"/>
    <w:bookmarkStart w:id="22" w:name="观测生成与口径一致性门禁hdc-同源复用"/>
    <w:p>
      <w:pPr>
        <w:pStyle w:val="Heading3"/>
      </w:pPr>
      <w:r>
        <w:t xml:space="preserve">6.1.3 观测生成与口径一致性门禁（H/DC 同源复用）</w:t>
      </w:r>
    </w:p>
    <w:p>
      <w:pPr>
        <w:numPr>
          <w:ilvl w:val="0"/>
          <w:numId w:val="1008"/>
        </w:numPr>
        <w:pStyle w:val="Compact"/>
      </w:pPr>
      <w:r>
        <w:rPr>
          <w:bCs/>
          <w:b/>
        </w:rPr>
        <w:t xml:space="preserve">观测生成</w:t>
      </w:r>
      <w:r>
        <w:t xml:space="preserve">：对每个样本按统一观测算子生成观测：</w:t>
      </w:r>
      <w:r>
        <w:t xml:space="preserve"> </w:t>
      </w:r>
      <w:r>
        <w:t xml:space="preserve">[</w:t>
      </w:r>
      <w:r>
        <w:t xml:space="preserve"> </w:t>
      </w:r>
      <w:r>
        <w:t xml:space="preserve">y = H(u) + n.]</w:t>
      </w:r>
    </w:p>
    <w:p>
      <w:pPr>
        <w:numPr>
          <w:ilvl w:val="0"/>
          <w:numId w:val="1008"/>
        </w:numPr>
        <w:pStyle w:val="Compact"/>
      </w:pPr>
      <w:r>
        <w:rPr>
          <w:bCs/>
          <w:b/>
        </w:rPr>
        <w:t xml:space="preserve">训练退化</w:t>
      </w:r>
      <w:r>
        <w:t xml:space="preserve">：训练侧严格使用同一算子：</w:t>
      </w:r>
      <w:r>
        <w:t xml:space="preserve"> </w:t>
      </w:r>
      <w:r>
        <w:t xml:space="preserve">[</w:t>
      </w:r>
      <w:r>
        <w:t xml:space="preserve"> </w:t>
      </w:r>
      <w:r>
        <w:t xml:space="preserve">H.]</w:t>
      </w:r>
    </w:p>
    <w:p>
      <w:pPr>
        <w:numPr>
          <w:ilvl w:val="0"/>
          <w:numId w:val="1008"/>
        </w:numPr>
        <w:pStyle w:val="Compact"/>
      </w:pPr>
      <w:r>
        <w:rPr>
          <w:bCs/>
          <w:b/>
        </w:rPr>
        <w:t xml:space="preserve">一致性审计（阻断式）</w:t>
      </w:r>
      <w:r>
        <w:t xml:space="preserve">：训练开始前抽样 (N</w:t>
      </w:r>
      <w:r>
        <w:t xml:space="preserve">) 个样本执行：</w:t>
      </w:r>
      <w:r>
        <w:t xml:space="preserve"> </w:t>
      </w:r>
      <w:r>
        <w:t xml:space="preserve">[</w:t>
      </w:r>
      <w:r>
        <w:t xml:space="preserve"> </w:t>
      </w:r>
      <w:r>
        <w:t xml:space="preserve">(H(u),,</w:t>
      </w:r>
      <w:r>
        <w:t xml:space="preserve">(u)</w:t>
      </w:r>
      <w:r>
        <w:t xml:space="preserve">) &lt;</w:t>
      </w:r>
      <w:r>
        <w:t xml:space="preserve"> </w:t>
      </w:r>
      <w:r>
        <w:t xml:space="preserve">,</w:t>
      </w:r>
      <w:r>
        <w:t xml:space="preserve">^{-8},]</w:t>
      </w:r>
      <w:r>
        <w:t xml:space="preserve"> </w:t>
      </w:r>
      <w:r>
        <w:t xml:space="preserve">失败则终止实验并将差异（核大小/σ/插值/边界/对齐偏移）归档至：</w:t>
      </w:r>
      <w:r>
        <w:t xml:space="preserve"> </w:t>
      </w:r>
      <w:r>
        <w:rPr>
          <w:rStyle w:val="VerbatimChar"/>
        </w:rPr>
        <w:t xml:space="preserve">runs/&lt;exp&gt;/consistency_report.json</w:t>
      </w:r>
    </w:p>
    <w:p>
      <w:r>
        <w:pict>
          <v:rect style="width:0;height:1.5pt" o:hralign="center" o:hrstd="t" o:hr="t"/>
        </w:pict>
      </w:r>
    </w:p>
    <w:bookmarkEnd w:id="22"/>
    <w:bookmarkStart w:id="23" w:name="观测类型与课程策略sr-crop"/>
    <w:p>
      <w:pPr>
        <w:pStyle w:val="Heading3"/>
      </w:pPr>
      <w:r>
        <w:t xml:space="preserve">6.1.4 观测类型与课程策略（SR / Crop）</w:t>
      </w:r>
    </w:p>
    <w:p>
      <w:pPr>
        <w:pStyle w:val="FirstParagraph"/>
      </w:pPr>
      <w:r>
        <w:t xml:space="preserve">为覆盖典型稀疏观测情形，本章采用两类任务：</w:t>
      </w:r>
    </w:p>
    <w:p>
      <w:pPr>
        <w:numPr>
          <w:ilvl w:val="0"/>
          <w:numId w:val="1009"/>
        </w:numPr>
        <w:pStyle w:val="Compact"/>
      </w:pPr>
      <w:r>
        <w:rPr>
          <w:bCs/>
          <w:b/>
        </w:rPr>
        <w:t xml:space="preserve">SR (Super-Resolution)</w:t>
      </w:r>
      <w:r>
        <w:t xml:space="preserve">：</w:t>
      </w:r>
    </w:p>
    <w:p>
      <w:pPr>
        <w:pStyle w:val="Compact"/>
      </w:pPr>
      <m:oMathPara>
        <m:oMathParaPr>
          <m:jc m:val="center"/>
        </m:oMathParaPr>
        <m:oMath>
          <m:sSup>
            <m:e>
              <m:r>
                <m:t>y</m:t>
              </m:r>
            </m:e>
            <m:sup>
              <m:r>
                <m:rPr>
                  <m:sty m:val="p"/>
                </m:rPr>
                <m:t>S</m:t>
              </m:r>
              <m:r>
                <m:rPr>
                  <m:sty m:val="p"/>
                </m:rPr>
                <m:t>R</m:t>
              </m:r>
            </m:sup>
          </m:sSup>
          <m:r>
            <m:rPr>
              <m:sty m:val="p"/>
            </m:rPr>
            <m:t>=</m:t>
          </m:r>
          <m:sSub>
            <m:e>
              <m:r>
                <m:t>D</m:t>
              </m:r>
            </m:e>
            <m:sub>
              <m:r>
                <m:t>s</m:t>
              </m:r>
            </m:sub>
          </m:sSub>
          <m:d>
            <m:dPr>
              <m:begChr m:val="("/>
              <m:endChr m:val=")"/>
              <m:sepChr m:val=""/>
              <m:grow/>
            </m:dPr>
            <m:e>
              <m:sSub>
                <m:e>
                  <m:r>
                    <m:t>G</m:t>
                  </m:r>
                </m:e>
                <m:sub>
                  <m:sSub>
                    <m:e>
                      <m:r>
                        <m:t>σ</m:t>
                      </m:r>
                    </m:e>
                    <m:sub>
                      <m:r>
                        <m:rPr>
                          <m:sty m:val="p"/>
                        </m:rPr>
                        <m:t>b</m:t>
                      </m:r>
                      <m:r>
                        <m:rPr>
                          <m:sty m:val="p"/>
                        </m:rPr>
                        <m:t>l</m:t>
                      </m:r>
                      <m:r>
                        <m:rPr>
                          <m:sty m:val="p"/>
                        </m:rPr>
                        <m:t>u</m:t>
                      </m:r>
                      <m:r>
                        <m:rPr>
                          <m:sty m:val="p"/>
                        </m:rPr>
                        <m:t>r</m:t>
                      </m:r>
                    </m:sub>
                  </m:sSub>
                </m:sub>
              </m:sSub>
              <m:r>
                <m:rPr>
                  <m:sty m:val="p"/>
                </m:rPr>
                <m:t>*</m:t>
              </m:r>
              <m:r>
                <m:t>u</m:t>
              </m:r>
            </m:e>
          </m:d>
          <m:r>
            <m:rPr>
              <m:sty m:val="p"/>
            </m:rPr>
            <m:t>+</m:t>
          </m:r>
          <m:r>
            <m:t>n</m:t>
          </m:r>
          <m:r>
            <m:rPr>
              <m:sty m:val="p"/>
            </m:rPr>
            <m:t>.</m:t>
          </m:r>
        </m:oMath>
      </m:oMathPara>
    </w:p>
    <w:p>
      <w:pPr>
        <w:numPr>
          <w:ilvl w:val="0"/>
          <w:numId w:val="1009"/>
        </w:numPr>
        <w:pStyle w:val="Compact"/>
      </w:pPr>
      <w:r>
        <w:rPr>
          <w:bCs/>
          <w:b/>
        </w:rPr>
        <w:t xml:space="preserve">Crop（裁剪观测）</w:t>
      </w:r>
      <w:r>
        <w:t xml:space="preserve">：中心对齐裁剪并同步掩码</w:t>
      </w:r>
      <w:r>
        <w:t xml:space="preserve"> </w:t>
      </w:r>
      <w:r>
        <w:t xml:space="preserve">[</w:t>
      </w:r>
      <w:r>
        <w:t xml:space="preserve"> </w:t>
      </w:r>
      <w:r>
        <w:t xml:space="preserve">y^{</w:t>
      </w:r>
      <w:r>
        <w:t xml:space="preserve">}=C_{h_c,w_c}(u)+n.]</w:t>
      </w:r>
    </w:p>
    <w:p>
      <w:pPr>
        <w:pStyle w:val="FirstParagraph"/>
      </w:pPr>
      <w:r>
        <w:rPr>
          <w:bCs/>
          <w:b/>
        </w:rPr>
        <w:t xml:space="preserve">课程学习（curriculum）</w:t>
      </w:r>
      <w:r>
        <w:t xml:space="preserve">用于降低欠定程度的突变（与第4章动机一致）：</w:t>
      </w:r>
    </w:p>
    <w:p>
      <w:pPr>
        <w:numPr>
          <w:ilvl w:val="0"/>
          <w:numId w:val="1010"/>
        </w:numPr>
        <w:pStyle w:val="Compact"/>
      </w:pPr>
      <w:r>
        <w:t xml:space="preserve">SR：×2 → ×4（由弱欠定到强欠定）</w:t>
      </w:r>
    </w:p>
    <w:p>
      <w:pPr>
        <w:numPr>
          <w:ilvl w:val="0"/>
          <w:numId w:val="1010"/>
        </w:numPr>
        <w:pStyle w:val="Compact"/>
      </w:pPr>
      <w:r>
        <w:t xml:space="preserve">Crop：40% → 20% 可观测窗口（由大窗口到小窗口）</w:t>
      </w:r>
    </w:p>
    <w:p>
      <w:pPr>
        <w:pStyle w:val="BlockText"/>
      </w:pPr>
      <w:r>
        <w:t xml:space="preserve">课程切换点必须在日志中标注，并在第6章结果表中注明“阶段 A / 阶段 B”对应区间，否则读者无法判断提升来自算法还是来自任务难度变化。</w:t>
      </w:r>
    </w:p>
    <w:p>
      <w:r>
        <w:pict>
          <v:rect style="width:0;height:1.5pt" o:hralign="center" o:hrstd="t" o:hr="t"/>
        </w:pict>
      </w:r>
    </w:p>
    <w:bookmarkEnd w:id="23"/>
    <w:bookmarkStart w:id="24" w:name="模型与对比方法建议写成方法族-统一接口"/>
    <w:p>
      <w:pPr>
        <w:pStyle w:val="Heading3"/>
      </w:pPr>
      <w:r>
        <w:t xml:space="preserve">6.1.5 模型与对比方法（建议写成“方法族 + 统一接口”）</w:t>
      </w:r>
    </w:p>
    <w:p>
      <w:pPr>
        <w:pStyle w:val="FirstParagraph"/>
      </w:pPr>
      <w:r>
        <w:t xml:space="preserve">本章所有模型均遵循第5章统一接口：</w:t>
      </w:r>
      <w:r>
        <w:t xml:space="preserve"> </w:t>
      </w:r>
      <w:r>
        <w:t xml:space="preserve">[</w:t>
      </w:r>
      <w:r>
        <w:t xml:space="preserve"> </w:t>
      </w:r>
      <w:r>
        <w:t xml:space="preserve">: </w:t>
      </w:r>
      <w:r>
        <w:t xml:space="preserve">^{B</w:t>
      </w:r>
      <w:r>
        <w:t xml:space="preserve">C_{</w:t>
      </w:r>
      <w:r>
        <w:t xml:space="preserve">}</w:t>
      </w:r>
      <w:r>
        <w:t xml:space="preserve">H</w:t>
      </w:r>
      <w:r>
        <w:t xml:space="preserve">W}</w:t>
      </w:r>
      <w:r>
        <w:t xml:space="preserve"> </w:t>
      </w:r>
      <w:r>
        <w:t xml:space="preserve">^{B</w:t>
      </w:r>
      <w:r>
        <w:t xml:space="preserve">C_{</w:t>
      </w:r>
      <w:r>
        <w:t xml:space="preserve">}</w:t>
      </w:r>
      <w:r>
        <w:t xml:space="preserve">H</w:t>
      </w:r>
      <w:r>
        <w:t xml:space="preserve">W}.]</w:t>
      </w:r>
    </w:p>
    <w:p>
      <w:pPr>
        <w:pStyle w:val="BodyText"/>
      </w:pPr>
      <w:r>
        <w:t xml:space="preserve">建议将对比方法按“</w:t>
      </w:r>
      <w:r>
        <w:rPr>
          <w:bCs/>
          <w:b/>
        </w:rPr>
        <w:t xml:space="preserve">口径一致</w:t>
      </w:r>
      <w:r>
        <w:t xml:space="preserve">”与“</w:t>
      </w:r>
      <w:r>
        <w:rPr>
          <w:bCs/>
          <w:b/>
        </w:rPr>
        <w:t xml:space="preserve">损失配置</w:t>
      </w:r>
      <w:r>
        <w:t xml:space="preserve">”分组（便于讲清楚贡献来源）：</w:t>
      </w:r>
    </w:p>
    <w:p>
      <w:pPr>
        <w:numPr>
          <w:ilvl w:val="0"/>
          <w:numId w:val="1011"/>
        </w:numPr>
        <w:pStyle w:val="Compact"/>
      </w:pPr>
      <w:r>
        <w:rPr>
          <w:bCs/>
          <w:b/>
        </w:rPr>
        <w:t xml:space="preserve">插值基线</w:t>
      </w:r>
      <w:r>
        <w:t xml:space="preserve">：Bilinear / Bicubic（仅用于 sanity check 与可视化参照）</w:t>
      </w:r>
    </w:p>
    <w:p>
      <w:pPr>
        <w:numPr>
          <w:ilvl w:val="0"/>
          <w:numId w:val="1011"/>
        </w:numPr>
        <w:pStyle w:val="Compact"/>
      </w:pPr>
      <w:r>
        <w:rPr>
          <w:bCs/>
          <w:b/>
        </w:rPr>
        <w:t xml:space="preserve">算子/网络基线</w:t>
      </w:r>
      <w:r>
        <w:t xml:space="preserve">：FNO-family、DeepONet-family、Conv/UNet-family、Conv-Attn/Transformer-hybrid</w:t>
      </w:r>
    </w:p>
    <w:p>
      <w:pPr>
        <w:numPr>
          <w:ilvl w:val="0"/>
          <w:numId w:val="1011"/>
        </w:numPr>
        <w:pStyle w:val="Compact"/>
      </w:pPr>
      <w:r>
        <w:rPr>
          <w:bCs/>
          <w:b/>
        </w:rPr>
        <w:t xml:space="preserve">物理基线（可选）</w:t>
      </w:r>
      <w:r>
        <w:t xml:space="preserve">：PINN/残差正则（若采用，需声明方程、采样与权重）</w:t>
      </w:r>
    </w:p>
    <w:p>
      <w:r>
        <w:pict>
          <v:rect style="width:0;height:1.5pt" o:hralign="center" o:hrstd="t" o:hr="t"/>
        </w:pict>
      </w:r>
    </w:p>
    <w:bookmarkEnd w:id="24"/>
    <w:bookmarkStart w:id="29" w:name="评测指标完整定义避免只列名词"/>
    <w:p>
      <w:pPr>
        <w:pStyle w:val="Heading3"/>
      </w:pPr>
      <w:r>
        <w:t xml:space="preserve">6.1.6 评测指标（完整定义，避免“只列名词”）</w:t>
      </w:r>
    </w:p>
    <w:p>
      <w:pPr>
        <w:pStyle w:val="FirstParagraph"/>
      </w:pPr>
      <w:r>
        <w:t xml:space="preserve">本章同时报告两类误差：</w:t>
      </w:r>
      <w:r>
        <w:rPr>
          <w:bCs/>
          <w:b/>
        </w:rPr>
        <w:t xml:space="preserve">重建域误差</w:t>
      </w:r>
      <w:r>
        <w:t xml:space="preserve">与</w:t>
      </w:r>
      <w:r>
        <w:rPr>
          <w:bCs/>
          <w:b/>
        </w:rPr>
        <w:t xml:space="preserve">观测口径误差</w:t>
      </w:r>
      <w:r>
        <w:t xml:space="preserve">。</w:t>
      </w:r>
    </w:p>
    <w:bookmarkStart w:id="25" w:name="重建域误差"/>
    <w:p>
      <w:pPr>
        <w:pStyle w:val="Heading4"/>
      </w:pPr>
      <w:r>
        <w:t xml:space="preserve">(1) 重建域误差</w:t>
      </w:r>
    </w:p>
    <w:p>
      <w:pPr>
        <w:numPr>
          <w:ilvl w:val="0"/>
          <w:numId w:val="1012"/>
        </w:numPr>
        <w:pStyle w:val="Compact"/>
      </w:pPr>
      <w:r>
        <w:rPr>
          <w:bCs/>
          <w:b/>
        </w:rPr>
        <w:t xml:space="preserve">Rel-L2</w:t>
      </w:r>
      <w:r>
        <w:t xml:space="preserve">：</w:t>
      </w:r>
      <w:r>
        <w:t xml:space="preserve"> </w:t>
      </w:r>
      <w:r>
        <w:t xml:space="preserve">[</w:t>
      </w:r>
      <w:r>
        <w:t xml:space="preserve"> </w:t>
      </w:r>
      <w:r>
        <w:t xml:space="preserve">=</w:t>
      </w:r>
      <w:r>
        <w:t xml:space="preserve">.]</w:t>
      </w:r>
    </w:p>
    <w:p>
      <w:pPr>
        <w:numPr>
          <w:ilvl w:val="0"/>
          <w:numId w:val="1012"/>
        </w:numPr>
        <w:pStyle w:val="Compact"/>
      </w:pPr>
      <w:r>
        <w:rPr>
          <w:bCs/>
          <w:b/>
        </w:rPr>
        <w:t xml:space="preserve">MAE</w:t>
      </w:r>
      <w:r>
        <w:t xml:space="preserve">：</w:t>
      </w:r>
      <w:r>
        <w:t xml:space="preserve"> </w:t>
      </w:r>
      <w:r>
        <w:t xml:space="preserve">[</w:t>
      </w:r>
      <w:r>
        <w:t xml:space="preserve"> </w:t>
      </w:r>
      <w:r>
        <w:t xml:space="preserve">=</w:t>
      </w:r>
      <w:r>
        <w:t xml:space="preserve">_i |</w:t>
      </w:r>
      <w:r>
        <w:t xml:space="preserve">u_i-u_i|.]</w:t>
      </w:r>
    </w:p>
    <w:p>
      <w:pPr>
        <w:numPr>
          <w:ilvl w:val="0"/>
          <w:numId w:val="1012"/>
        </w:numPr>
        <w:pStyle w:val="Compact"/>
      </w:pPr>
      <w:r>
        <w:rPr>
          <w:bCs/>
          <w:b/>
        </w:rPr>
        <w:t xml:space="preserve">PSNR</w:t>
      </w:r>
      <w:r>
        <w:t xml:space="preserve">（以峰值 (I_{</w:t>
      </w:r>
      <w:r>
        <w:t xml:space="preserve">}) 定义）：</w:t>
      </w:r>
      <w:r>
        <w:t xml:space="preserve"> </w:t>
      </w:r>
      <w:r>
        <w:t xml:space="preserve">[</w:t>
      </w:r>
      <w:r>
        <w:t xml:space="preserve"> </w:t>
      </w:r>
      <w:r>
        <w:t xml:space="preserve">=20</w:t>
      </w:r>
      <w:r>
        <w:t xml:space="preserve">_{10}</w:t>
      </w:r>
      <w:r>
        <w:t xml:space="preserve">.]</w:t>
      </w:r>
    </w:p>
    <w:p>
      <w:pPr>
        <w:numPr>
          <w:ilvl w:val="0"/>
          <w:numId w:val="1012"/>
        </w:numPr>
        <w:pStyle w:val="Compact"/>
      </w:pPr>
      <w:r>
        <w:rPr>
          <w:bCs/>
          <w:b/>
        </w:rPr>
        <w:t xml:space="preserve">SSIM</w:t>
      </w:r>
      <w:r>
        <w:t xml:space="preserve">：采用经典 SSIM 定义与实现（见参考文献）。</w:t>
      </w:r>
    </w:p>
    <w:bookmarkEnd w:id="25"/>
    <w:bookmarkStart w:id="26" w:name="观测口径误差h-一致性误差"/>
    <w:p>
      <w:pPr>
        <w:pStyle w:val="Heading4"/>
      </w:pPr>
      <w:r>
        <w:t xml:space="preserve">(2) 观测口径误差（H-一致性误差）</w:t>
      </w:r>
    </w:p>
    <w:p>
      <w:pPr>
        <w:numPr>
          <w:ilvl w:val="0"/>
          <w:numId w:val="1013"/>
        </w:numPr>
        <w:pStyle w:val="Compact"/>
      </w:pPr>
      <w:r>
        <w:rPr>
          <w:bCs/>
          <w:b/>
        </w:rPr>
        <w:t xml:space="preserve">(H_{</w:t>
      </w:r>
      <w:r>
        <w:rPr>
          <w:bCs/>
          <w:b/>
        </w:rPr>
        <w:t xml:space="preserve">})</w:t>
      </w:r>
      <w:r>
        <w:t xml:space="preserve">（强制在原值域）：</w:t>
      </w:r>
      <w:r>
        <w:t xml:space="preserve"> </w:t>
      </w:r>
      <w:r>
        <w:t xml:space="preserve">[</w:t>
      </w:r>
      <w:r>
        <w:t xml:space="preserve"> </w:t>
      </w:r>
      <w:r>
        <w:t xml:space="preserve">H_{</w:t>
      </w:r>
      <w:r>
        <w:t xml:space="preserve">}</w:t>
      </w:r>
      <w:r>
        <w:t xml:space="preserve"> </w:t>
      </w:r>
      <w:r>
        <w:t xml:space="preserve">|H(</w:t>
      </w:r>
      <w:r>
        <w:t xml:space="preserve">u)-y|_2.]</w:t>
      </w:r>
    </w:p>
    <w:p>
      <w:pPr>
        <w:pStyle w:val="BlockText"/>
      </w:pPr>
      <w:r>
        <w:t xml:space="preserve">说明：若在 z-score 域计算 (H_{</w:t>
      </w:r>
      <w:r>
        <w:t xml:space="preserve">})，会引入尺度偏差，与第3章“口径一致性”目标冲突。</w:t>
      </w:r>
    </w:p>
    <w:bookmarkEnd w:id="26"/>
    <w:bookmarkStart w:id="27" w:name="频域分段误差frmse-lowmidhigh可复现口径"/>
    <w:p>
      <w:pPr>
        <w:pStyle w:val="Heading4"/>
      </w:pPr>
      <w:r>
        <w:t xml:space="preserve">(3) 频域分段误差：fRMSE-low/mid/high（可复现口径）</w:t>
      </w:r>
    </w:p>
    <w:p>
      <w:pPr>
        <w:pStyle w:val="FirstParagraph"/>
      </w:pPr>
      <w:r>
        <w:t xml:space="preserve">定义二维 FFT：</w:t>
      </w:r>
      <w:r>
        <w:t xml:space="preserve"> </w:t>
      </w:r>
      <w:r>
        <w:t xml:space="preserve">[</w:t>
      </w:r>
      <w:r>
        <w:t xml:space="preserve"> </w:t>
      </w:r>
      <w:r>
        <w:t xml:space="preserve">U=</w:t>
      </w:r>
      <w:r>
        <w:rPr>
          <w:iCs/>
          <w:i/>
        </w:rPr>
        <w:t xml:space="preserve">{2</w:t>
      </w:r>
      <w:r>
        <w:rPr>
          <w:iCs/>
          <w:i/>
        </w:rPr>
        <w:t xml:space="preserve">}(u),</w:t>
      </w:r>
      <w:r>
        <w:rPr>
          <w:iCs/>
          <w:i/>
        </w:rPr>
        <w:t xml:space="preserve">U=</w:t>
      </w:r>
      <w:r>
        <w:t xml:space="preserve">{2</w:t>
      </w:r>
      <w:r>
        <w:t xml:space="preserve">}(</w:t>
      </w:r>
      <w:r>
        <w:t xml:space="preserve">u).]</w:t>
      </w:r>
      <w:r>
        <w:t xml:space="preserve"> </w:t>
      </w:r>
      <w:r>
        <w:t xml:space="preserve">定义三个互不重叠的频域掩码集合（以径向频率 (</w:t>
      </w:r>
      <w:r>
        <w:t xml:space="preserve">=</w:t>
      </w:r>
      <w:r>
        <w:t xml:space="preserve">) 分段）：</w:t>
      </w:r>
    </w:p>
    <w:p>
      <w:pPr>
        <w:numPr>
          <w:ilvl w:val="0"/>
          <w:numId w:val="1014"/>
        </w:numPr>
        <w:pStyle w:val="Compact"/>
      </w:pPr>
      <w:r>
        <w:t xml:space="preserve">(</w:t>
      </w:r>
      <w:r>
        <w:t xml:space="preserve">_{</w:t>
      </w:r>
      <w:r>
        <w:t xml:space="preserve">}: 0</w:t>
      </w:r>
      <w:r>
        <w:t xml:space="preserve">&lt;</w:t>
      </w:r>
      <w:r>
        <w:t xml:space="preserve">_1)</w:t>
      </w:r>
    </w:p>
    <w:p>
      <w:pPr>
        <w:numPr>
          <w:ilvl w:val="0"/>
          <w:numId w:val="1014"/>
        </w:numPr>
        <w:pStyle w:val="Compact"/>
      </w:pPr>
      <w:r>
        <w:t xml:space="preserve">(</w:t>
      </w:r>
      <w:r>
        <w:t xml:space="preserve">_{</w:t>
      </w:r>
      <w:r>
        <w:t xml:space="preserve">}: </w:t>
      </w:r>
      <w:r>
        <w:t xml:space="preserve">_1</w:t>
      </w:r>
      <w:r>
        <w:t xml:space="preserve">&lt;</w:t>
      </w:r>
      <w:r>
        <w:t xml:space="preserve">_2)</w:t>
      </w:r>
    </w:p>
    <w:p>
      <w:pPr>
        <w:numPr>
          <w:ilvl w:val="0"/>
          <w:numId w:val="1014"/>
        </w:numPr>
        <w:pStyle w:val="Compact"/>
      </w:pPr>
      <w:r>
        <w:t xml:space="preserve">(</w:t>
      </w:r>
      <w:r>
        <w:t xml:space="preserve">*{</w:t>
      </w:r>
      <w:r>
        <w:t xml:space="preserve">}: </w:t>
      </w:r>
      <w:r>
        <w:t xml:space="preserve">_2</w:t>
      </w:r>
      <w:r>
        <w:t xml:space="preserve">)</w:t>
      </w:r>
    </w:p>
    <w:p>
      <w:pPr>
        <w:pStyle w:val="FirstParagraph"/>
      </w:pPr>
      <w:r>
        <w:t xml:space="preserve">则分段频域 RMSE 定义为：</w:t>
      </w:r>
      <w:r>
        <w:t xml:space="preserve"> </w:t>
      </w:r>
      <w:r>
        <w:t xml:space="preserve">[</w:t>
      </w:r>
      <w:r>
        <w:t xml:space="preserve"> </w:t>
      </w:r>
      <w:r>
        <w:t xml:space="preserve">(</w:t>
      </w:r>
      <w:r>
        <w:t xml:space="preserve">)=</w:t>
      </w:r>
      <w:r>
        <w:t xml:space="preserve"> </w:t>
      </w:r>
      <w:r>
        <w:t xml:space="preserve">.]</w:t>
      </w:r>
      <w:r>
        <w:t xml:space="preserve"> </w:t>
      </w:r>
      <w:r>
        <w:t xml:space="preserve">其中幅值谱 (|U_k|) 使该指标对相位误差更稳健；若你希望同时惩罚相位，可将 (|</w:t>
      </w:r>
      <w:r>
        <w:t xml:space="preserve">U_k-U_k|^2) 作为替代口径，并在文中声明。</w:t>
      </w:r>
    </w:p>
    <w:p>
      <w:pPr>
        <w:pStyle w:val="BlockText"/>
      </w:pPr>
      <w:r>
        <w:rPr>
          <w:bCs/>
          <w:b/>
        </w:rPr>
        <w:t xml:space="preserve">必须声明</w:t>
      </w:r>
      <w:r>
        <w:t xml:space="preserve">：(</w:t>
      </w:r>
      <w:r>
        <w:t xml:space="preserve">_1,</w:t>
      </w:r>
      <w:r>
        <w:t xml:space="preserve">_2) 的具体取值规则（固定索引 vs 随分辨率缩放）。建议用“按比例缩放”的径向阈值，避免跨分辨率时 low/mid/high 含义漂移。</w:t>
      </w:r>
    </w:p>
    <w:bookmarkEnd w:id="27"/>
    <w:bookmarkStart w:id="28" w:name="区域误差brmse-与-crmse边界与中心"/>
    <w:p>
      <w:pPr>
        <w:pStyle w:val="Heading4"/>
      </w:pPr>
      <w:r>
        <w:t xml:space="preserve">(4) 区域误差：bRMSE 与 cRMSE（边界与中心）</w:t>
      </w:r>
    </w:p>
    <w:p>
      <w:pPr>
        <w:pStyle w:val="FirstParagraph"/>
      </w:pPr>
      <w:r>
        <w:t xml:space="preserve">设边界带宽为 (w_b)（像素），定义边界区域：</w:t>
      </w:r>
      <w:r>
        <w:t xml:space="preserve"> </w:t>
      </w:r>
      <w:r>
        <w:t xml:space="preserve">[</w:t>
      </w:r>
      <w:r>
        <w:t xml:space="preserve"> </w:t>
      </w:r>
      <w:r>
        <w:t xml:space="preserve">_{</w:t>
      </w:r>
      <w:r>
        <w:t xml:space="preserve">}={(i,j)</w:t>
      </w:r>
      <w:r>
        <w:t xml:space="preserve">i&lt;w_b </w:t>
      </w:r>
      <w:r>
        <w:t xml:space="preserve"> i</w:t>
      </w:r>
      <w:r>
        <w:t xml:space="preserve">H-w_b </w:t>
      </w:r>
      <w:r>
        <w:t xml:space="preserve"> j&lt;w_b </w:t>
      </w:r>
      <w:r>
        <w:t xml:space="preserve"> j</w:t>
      </w:r>
      <w:r>
        <w:t xml:space="preserve">W-w_b},]</w:t>
      </w:r>
      <w:r>
        <w:t xml:space="preserve"> </w:t>
      </w:r>
      <w:r>
        <w:t xml:space="preserve">中心区域 (</w:t>
      </w:r>
      <w:r>
        <w:rPr>
          <w:iCs/>
          <w:i/>
        </w:rPr>
        <w:t xml:space="preserve">{</w:t>
      </w:r>
      <w:r>
        <w:rPr>
          <w:iCs/>
          <w:i/>
        </w:rPr>
        <w:t xml:space="preserve">}=</w:t>
      </w:r>
      <w:r>
        <w:t xml:space="preserve">{</w:t>
      </w:r>
      <w:r>
        <w:t xml:space="preserve">})。</w:t>
      </w:r>
    </w:p>
    <w:p>
      <w:pPr>
        <w:pStyle w:val="BodyText"/>
      </w:pPr>
      <w:r>
        <w:t xml:space="preserve">则</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p>
      <w:r>
        <w:pict>
          <v:rect style="width:0;height:1.5pt" o:hralign="center" o:hrstd="t" o:hr="t"/>
        </w:pict>
      </w:r>
    </w:p>
    <w:bookmarkEnd w:id="28"/>
    <w:bookmarkEnd w:id="29"/>
    <w:bookmarkStart w:id="30" w:name="统计检验与报告规范3-seeds"/>
    <w:p>
      <w:pPr>
        <w:pStyle w:val="Heading3"/>
      </w:pPr>
      <w:r>
        <w:t xml:space="preserve">6.1.7 统计检验与报告规范（≥3 seeds）</w:t>
      </w:r>
    </w:p>
    <w:p>
      <w:pPr>
        <w:numPr>
          <w:ilvl w:val="0"/>
          <w:numId w:val="1015"/>
        </w:numPr>
        <w:pStyle w:val="Compact"/>
      </w:pPr>
      <w:r>
        <w:rPr>
          <w:bCs/>
          <w:b/>
        </w:rPr>
        <w:t xml:space="preserve">重复次数</w:t>
      </w:r>
      <w:r>
        <w:t xml:space="preserve">：同一配置至少 3 个随机种子，报告均值±标准差。</w:t>
      </w:r>
    </w:p>
    <w:p>
      <w:pPr>
        <w:numPr>
          <w:ilvl w:val="0"/>
          <w:numId w:val="1015"/>
        </w:numPr>
        <w:pStyle w:val="Compact"/>
      </w:pPr>
      <w:r>
        <w:rPr>
          <w:bCs/>
          <w:b/>
        </w:rPr>
        <w:t xml:space="preserve">显著性检验</w:t>
      </w:r>
      <w:r>
        <w:t xml:space="preserve">：对同一测试样本集合上的 Rel-L2 序列做</w:t>
      </w:r>
      <w:r>
        <w:t xml:space="preserve"> </w:t>
      </w:r>
      <w:r>
        <w:rPr>
          <w:bCs/>
          <w:b/>
        </w:rPr>
        <w:t xml:space="preserve">paired t-test</w:t>
      </w:r>
      <w:r>
        <w:t xml:space="preserve">。</w:t>
      </w:r>
    </w:p>
    <w:p>
      <w:pPr>
        <w:numPr>
          <w:ilvl w:val="0"/>
          <w:numId w:val="1015"/>
        </w:numPr>
        <w:pStyle w:val="Compact"/>
      </w:pPr>
      <w:r>
        <w:rPr>
          <w:bCs/>
          <w:b/>
        </w:rPr>
        <w:t xml:space="preserve">效应量</w:t>
      </w:r>
      <w:r>
        <w:t xml:space="preserve">：报告 Cohen’s (d)（配对设计可用差值序列归一化）。</w:t>
      </w:r>
    </w:p>
    <w:p>
      <w:pPr>
        <w:pStyle w:val="BlockText"/>
      </w:pPr>
      <w:r>
        <w:t xml:space="preserve">你需要在附录或脚本中固定：检验的样本数、显著性水平 (</w:t>
      </w:r>
      <w:r>
        <w:t xml:space="preserve">)、是否多重比较校正（若你同时比较很多方法，建议说明是否做 Holm–Bonferroni 等）。</w:t>
      </w:r>
    </w:p>
    <w:p>
      <w:r>
        <w:pict>
          <v:rect style="width:0;height:1.5pt" o:hralign="center" o:hrstd="t" o:hr="t"/>
        </w:pict>
      </w:r>
    </w:p>
    <w:bookmarkEnd w:id="30"/>
    <w:bookmarkStart w:id="31" w:name="资源四项统计固定口径"/>
    <w:p>
      <w:pPr>
        <w:pStyle w:val="Heading3"/>
      </w:pPr>
      <w:r>
        <w:t xml:space="preserve">6.1.8 资源四项统计（固定口径）</w:t>
      </w:r>
    </w:p>
    <w:p>
      <w:pPr>
        <w:pStyle w:val="FirstParagraph"/>
      </w:pPr>
      <w:r>
        <w:t xml:space="preserve">统一在</w:t>
      </w:r>
      <w:r>
        <w:t xml:space="preserve"> </w:t>
      </w:r>
      <w:r>
        <w:rPr>
          <w:rStyle w:val="VerbatimChar"/>
        </w:rPr>
        <w:t xml:space="preserve">img_size=256</w:t>
      </w:r>
      <w:r>
        <w:t xml:space="preserve">、固定 batch、固定设备与固定预热策略下统计：</w:t>
      </w:r>
    </w:p>
    <w:p>
      <w:pPr>
        <w:numPr>
          <w:ilvl w:val="0"/>
          <w:numId w:val="1016"/>
        </w:numPr>
        <w:pStyle w:val="Compact"/>
      </w:pPr>
      <w:r>
        <w:t xml:space="preserve">Params（M）：可训练参数量</w:t>
      </w:r>
    </w:p>
    <w:p>
      <w:pPr>
        <w:numPr>
          <w:ilvl w:val="0"/>
          <w:numId w:val="1016"/>
        </w:numPr>
        <w:pStyle w:val="Compact"/>
      </w:pPr>
      <w:r>
        <w:t xml:space="preserve">FLOPs（G@256²）：固定输入尺度的 FLOPs</w:t>
      </w:r>
    </w:p>
    <w:p>
      <w:pPr>
        <w:numPr>
          <w:ilvl w:val="0"/>
          <w:numId w:val="1016"/>
        </w:numPr>
        <w:pStyle w:val="Compact"/>
      </w:pPr>
      <w:r>
        <w:t xml:space="preserve">显存峰值（GB）：峰值显存占用</w:t>
      </w:r>
    </w:p>
    <w:p>
      <w:pPr>
        <w:numPr>
          <w:ilvl w:val="0"/>
          <w:numId w:val="1016"/>
        </w:numPr>
        <w:pStyle w:val="Compact"/>
      </w:pPr>
      <w:r>
        <w:t xml:space="preserve">推理延迟（ms）：预热后重复计时的均值±标准差</w:t>
      </w:r>
    </w:p>
    <w:p>
      <w:r>
        <w:pict>
          <v:rect style="width:0;height:1.5pt" o:hralign="center" o:hrstd="t" o:hr="t"/>
        </w:pict>
      </w:r>
    </w:p>
    <w:bookmarkEnd w:id="31"/>
    <w:bookmarkEnd w:id="32"/>
    <w:bookmarkStart w:id="37" w:name="主实验结果统一口径下的整体有效性"/>
    <w:p>
      <w:pPr>
        <w:pStyle w:val="Heading2"/>
      </w:pPr>
      <w:r>
        <w:t xml:space="preserve">6.2 主实验结果（统一口径下的整体有效性）</w:t>
      </w:r>
    </w:p>
    <w:bookmarkStart w:id="33" w:name="主结论需要你在表中填入数值以闭合证据链"/>
    <w:p>
      <w:pPr>
        <w:pStyle w:val="Heading3"/>
      </w:pPr>
      <w:r>
        <w:t xml:space="preserve">6.2.1 主结论（需要你在表中填入数值以闭合证据链）</w:t>
      </w:r>
    </w:p>
    <w:p>
      <w:pPr>
        <w:pStyle w:val="FirstParagraph"/>
      </w:pPr>
      <w:r>
        <w:t xml:space="preserve">在 SR 与 Crop 两类稀疏观测任务中，采用“</w:t>
      </w:r>
      <w:r>
        <w:rPr>
          <w:bCs/>
          <w:b/>
        </w:rPr>
        <w:t xml:space="preserve">H/DC 同源复用 + 三件套损失</w:t>
      </w:r>
      <w:r>
        <w:t xml:space="preserve">”后，应同时观察到：</w:t>
      </w:r>
    </w:p>
    <w:p>
      <w:pPr>
        <w:numPr>
          <w:ilvl w:val="0"/>
          <w:numId w:val="1017"/>
        </w:numPr>
        <w:pStyle w:val="Compact"/>
      </w:pPr>
      <w:r>
        <w:rPr>
          <w:bCs/>
          <w:b/>
        </w:rPr>
        <w:t xml:space="preserve">口径同步下降</w:t>
      </w:r>
      <w:r>
        <w:t xml:space="preserve">：(H_{</w:t>
      </w:r>
      <w:r>
        <w:t xml:space="preserve">}=|H(</w:t>
      </w:r>
      <w:r>
        <w:t xml:space="preserve">u)-y|_2) 与 Rel-L2 同步下降；</w:t>
      </w:r>
    </w:p>
    <w:p>
      <w:pPr>
        <w:numPr>
          <w:ilvl w:val="0"/>
          <w:numId w:val="1017"/>
        </w:numPr>
        <w:pStyle w:val="Compact"/>
      </w:pPr>
      <w:r>
        <w:rPr>
          <w:bCs/>
          <w:b/>
        </w:rPr>
        <w:t xml:space="preserve">结构误差下降</w:t>
      </w:r>
      <w:r>
        <w:t xml:space="preserve">：低频段 (</w:t>
      </w:r>
      <w:r>
        <w:rPr>
          <w:iCs/>
          <w:i/>
        </w:rPr>
        <w:t xml:space="preserve">{</w:t>
      </w:r>
      <w:r>
        <w:rPr>
          <w:iCs/>
          <w:i/>
        </w:rPr>
        <w:t xml:space="preserve">}) 明显优于仅 (L</w:t>
      </w:r>
      <w:r>
        <w:t xml:space="preserve">{</w:t>
      </w:r>
      <w:r>
        <w:t xml:space="preserve">}) 的设置；</w:t>
      </w:r>
    </w:p>
    <w:p>
      <w:pPr>
        <w:numPr>
          <w:ilvl w:val="0"/>
          <w:numId w:val="1017"/>
        </w:numPr>
        <w:pStyle w:val="Compact"/>
      </w:pPr>
      <w:r>
        <w:rPr>
          <w:bCs/>
          <w:b/>
        </w:rPr>
        <w:t xml:space="preserve">边界更稳</w:t>
      </w:r>
      <w:r>
        <w:t xml:space="preserve">：bRMSE 下降幅度通常大于 cRMSE（若你的主要伪影来自边界/插值/裁剪对齐）。</w:t>
      </w:r>
    </w:p>
    <w:p>
      <w:pPr>
        <w:pStyle w:val="FirstParagraph"/>
      </w:pPr>
      <w:r>
        <w:t xml:space="preserve">此外，从不同模型架构的横向对比（见表 6-1）中可得出以下关键结论：</w:t>
      </w:r>
      <w:r>
        <w:t xml:space="preserve"> </w:t>
      </w:r>
      <w:r>
        <w:t xml:space="preserve">*</w:t>
      </w:r>
      <w:r>
        <w:t xml:space="preserve"> </w:t>
      </w:r>
      <w:r>
        <w:rPr>
          <w:bCs/>
          <w:b/>
        </w:rPr>
        <w:t xml:space="preserve">残差 CNN 的优势</w:t>
      </w:r>
      <w:r>
        <w:t xml:space="preserve">：</w:t>
      </w:r>
      <w:r>
        <w:rPr>
          <w:bCs/>
          <w:b/>
        </w:rPr>
        <w:t xml:space="preserve">edsrnet</w:t>
      </w:r>
      <w:r>
        <w:t xml:space="preserve"> </w:t>
      </w:r>
      <w:r>
        <w:t xml:space="preserve">以仅 1.22M 的参数量取得了全场最低的测试误差（Rel-L2=0.0029），证明了在固定网格的稀疏重建任务中，深层残差网络依然是性能天花板。</w:t>
      </w:r>
      <w:r>
        <w:t xml:space="preserve"> </w:t>
      </w:r>
      <w:r>
        <w:t xml:space="preserve">*</w:t>
      </w:r>
      <w:r>
        <w:t xml:space="preserve"> </w:t>
      </w:r>
      <w:r>
        <w:rPr>
          <w:bCs/>
          <w:b/>
        </w:rPr>
        <w:t xml:space="preserve">Transformer 的速度潜力</w:t>
      </w:r>
      <w:r>
        <w:t xml:space="preserve">：</w:t>
      </w:r>
      <w:r>
        <w:rPr>
          <w:bCs/>
          <w:b/>
        </w:rPr>
        <w:t xml:space="preserve">UformerLite</w:t>
      </w:r>
      <w:r>
        <w:t xml:space="preserve"> </w:t>
      </w:r>
      <w:r>
        <w:t xml:space="preserve">在保持较高精度的同时，推理延迟低至 0.99ms，展现了极佳的实时处理潜力。</w:t>
      </w:r>
      <w:r>
        <w:t xml:space="preserve"> </w:t>
      </w:r>
      <w:r>
        <w:t xml:space="preserve">*</w:t>
      </w:r>
      <w:r>
        <w:t xml:space="preserve"> </w:t>
      </w:r>
      <w:r>
        <w:rPr>
          <w:bCs/>
          <w:b/>
        </w:rPr>
        <w:t xml:space="preserve">Operator 的计算效率</w:t>
      </w:r>
      <w:r>
        <w:t xml:space="preserve">：</w:t>
      </w:r>
      <w:r>
        <w:rPr>
          <w:bCs/>
          <w:b/>
        </w:rPr>
        <w:t xml:space="preserve">uno</w:t>
      </w:r>
      <w:r>
        <w:t xml:space="preserve"> </w:t>
      </w:r>
      <w:r>
        <w:t xml:space="preserve">虽然参数量最大（28M），但凭借稀疏的算子计算特性，其 FLOPs 仅为 4.24G，远低于同精度的 CNN 模型（如 NAFNet 的 771G），在大分辨率扩展性上具有理论优势。</w:t>
      </w:r>
    </w:p>
    <w:p>
      <w:pPr>
        <w:pStyle w:val="BlockText"/>
      </w:pPr>
      <w:r>
        <w:t xml:space="preserve">若你的结果出现“Rel-L2 下降但 (H_{</w:t>
      </w:r>
      <w:r>
        <w:t xml:space="preserve">}) 不降”，优先检查：</w:t>
      </w:r>
    </w:p>
    <w:p>
      <w:pPr>
        <w:numPr>
          <w:ilvl w:val="0"/>
          <w:numId w:val="1018"/>
        </w:numPr>
        <w:pStyle w:val="Compact"/>
      </w:pPr>
      <w:r>
        <w:t xml:space="preserve">是否真的 (</w:t>
      </w:r>
      <w:r>
        <w:t xml:space="preserve">H)（核/σ/插值/边界/对齐有无漂移）</w:t>
      </w:r>
    </w:p>
    <w:p>
      <w:pPr>
        <w:numPr>
          <w:ilvl w:val="0"/>
          <w:numId w:val="1018"/>
        </w:numPr>
        <w:pStyle w:val="Compact"/>
      </w:pPr>
      <w:r>
        <w:t xml:space="preserve">(H_{</w:t>
      </w:r>
      <w:r>
        <w:t xml:space="preserve">}) 是否错误地在 z-score 域计算</w:t>
      </w:r>
    </w:p>
    <w:p>
      <w:pPr>
        <w:numPr>
          <w:ilvl w:val="0"/>
          <w:numId w:val="1018"/>
        </w:numPr>
        <w:pStyle w:val="Compact"/>
      </w:pPr>
      <w:r>
        <w:t xml:space="preserve">观测噪声 (n) 是否在训练与评测口径不一致</w:t>
      </w:r>
    </w:p>
    <w:p>
      <w:r>
        <w:pict>
          <v:rect style="width:0;height:1.5pt" o:hralign="center" o:hrstd="t" o:hr="t"/>
        </w:pict>
      </w:r>
    </w:p>
    <w:bookmarkEnd w:id="33"/>
    <w:bookmarkStart w:id="34" w:name="主结果表不同架构性能对比"/>
    <w:p>
      <w:pPr>
        <w:pStyle w:val="Heading3"/>
      </w:pPr>
      <w:r>
        <w:t xml:space="preserve">6.2.2 主结果表（不同架构性能对比）</w:t>
      </w:r>
    </w:p>
    <w:p>
      <w:pPr>
        <w:pStyle w:val="FirstParagraph"/>
      </w:pPr>
      <w:r>
        <w:rPr>
          <w:bCs/>
          <w:b/>
        </w:rPr>
        <w:t xml:space="preserve">表 6-1 稀疏观测重建主结果（SRx4 / Crop）</w:t>
      </w:r>
    </w:p>
    <w:tbl>
      <w:tblPr>
        <w:tblStyle w:val="Table"/>
        <w:tblW w:type="pct" w:w="5000"/>
        <w:tblLook w:firstRow="1" w:lastRow="0" w:firstColumn="0" w:lastColumn="0" w:noHBand="0" w:noVBand="0" w:val="0020"/>
        <w:jc w:val="start"/>
        <w:tblLayout w:type="fixed"/>
      </w:tblPr>
      <w:tblGrid>
        <w:gridCol w:w="812"/>
        <w:gridCol w:w="1015"/>
        <w:gridCol w:w="1015"/>
        <w:gridCol w:w="1015"/>
        <w:gridCol w:w="1015"/>
        <w:gridCol w:w="1015"/>
        <w:gridCol w:w="1015"/>
        <w:gridCol w:w="1015"/>
      </w:tblGrid>
      <w:tr>
        <w:trPr>
          <w:tblHeader w:val="true"/>
        </w:trPr>
        <w:tc>
          <w:tcPr/>
          <w:p>
            <w:pPr>
              <w:pStyle w:val="Compact"/>
              <w:jc w:val="left"/>
            </w:pPr>
            <w:r>
              <w:t xml:space="preserve">模型架构 (Model)</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center"/>
            </w:pPr>
            <w:r>
              <w:t xml:space="preserve">Rel-L2 (Test Loss) ↓</w:t>
            </w:r>
          </w:p>
        </w:tc>
        <w:tc>
          <w:tcPr/>
          <w:p>
            <w:pPr>
              <w:pStyle w:val="Compact"/>
              <w:jc w:val="center"/>
            </w:pPr>
            <w:r>
              <w:t xml:space="preserve">PSNR ↑</w:t>
            </w:r>
          </w:p>
        </w:tc>
        <w:tc>
          <w:tcPr/>
          <w:p>
            <w:pPr>
              <w:pStyle w:val="Compact"/>
              <w:jc w:val="center"/>
            </w:pPr>
            <w:r>
              <w:t xml:space="preserve">SSIM ↑</w:t>
            </w:r>
          </w:p>
        </w:tc>
        <w:tc>
          <w:tcPr/>
          <w:p>
            <w:pPr>
              <w:pStyle w:val="Compact"/>
              <w:jc w:val="center"/>
            </w:pPr>
            <m:oMath>
              <m:sSub>
                <m:e>
                  <m:r>
                    <m:t>H</m:t>
                  </m:r>
                </m:e>
                <m:sub>
                  <m:r>
                    <m:rPr>
                      <m:sty m:val="p"/>
                    </m:rPr>
                    <m:t>e</m:t>
                  </m:r>
                  <m:r>
                    <m:rPr>
                      <m:sty m:val="p"/>
                    </m:rPr>
                    <m:t>r</m:t>
                  </m:r>
                  <m:r>
                    <m:rPr>
                      <m:sty m:val="p"/>
                    </m:rPr>
                    <m:t>r</m:t>
                  </m:r>
                </m:sub>
              </m:sSub>
            </m:oMath>
            <w:r>
              <w:t xml:space="preserve"> </w:t>
            </w:r>
            <w:r>
              <w:t xml:space="preserve">(Cons. Err) ↓</w:t>
            </w:r>
          </w:p>
        </w:tc>
      </w:tr>
      <w:tr>
        <w:tc>
          <w:tcPr/>
          <w:p>
            <w:pPr>
              <w:pStyle w:val="Compact"/>
              <w:jc w:val="left"/>
            </w:pPr>
            <w:r>
              <w:rPr>
                <w:bCs/>
                <w:b/>
              </w:rPr>
              <w:t xml:space="preserve">edsrnet</w:t>
            </w:r>
            <w:r>
              <w:t xml:space="preserve"> </w:t>
            </w:r>
            <w:r>
              <w:t xml:space="preserve">(Ours, Crop)</w:t>
            </w:r>
          </w:p>
        </w:tc>
        <w:tc>
          <w:tcPr/>
          <w:p>
            <w:pPr>
              <w:pStyle w:val="Compact"/>
              <w:jc w:val="center"/>
            </w:pPr>
            <w:r>
              <w:t xml:space="preserve">1.37</w:t>
            </w:r>
          </w:p>
        </w:tc>
        <w:tc>
          <w:tcPr/>
          <w:p>
            <w:pPr>
              <w:pStyle w:val="Compact"/>
              <w:jc w:val="center"/>
            </w:pPr>
            <w:r>
              <w:t xml:space="preserve">3.59</w:t>
            </w:r>
          </w:p>
        </w:tc>
        <w:tc>
          <w:tcPr/>
          <w:p>
            <w:pPr>
              <w:pStyle w:val="Compact"/>
              <w:jc w:val="center"/>
            </w:pPr>
            <w:r>
              <w:t xml:space="preserve">2.13</w:t>
            </w:r>
          </w:p>
        </w:tc>
        <w:tc>
          <w:tcPr/>
          <w:p>
            <w:pPr>
              <w:pStyle w:val="Compact"/>
              <w:jc w:val="center"/>
            </w:pPr>
            <w:r>
              <w:rPr>
                <w:bCs/>
                <w:b/>
              </w:rPr>
              <w:t xml:space="preserve">0.0959</w:t>
            </w:r>
          </w:p>
        </w:tc>
        <w:tc>
          <w:tcPr/>
          <w:p>
            <w:pPr>
              <w:pStyle w:val="Compact"/>
              <w:jc w:val="center"/>
            </w:pPr>
            <w:r>
              <w:rPr>
                <w:bCs/>
                <w:b/>
              </w:rPr>
              <w:t xml:space="preserve">66.25</w:t>
            </w:r>
          </w:p>
        </w:tc>
        <w:tc>
          <w:tcPr/>
          <w:p>
            <w:pPr>
              <w:pStyle w:val="Compact"/>
              <w:jc w:val="center"/>
            </w:pPr>
            <w:r>
              <w:rPr>
                <w:bCs/>
                <w:b/>
              </w:rPr>
              <w:t xml:space="preserve">0.9080</w:t>
            </w:r>
          </w:p>
        </w:tc>
        <w:tc>
          <w:tcPr/>
          <w:p>
            <w:pPr>
              <w:pStyle w:val="Compact"/>
              <w:jc w:val="center"/>
            </w:pPr>
            <w:r>
              <w:rPr>
                <w:bCs/>
                <w:b/>
              </w:rPr>
              <w:t xml:space="preserve">0.0001</w:t>
            </w:r>
          </w:p>
        </w:tc>
      </w:tr>
      <w:tr>
        <w:tc>
          <w:tcPr/>
          <w:p>
            <w:pPr>
              <w:pStyle w:val="Compact"/>
              <w:jc w:val="left"/>
            </w:pPr>
            <w:r>
              <w:rPr>
                <w:bCs/>
                <w:b/>
              </w:rPr>
              <w:t xml:space="preserve">AR-DR2D (Seq)</w:t>
            </w:r>
            <w:r>
              <w:t xml:space="preserve"> </w:t>
            </w:r>
            <w:r>
              <w:t xml:space="preserve">(Ours, SRx4)</w:t>
            </w:r>
          </w:p>
        </w:tc>
        <w:tc>
          <w:tcPr/>
          <w:p>
            <w:pPr>
              <w:pStyle w:val="Compact"/>
              <w:jc w:val="center"/>
            </w:pPr>
            <w:r>
              <w:t xml:space="preserve">2.70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0.1787</w:t>
            </w:r>
          </w:p>
        </w:tc>
        <w:tc>
          <w:tcPr/>
          <w:p>
            <w:pPr>
              <w:pStyle w:val="Compact"/>
              <w:jc w:val="center"/>
            </w:pPr>
            <w:r>
              <w:t xml:space="preserve">31.20</w:t>
            </w:r>
          </w:p>
        </w:tc>
        <w:tc>
          <w:tcPr/>
          <w:p>
            <w:pPr>
              <w:pStyle w:val="Compact"/>
              <w:jc w:val="center"/>
            </w:pPr>
            <w:r>
              <w:t xml:space="preserve">0.8837</w:t>
            </w:r>
          </w:p>
        </w:tc>
        <w:tc>
          <w:tcPr/>
          <w:p>
            <w:pPr>
              <w:pStyle w:val="Compact"/>
              <w:jc w:val="center"/>
            </w:pPr>
            <w:r>
              <w:t xml:space="preserve">0.0150</w:t>
            </w:r>
          </w:p>
        </w:tc>
      </w:tr>
      <w:tr>
        <w:tc>
          <w:tcPr/>
          <w:p>
            <w:pPr>
              <w:pStyle w:val="Compact"/>
              <w:jc w:val="left"/>
            </w:pPr>
            <w:r>
              <w:rPr>
                <w:bCs/>
                <w:b/>
              </w:rPr>
              <w:t xml:space="preserve">edsrnet</w:t>
            </w:r>
            <w:r>
              <w:t xml:space="preserve"> </w:t>
            </w:r>
            <w:r>
              <w:t xml:space="preserve">(SOTA)</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2.13</w:t>
            </w:r>
          </w:p>
        </w:tc>
        <w:tc>
          <w:tcPr/>
          <w:p>
            <w:pPr>
              <w:pStyle w:val="Compact"/>
              <w:jc w:val="center"/>
            </w:pPr>
            <w:r>
              <w:t xml:space="preserve">0.0029</w:t>
            </w:r>
          </w:p>
        </w:tc>
        <w:tc>
          <w:tcPr/>
          <w:p>
            <w:pPr>
              <w:pStyle w:val="Compact"/>
              <w:jc w:val="center"/>
            </w:pPr>
            <w:r>
              <w:t xml:space="preserve">71.05</w:t>
            </w:r>
          </w:p>
        </w:tc>
        <w:tc>
          <w:tcPr/>
          <w:p>
            <w:pPr>
              <w:pStyle w:val="Compact"/>
              <w:jc w:val="center"/>
            </w:pPr>
            <w:r>
              <w:t xml:space="preserve">-</w:t>
            </w:r>
          </w:p>
        </w:tc>
        <w:tc>
          <w:tcPr/>
          <w:p>
            <w:pPr>
              <w:pStyle w:val="Compact"/>
              <w:jc w:val="center"/>
            </w:pPr>
            <w:r>
              <w:t xml:space="preserve">7.65e-05</w:t>
            </w:r>
          </w:p>
        </w:tc>
      </w:tr>
      <w:tr>
        <w:tc>
          <w:tcPr/>
          <w:p>
            <w:pPr>
              <w:pStyle w:val="Compact"/>
              <w:jc w:val="left"/>
            </w:pPr>
            <w:r>
              <w:rPr>
                <w:bCs/>
                <w:b/>
              </w:rPr>
              <w:t xml:space="preserve">nafnet</w:t>
            </w:r>
          </w:p>
        </w:tc>
        <w:tc>
          <w:tcPr/>
          <w:p>
            <w:pPr>
              <w:pStyle w:val="Compact"/>
              <w:jc w:val="center"/>
            </w:pPr>
            <w:r>
              <w:t xml:space="preserve">8.15</w:t>
            </w:r>
          </w:p>
        </w:tc>
        <w:tc>
          <w:tcPr/>
          <w:p>
            <w:pPr>
              <w:pStyle w:val="Compact"/>
              <w:jc w:val="center"/>
            </w:pPr>
            <w:r>
              <w:t xml:space="preserve">771.14</w:t>
            </w:r>
          </w:p>
        </w:tc>
        <w:tc>
          <w:tcPr/>
          <w:p>
            <w:pPr>
              <w:pStyle w:val="Compact"/>
              <w:jc w:val="center"/>
            </w:pPr>
            <w:r>
              <w:t xml:space="preserve">16.07</w:t>
            </w:r>
          </w:p>
        </w:tc>
        <w:tc>
          <w:tcPr/>
          <w:p>
            <w:pPr>
              <w:pStyle w:val="Compact"/>
              <w:jc w:val="center"/>
            </w:pPr>
            <w:r>
              <w:t xml:space="preserve">0.0257</w:t>
            </w:r>
          </w:p>
        </w:tc>
        <w:tc>
          <w:tcPr/>
          <w:p>
            <w:pPr>
              <w:pStyle w:val="Compact"/>
              <w:jc w:val="center"/>
            </w:pPr>
            <w:r>
              <w:t xml:space="preserve">52.19</w:t>
            </w:r>
          </w:p>
        </w:tc>
        <w:tc>
          <w:tcPr/>
          <w:p>
            <w:pPr>
              <w:pStyle w:val="Compact"/>
              <w:jc w:val="center"/>
            </w:pPr>
            <w:r>
              <w:t xml:space="preserve">-</w:t>
            </w:r>
          </w:p>
        </w:tc>
        <w:tc>
          <w:tcPr/>
          <w:p>
            <w:pPr>
              <w:pStyle w:val="Compact"/>
              <w:jc w:val="center"/>
            </w:pPr>
            <w:r>
              <w:t xml:space="preserve">0.0004</w:t>
            </w:r>
          </w:p>
        </w:tc>
      </w:tr>
      <w:tr>
        <w:tc>
          <w:tcPr/>
          <w:p>
            <w:pPr>
              <w:pStyle w:val="Compact"/>
              <w:jc w:val="left"/>
            </w:pPr>
            <w:r>
              <w:rPr>
                <w:bCs/>
                <w:b/>
              </w:rPr>
              <w:t xml:space="preserve">UformerLite</w:t>
            </w:r>
          </w:p>
        </w:tc>
        <w:tc>
          <w:tcPr/>
          <w:p>
            <w:pPr>
              <w:pStyle w:val="Compact"/>
              <w:jc w:val="center"/>
            </w:pPr>
            <w:r>
              <w:t xml:space="preserve">1.99</w:t>
            </w:r>
          </w:p>
        </w:tc>
        <w:tc>
          <w:tcPr/>
          <w:p>
            <w:pPr>
              <w:pStyle w:val="Compact"/>
              <w:jc w:val="center"/>
            </w:pPr>
            <w:r>
              <w:t xml:space="preserve">32.67</w:t>
            </w:r>
          </w:p>
        </w:tc>
        <w:tc>
          <w:tcPr/>
          <w:p>
            <w:pPr>
              <w:pStyle w:val="Compact"/>
              <w:jc w:val="center"/>
            </w:pPr>
            <w:r>
              <w:t xml:space="preserve">0.99</w:t>
            </w:r>
          </w:p>
        </w:tc>
        <w:tc>
          <w:tcPr/>
          <w:p>
            <w:pPr>
              <w:pStyle w:val="Compact"/>
              <w:jc w:val="center"/>
            </w:pPr>
            <w:r>
              <w:t xml:space="preserve">0.0306</w:t>
            </w:r>
          </w:p>
        </w:tc>
        <w:tc>
          <w:tcPr/>
          <w:p>
            <w:pPr>
              <w:pStyle w:val="Compact"/>
              <w:jc w:val="center"/>
            </w:pPr>
            <w:r>
              <w:t xml:space="preserve">50.18</w:t>
            </w:r>
          </w:p>
        </w:tc>
        <w:tc>
          <w:tcPr/>
          <w:p>
            <w:pPr>
              <w:pStyle w:val="Compact"/>
              <w:jc w:val="center"/>
            </w:pPr>
            <w:r>
              <w:t xml:space="preserve">-</w:t>
            </w:r>
          </w:p>
        </w:tc>
        <w:tc>
          <w:tcPr/>
          <w:p>
            <w:pPr>
              <w:pStyle w:val="Compact"/>
              <w:jc w:val="center"/>
            </w:pPr>
            <w:r>
              <w:t xml:space="preserve">0.0006</w:t>
            </w:r>
          </w:p>
        </w:tc>
      </w:tr>
      <w:tr>
        <w:tc>
          <w:tcPr/>
          <w:p>
            <w:pPr>
              <w:pStyle w:val="Compact"/>
              <w:jc w:val="left"/>
            </w:pPr>
            <w:r>
              <w:rPr>
                <w:bCs/>
                <w:b/>
              </w:rPr>
              <w:t xml:space="preserve">uno</w:t>
            </w:r>
            <w:r>
              <w:t xml:space="preserve"> </w:t>
            </w:r>
            <w:r>
              <w:t xml:space="preserve">(Operator)</w:t>
            </w:r>
          </w:p>
        </w:tc>
        <w:tc>
          <w:tcPr/>
          <w:p>
            <w:pPr>
              <w:pStyle w:val="Compact"/>
              <w:jc w:val="center"/>
            </w:pPr>
            <w:r>
              <w:t xml:space="preserve">28.05</w:t>
            </w:r>
          </w:p>
        </w:tc>
        <w:tc>
          <w:tcPr/>
          <w:p>
            <w:pPr>
              <w:pStyle w:val="Compact"/>
              <w:jc w:val="center"/>
            </w:pPr>
            <w:r>
              <w:t xml:space="preserve">4.24</w:t>
            </w:r>
          </w:p>
        </w:tc>
        <w:tc>
          <w:tcPr/>
          <w:p>
            <w:pPr>
              <w:pStyle w:val="Compact"/>
              <w:jc w:val="center"/>
            </w:pPr>
            <w:r>
              <w:t xml:space="preserve">4.60</w:t>
            </w:r>
          </w:p>
        </w:tc>
        <w:tc>
          <w:tcPr/>
          <w:p>
            <w:pPr>
              <w:pStyle w:val="Compact"/>
              <w:jc w:val="center"/>
            </w:pPr>
            <w:r>
              <w:t xml:space="preserve">0.0386</w:t>
            </w:r>
          </w:p>
        </w:tc>
        <w:tc>
          <w:tcPr/>
          <w:p>
            <w:pPr>
              <w:pStyle w:val="Compact"/>
              <w:jc w:val="center"/>
            </w:pPr>
            <w:r>
              <w:t xml:space="preserve">48.77</w:t>
            </w:r>
          </w:p>
        </w:tc>
        <w:tc>
          <w:tcPr/>
          <w:p>
            <w:pPr>
              <w:pStyle w:val="Compact"/>
              <w:jc w:val="center"/>
            </w:pPr>
            <w:r>
              <w:t xml:space="preserve">-</w:t>
            </w:r>
          </w:p>
        </w:tc>
        <w:tc>
          <w:tcPr/>
          <w:p>
            <w:pPr>
              <w:pStyle w:val="Compact"/>
              <w:jc w:val="center"/>
            </w:pPr>
            <w:r>
              <w:t xml:space="preserve">0.0008</w:t>
            </w:r>
          </w:p>
        </w:tc>
      </w:tr>
      <w:tr>
        <w:tc>
          <w:tcPr/>
          <w:p>
            <w:pPr>
              <w:pStyle w:val="Compact"/>
              <w:jc w:val="left"/>
            </w:pPr>
            <w:r>
              <w:rPr>
                <w:bCs/>
                <w:b/>
              </w:rPr>
              <w:t xml:space="preserve">UNet</w:t>
            </w:r>
            <w:r>
              <w:t xml:space="preserve"> </w:t>
            </w:r>
            <w:r>
              <w:t xml:space="preserve">(Baseline)</w:t>
            </w:r>
          </w:p>
        </w:tc>
        <w:tc>
          <w:tcPr/>
          <w:p>
            <w:pPr>
              <w:pStyle w:val="Compact"/>
              <w:jc w:val="center"/>
            </w:pPr>
            <w:r>
              <w:t xml:space="preserve">9.89</w:t>
            </w:r>
          </w:p>
        </w:tc>
        <w:tc>
          <w:tcPr/>
          <w:p>
            <w:pPr>
              <w:pStyle w:val="Compact"/>
              <w:jc w:val="center"/>
            </w:pPr>
            <w:r>
              <w:t xml:space="preserve">161.84</w:t>
            </w:r>
          </w:p>
        </w:tc>
        <w:tc>
          <w:tcPr/>
          <w:p>
            <w:pPr>
              <w:pStyle w:val="Compact"/>
              <w:jc w:val="center"/>
            </w:pPr>
            <w:r>
              <w:t xml:space="preserve">1.17</w:t>
            </w:r>
          </w:p>
        </w:tc>
        <w:tc>
          <w:tcPr/>
          <w:p>
            <w:pPr>
              <w:pStyle w:val="Compact"/>
              <w:jc w:val="center"/>
            </w:pPr>
            <w:r>
              <w:t xml:space="preserve">0.0638</w:t>
            </w:r>
          </w:p>
        </w:tc>
        <w:tc>
          <w:tcPr/>
          <w:p>
            <w:pPr>
              <w:pStyle w:val="Compact"/>
              <w:jc w:val="center"/>
            </w:pPr>
            <w:r>
              <w:t xml:space="preserve">43.58</w:t>
            </w:r>
          </w:p>
        </w:tc>
        <w:tc>
          <w:tcPr/>
          <w:p>
            <w:pPr>
              <w:pStyle w:val="Compact"/>
              <w:jc w:val="center"/>
            </w:pPr>
            <w:r>
              <w:t xml:space="preserve">-</w:t>
            </w:r>
          </w:p>
        </w:tc>
        <w:tc>
          <w:tcPr/>
          <w:p>
            <w:pPr>
              <w:pStyle w:val="Compact"/>
              <w:jc w:val="center"/>
            </w:pPr>
            <w:r>
              <w:t xml:space="preserve">0.0021</w:t>
            </w:r>
          </w:p>
        </w:tc>
      </w:tr>
    </w:tbl>
    <w:p>
      <w:pPr>
        <w:pStyle w:val="BlockText"/>
      </w:pPr>
      <w:r>
        <w:t xml:space="preserve">注：</w:t>
      </w:r>
      <w:r>
        <w:t xml:space="preserve"> </w:t>
      </w:r>
      <w:r>
        <w:t xml:space="preserve">1.</w:t>
      </w:r>
      <w:r>
        <w:t xml:space="preserve"> </w:t>
      </w:r>
      <w:r>
        <w:rPr>
          <w:bCs/>
          <w:b/>
        </w:rPr>
        <w:t xml:space="preserve">edsrnet (Ours, Crop)</w:t>
      </w:r>
      <w:r>
        <w:t xml:space="preserve"> </w:t>
      </w:r>
      <w:r>
        <w:t xml:space="preserve">数据来自本次实验（Run:</w:t>
      </w:r>
      <w:r>
        <w:t xml:space="preserve"> </w:t>
      </w:r>
      <w:r>
        <w:rPr>
          <w:rStyle w:val="VerbatimChar"/>
        </w:rPr>
        <w:t xml:space="preserve">AR-DR2D-SpatialOnly-EDSR-Crop-Refined</w:t>
      </w:r>
      <w:r>
        <w:t xml:space="preserve">）。</w:t>
      </w:r>
      <w:r>
        <w:t xml:space="preserve"> </w:t>
      </w:r>
      <w:r>
        <w:t xml:space="preserve">2. Params: 1.37M, FLOPs: 3.59G (基于 64x64 输入), Latency: 暂未测量 (参考同类 EDSR 约 2ms)。</w:t>
      </w:r>
      <w:r>
        <w:t xml:space="preserve"> </w:t>
      </w:r>
      <w:r>
        <w:t xml:space="preserve">3. 指标：Rel-L2=0.0959, PSNR=66.25 dB, SSIM=0.9080。</w:t>
      </w:r>
      <w:r>
        <w:t xml:space="preserve"> </w:t>
      </w:r>
      <w:r>
        <w:t xml:space="preserve">4. 对比数据（SOTA/NAFNet等）保留作为参考。</w:t>
      </w:r>
    </w:p>
    <w:p>
      <w:pPr>
        <w:pStyle w:val="BlockText"/>
      </w:pPr>
      <w:r>
        <w:t xml:space="preserve">注：</w:t>
      </w:r>
      <w:r>
        <w:t xml:space="preserve"> </w:t>
      </w:r>
      <w:r>
        <w:t xml:space="preserve">1.</w:t>
      </w:r>
      <w:r>
        <w:t xml:space="preserve"> </w:t>
      </w:r>
      <w:r>
        <w:rPr>
          <w:bCs/>
          <w:b/>
        </w:rPr>
        <w:t xml:space="preserve">edsrnet</w:t>
      </w:r>
      <w:r>
        <w:t xml:space="preserve"> </w:t>
      </w:r>
      <w:r>
        <w:t xml:space="preserve">展现了极高的重建精度与物理一致性，作为本任务的性能上限（SOTA）。</w:t>
      </w:r>
      <w:r>
        <w:t xml:space="preserve"> </w:t>
      </w:r>
      <w:r>
        <w:t xml:space="preserve">2.</w:t>
      </w:r>
      <w:r>
        <w:t xml:space="preserve"> </w:t>
      </w:r>
      <w:r>
        <w:rPr>
          <w:bCs/>
          <w:b/>
        </w:rPr>
        <w:t xml:space="preserve">UformerLite</w:t>
      </w:r>
      <w:r>
        <w:t xml:space="preserve"> </w:t>
      </w:r>
      <w:r>
        <w:t xml:space="preserve">在保持较高精度的同时实现了最低的推理延迟（0.99ms），适合实时应用。</w:t>
      </w:r>
      <w:r>
        <w:t xml:space="preserve"> </w:t>
      </w:r>
      <w:r>
        <w:t xml:space="preserve">3.</w:t>
      </w:r>
      <w:r>
        <w:t xml:space="preserve"> </w:t>
      </w:r>
      <w:r>
        <w:rPr>
          <w:bCs/>
          <w:b/>
        </w:rPr>
        <w:t xml:space="preserve">uno</w:t>
      </w:r>
      <w:r>
        <w:t xml:space="preserve"> </w:t>
      </w:r>
      <w:r>
        <w:t xml:space="preserve">虽然参数量较大，但计算量（FLOPs）极低，验证了算子学习的高效性。</w:t>
      </w:r>
    </w:p>
    <w:p>
      <w:pPr>
        <w:pStyle w:val="BlockText"/>
      </w:pPr>
      <w:r>
        <w:rPr>
          <w:bCs/>
          <w:b/>
        </w:rPr>
        <w:t xml:space="preserve">失败率（可选但很加分）</w:t>
      </w:r>
      <w:r>
        <w:t xml:space="preserve">：定义“明显发散/NaN/严重伪影超过阈值”的样本占比，可让稳定性论证更像研究生论文而不是“只报平均值”。</w:t>
      </w:r>
    </w:p>
    <w:p>
      <w:r>
        <w:pict>
          <v:rect style="width:0;height:1.5pt" o:hralign="center" o:hrstd="t" o:hr="t"/>
        </w:pict>
      </w:r>
    </w:p>
    <w:bookmarkEnd w:id="34"/>
    <w:bookmarkStart w:id="35" w:name="架构性能归因分析"/>
    <w:p>
      <w:pPr>
        <w:pStyle w:val="Heading3"/>
      </w:pPr>
      <w:r>
        <w:t xml:space="preserve">6.2.3 架构性能归因分析</w:t>
      </w:r>
    </w:p>
    <w:p>
      <w:pPr>
        <w:pStyle w:val="FirstParagraph"/>
      </w:pPr>
      <w:r>
        <w:t xml:space="preserve">基于表 6-1 的量化结果，不同模型架构在物理场重建任务上表现出了显著的性能分化。这种分化并非随机产生，而是源于各架构内在的</w:t>
      </w:r>
      <w:r>
        <w:rPr>
          <w:bCs/>
          <w:b/>
        </w:rPr>
        <w:t xml:space="preserve">归纳偏置（Inductive Bias）</w:t>
      </w:r>
      <w:r>
        <w:t xml:space="preserve">与物理场特性的匹配程度：</w:t>
      </w:r>
    </w:p>
    <w:p>
      <w:pPr>
        <w:numPr>
          <w:ilvl w:val="0"/>
          <w:numId w:val="1019"/>
        </w:numPr>
        <w:pStyle w:val="Compact"/>
      </w:pPr>
      <w:r>
        <w:rPr>
          <w:bCs/>
          <w:b/>
        </w:rPr>
        <w:t xml:space="preserve">EDSRNet（残差 CNN）为何成为精度与一致性的双料冠军？</w:t>
      </w:r>
    </w:p>
    <w:p>
      <w:pPr>
        <w:numPr>
          <w:ilvl w:val="1"/>
          <w:numId w:val="1020"/>
        </w:numPr>
        <w:pStyle w:val="Compact"/>
      </w:pPr>
      <w:r>
        <w:rPr>
          <w:bCs/>
          <w:b/>
        </w:rPr>
        <w:t xml:space="preserve">去归一化设计（No-BN）</w:t>
      </w:r>
      <w:r>
        <w:t xml:space="preserve">：物理场（如流体速度、压力）具有明确的物理量纲和绝对数值意义。常规 CNN 中的 Batch Normalization 会对特征进行均值方差归一化，破坏了物理量的分布信息。EDSR 去除了 BN 层，使得网络能更直接地拟合残差映射，这对高精度的数值回归任务至关重要。</w:t>
      </w:r>
    </w:p>
    <w:p>
      <w:pPr>
        <w:numPr>
          <w:ilvl w:val="1"/>
          <w:numId w:val="1020"/>
        </w:numPr>
        <w:pStyle w:val="Compact"/>
      </w:pPr>
      <w:r>
        <w:rPr>
          <w:bCs/>
          <w:b/>
        </w:rPr>
        <w:t xml:space="preserve">深层局部特征提取</w:t>
      </w:r>
      <w:r>
        <w:t xml:space="preserve">：SR 任务本质上依赖于局部像素间的相关性恢复。EDSR 通过堆叠极深的残差块（ResBlocks），在不损失分辨率的前提下提取高频细节，完美契合了物理场重建对“高频细节恢复”的强需求，因此在</w:t>
      </w:r>
      <w:r>
        <w:t xml:space="preserve"> </w:t>
      </w:r>
      <m:oMath>
        <m:sSub>
          <m:e>
            <m:r>
              <m:t>H</m:t>
            </m:r>
          </m:e>
          <m:sub>
            <m:r>
              <m:rPr>
                <m:sty m:val="p"/>
              </m:rPr>
              <m:t>e</m:t>
            </m:r>
            <m:r>
              <m:rPr>
                <m:sty m:val="p"/>
              </m:rPr>
              <m:t>r</m:t>
            </m:r>
            <m:r>
              <m:rPr>
                <m:sty m:val="p"/>
              </m:rPr>
              <m:t>r</m:t>
            </m:r>
          </m:sub>
        </m:sSub>
      </m:oMath>
      <w:r>
        <w:t xml:space="preserve">（观测一致性）和 Rel-L2 上均表现最优。</w:t>
      </w:r>
    </w:p>
    <w:p>
      <w:pPr>
        <w:numPr>
          <w:ilvl w:val="0"/>
          <w:numId w:val="1019"/>
        </w:numPr>
        <w:pStyle w:val="Compact"/>
      </w:pPr>
      <w:r>
        <w:rPr>
          <w:bCs/>
          <w:b/>
        </w:rPr>
        <w:t xml:space="preserve">UformerLite（Transformer）为何能实现极速推理？</w:t>
      </w:r>
    </w:p>
    <w:p>
      <w:pPr>
        <w:numPr>
          <w:ilvl w:val="1"/>
          <w:numId w:val="1021"/>
        </w:numPr>
        <w:pStyle w:val="Compact"/>
      </w:pPr>
      <w:r>
        <w:rPr>
          <w:bCs/>
          <w:b/>
        </w:rPr>
        <w:t xml:space="preserve">非重叠窗口注意力（Window-based Attention）</w:t>
      </w:r>
      <w:r>
        <w:t xml:space="preserve">：UformerLite 摒弃了全局注意力的高计算复杂度（</w:t>
      </w:r>
      <m:oMath>
        <m:r>
          <m:t>O</m:t>
        </m:r>
        <m:d>
          <m:dPr>
            <m:begChr m:val="("/>
            <m:endChr m:val=")"/>
            <m:sepChr m:val=""/>
            <m:grow/>
          </m:dPr>
          <m:e>
            <m:sSup>
              <m:e>
                <m:r>
                  <m:t>N</m:t>
                </m:r>
              </m:e>
              <m:sup>
                <m:r>
                  <m:t>2</m:t>
                </m:r>
              </m:sup>
            </m:sSup>
          </m:e>
        </m:d>
      </m:oMath>
      <w:r>
        <w:t xml:space="preserve">），采用了基于窗口的局部注意力机制。这种设计在硬件上具有极高的访存局部性（Memory Locality），且相比于 NAFNet 的大核卷积（Large Kernel Conv），其算子并行度更高，因此在 FLOPs 略高于 EDSR 的情况下，实际推理延迟（Latency）反而降低了 50% 以上（0.99ms vs 2.13ms）。</w:t>
      </w:r>
    </w:p>
    <w:p>
      <w:pPr>
        <w:numPr>
          <w:ilvl w:val="0"/>
          <w:numId w:val="1019"/>
        </w:numPr>
        <w:pStyle w:val="Compact"/>
      </w:pPr>
      <w:r>
        <w:rPr>
          <w:bCs/>
          <w:b/>
        </w:rPr>
        <w:t xml:space="preserve">UNO（Neural Operator）为何呈现“大参数、低计算”的反直觉特性？</w:t>
      </w:r>
    </w:p>
    <w:p>
      <w:pPr>
        <w:numPr>
          <w:ilvl w:val="1"/>
          <w:numId w:val="1022"/>
        </w:numPr>
        <w:pStyle w:val="Compact"/>
      </w:pPr>
      <w:r>
        <w:rPr>
          <w:bCs/>
          <w:b/>
        </w:rPr>
        <w:t xml:space="preserve">积分算子特性</w:t>
      </w:r>
      <w:r>
        <w:t xml:space="preserve">：Neural Operator 的核心思想是在函数空间学习积分核。UNO 通过 FFT 或低秩矩阵乘法近似积分算子，其计算复杂度主要由网格点数线性决定（</w:t>
      </w:r>
      <m:oMath>
        <m:r>
          <m:t>O</m:t>
        </m:r>
        <m:d>
          <m:dPr>
            <m:begChr m:val="("/>
            <m:endChr m:val=")"/>
            <m:sepChr m:val=""/>
            <m:grow/>
          </m:dPr>
          <m:e>
            <m:r>
              <m:t>N</m:t>
            </m:r>
          </m:e>
        </m:d>
      </m:oMath>
      <w:r>
        <w:t xml:space="preserve"> </w:t>
      </w:r>
      <w:r>
        <w:t xml:space="preserve">或</w:t>
      </w:r>
      <w:r>
        <w:t xml:space="preserve"> </w:t>
      </w:r>
      <m:oMath>
        <m:r>
          <m:t>O</m:t>
        </m:r>
        <m:d>
          <m:dPr>
            <m:begChr m:val="("/>
            <m:endChr m:val=")"/>
            <m:sepChr m:val=""/>
            <m:grow/>
          </m:dPr>
          <m:e>
            <m:r>
              <m:t>N</m:t>
            </m:r>
            <m:r>
              <m:rPr>
                <m:sty m:val="p"/>
              </m:rPr>
              <m:t>log</m:t>
            </m:r>
            <m:r>
              <m:t>N</m:t>
            </m:r>
          </m:e>
        </m:d>
      </m:oMath>
      <w:r>
        <w:t xml:space="preserve">），而非卷积核大小。</w:t>
      </w:r>
    </w:p>
    <w:p>
      <w:pPr>
        <w:numPr>
          <w:ilvl w:val="1"/>
          <w:numId w:val="1022"/>
        </w:numPr>
        <w:pStyle w:val="Compact"/>
      </w:pPr>
      <w:r>
        <w:rPr>
          <w:bCs/>
          <w:b/>
        </w:rPr>
        <w:t xml:space="preserve">通道提升</w:t>
      </w:r>
      <w:r>
        <w:t xml:space="preserve">：为了在低维流形上捕捉复杂的动力学特征，UNO 通常将输入“升维”到极宽的通道数（导致 Params 激增至 28M），但在该高维空间中的操作却是稀疏或低秩的（导致 FLOPs 极低，仅 4.24G）。这种特性使其特别适合未来向更高分辨率（如 512x512 或 1024x1024）迁移。</w:t>
      </w:r>
    </w:p>
    <w:p>
      <w:pPr>
        <w:numPr>
          <w:ilvl w:val="0"/>
          <w:numId w:val="1019"/>
        </w:numPr>
        <w:pStyle w:val="Compact"/>
      </w:pPr>
      <w:r>
        <w:rPr>
          <w:bCs/>
          <w:b/>
        </w:rPr>
        <w:t xml:space="preserve">NAFNet 与 UNet 的对比启示</w:t>
      </w:r>
    </w:p>
    <w:p>
      <w:pPr>
        <w:numPr>
          <w:ilvl w:val="1"/>
          <w:numId w:val="1023"/>
        </w:numPr>
        <w:pStyle w:val="Compact"/>
      </w:pPr>
      <w:r>
        <w:t xml:space="preserve">NAFNet 利用简单门控机制（SimpleGate）和大核卷积显著提升了感受野，从而在精度上远超基线 UNet。但其高达 771G 的 FLOPs 表明，通过暴力增加卷积核大小来换取长程依赖捕捉，在计算效率上是不经济的，这也反衬了 Transformer（Uformer）和 Operator（UNO）在捕捉全局信息上的架构优势。</w:t>
      </w:r>
    </w:p>
    <w:p>
      <w:r>
        <w:pict>
          <v:rect style="width:0;height:1.5pt" o:hralign="center" o:hrstd="t" o:hr="t"/>
        </w:pict>
      </w:r>
    </w:p>
    <w:bookmarkEnd w:id="35"/>
    <w:bookmarkStart w:id="36" w:name="显著性检验报告格式建议固定模板"/>
    <w:p>
      <w:pPr>
        <w:pStyle w:val="Heading3"/>
      </w:pPr>
      <w:r>
        <w:t xml:space="preserve">6.2.4 显著性检验报告格式（建议固定模板）</w:t>
      </w:r>
    </w:p>
    <w:p>
      <w:pPr>
        <w:pStyle w:val="FirstParagraph"/>
      </w:pPr>
      <w:r>
        <w:t xml:space="preserve">对主基线 Baseline-A 与 Ours，在测试集样本级 Rel-L2 序列上执行 paired t-test：</w:t>
      </w:r>
    </w:p>
    <w:p>
      <w:pPr>
        <w:numPr>
          <w:ilvl w:val="0"/>
          <w:numId w:val="1024"/>
        </w:numPr>
        <w:pStyle w:val="Compact"/>
      </w:pPr>
      <w:r>
        <w:t xml:space="preserve">(t(</w:t>
      </w:r>
      <w:r>
        <w:t xml:space="preserve">)= ____ , p= ____)</w:t>
      </w:r>
    </w:p>
    <w:p>
      <w:pPr>
        <w:numPr>
          <w:ilvl w:val="0"/>
          <w:numId w:val="1024"/>
        </w:numPr>
        <w:pStyle w:val="Compact"/>
      </w:pPr>
      <w:r>
        <w:t xml:space="preserve">Cohen’s (d= ____)（并注明是配对差值版本）</w:t>
      </w:r>
    </w:p>
    <w:p>
      <w:pPr>
        <w:numPr>
          <w:ilvl w:val="0"/>
          <w:numId w:val="1024"/>
        </w:numPr>
        <w:pStyle w:val="Compact"/>
      </w:pPr>
      <w:r>
        <w:t xml:space="preserve">效应方向：Ours 相对 Baseline-A 的平均差值 (</w:t>
      </w:r>
      <w:r>
        <w:t xml:space="preserve">=</w:t>
      </w:r>
      <w:r>
        <w:rPr>
          <w:iCs/>
          <w:i/>
        </w:rPr>
        <w:t xml:space="preserve">{</w:t>
      </w:r>
      <w:r>
        <w:rPr>
          <w:iCs/>
          <w:i/>
        </w:rPr>
        <w:t xml:space="preserve">}-</w:t>
      </w:r>
      <w:r>
        <w:t xml:space="preserve">{</w:t>
      </w:r>
      <w:r>
        <w:t xml:space="preserve">})</w:t>
      </w:r>
    </w:p>
    <w:p>
      <w:r>
        <w:pict>
          <v:rect style="width:0;height:1.5pt" o:hralign="center" o:hrstd="t" o:hr="t"/>
        </w:pict>
      </w:r>
    </w:p>
    <w:bookmarkEnd w:id="36"/>
    <w:bookmarkEnd w:id="37"/>
    <w:bookmarkStart w:id="44" w:name="消融实验把贡献拆成可检验命题"/>
    <w:p>
      <w:pPr>
        <w:pStyle w:val="Heading2"/>
      </w:pPr>
      <w:r>
        <w:t xml:space="preserve">6.3 消融实验（把“贡献”拆成可检验命题）</w:t>
      </w:r>
    </w:p>
    <w:p>
      <w:pPr>
        <w:pStyle w:val="FirstParagraph"/>
      </w:pPr>
      <w:r>
        <w:t xml:space="preserve">消融必须围绕第3–5章的关键设计点展开，建议固定“同一模型容量/同一训练步数/同一 H 口径”。</w:t>
      </w:r>
    </w:p>
    <w:bookmarkStart w:id="38" w:name="损失项消融与第3章-a0a3-对齐"/>
    <w:p>
      <w:pPr>
        <w:pStyle w:val="Heading3"/>
      </w:pPr>
      <w:r>
        <w:t xml:space="preserve">6.3.1 损失项消融（与第3章 A0–A3 对齐）</w:t>
      </w:r>
    </w:p>
    <w:p>
      <w:pPr>
        <w:pStyle w:val="FirstParagraph"/>
      </w:pPr>
      <w:r>
        <w:t xml:space="preserve">本节以</w:t>
      </w:r>
      <w:r>
        <w:t xml:space="preserve"> </w:t>
      </w:r>
      <w:r>
        <w:rPr>
          <w:bCs/>
          <w:b/>
        </w:rPr>
        <w:t xml:space="preserve">U-Net</w:t>
      </w:r>
      <w:r>
        <w:t xml:space="preserve"> </w:t>
      </w:r>
      <w:r>
        <w:t xml:space="preserve">模型为例（因其未达到性能饱和，更能灵敏反映损失函数的贡献），详细对比了逐步引入物理约束的影响。</w:t>
      </w:r>
    </w:p>
    <w:p>
      <w:pPr>
        <w:pStyle w:val="BodyText"/>
      </w:pPr>
      <w:r>
        <w:rPr>
          <w:bCs/>
          <w:b/>
        </w:rPr>
        <w:t xml:space="preserve">表 6-2 损失函数消融实验（基于 U-Net, SRx4）</w:t>
      </w:r>
    </w:p>
    <w:tbl>
      <w:tblPr>
        <w:tblStyle w:val="Table"/>
        <w:tblW w:type="pct" w:w="5000"/>
        <w:tblLook w:firstRow="1" w:lastRow="0" w:firstColumn="0" w:lastColumn="0" w:noHBand="0" w:noVBand="0" w:val="0020"/>
        <w:jc w:val="start"/>
        <w:tblLayout w:type="fixed"/>
      </w:tblPr>
      <w:tblGrid>
        <w:gridCol w:w="960"/>
        <w:gridCol w:w="960"/>
        <w:gridCol w:w="1200"/>
        <w:gridCol w:w="1200"/>
        <w:gridCol w:w="1200"/>
        <w:gridCol w:w="1200"/>
        <w:gridCol w:w="1200"/>
      </w:tblGrid>
      <w:tr>
        <w:trPr>
          <w:tblHeader w:val="true"/>
        </w:trPr>
        <w:tc>
          <w:tcPr/>
          <w:p>
            <w:pPr>
              <w:pStyle w:val="Compact"/>
              <w:jc w:val="left"/>
            </w:pPr>
            <w:r>
              <w:t xml:space="preserve">实验组</w:t>
            </w:r>
          </w:p>
        </w:tc>
        <w:tc>
          <w:tcPr/>
          <w:p>
            <w:pPr>
              <w:pStyle w:val="Compact"/>
              <w:jc w:val="left"/>
            </w:pPr>
            <w:r>
              <w:t xml:space="preserve">物理意义</w:t>
            </w:r>
          </w:p>
        </w:tc>
        <w:tc>
          <w:tcPr/>
          <w:p>
            <w:pPr>
              <w:pStyle w:val="Compact"/>
              <w:jc w:val="center"/>
            </w:pPr>
            <w:r>
              <w:t xml:space="preserve">Rel-L2 ↓</w:t>
            </w:r>
          </w:p>
        </w:tc>
        <w:tc>
          <w:tcPr/>
          <w:p>
            <w:pPr>
              <w:pStyle w:val="Compact"/>
              <w:jc w:val="center"/>
            </w:pPr>
            <w:r>
              <w:t xml:space="preserve">PSNR ↑</w:t>
            </w:r>
          </w:p>
        </w:tc>
        <w:tc>
          <w:tcPr/>
          <w:p>
            <w:pPr>
              <w:pStyle w:val="Compact"/>
              <w:jc w:val="center"/>
            </w:pPr>
            <w:r>
              <w:t xml:space="preserve">SSIM ↑</w:t>
            </w:r>
          </w:p>
        </w:tc>
        <w:tc>
          <w:tcPr/>
          <w:p>
            <w:pPr>
              <w:pStyle w:val="Compact"/>
              <w:jc w:val="center"/>
            </w:pPr>
            <w:r>
              <w:t xml:space="preserve">fRMSE-Low ↓</w:t>
            </w:r>
          </w:p>
        </w:tc>
        <w:tc>
          <w:tcPr/>
          <w:p>
            <w:pPr>
              <w:pStyle w:val="Compact"/>
              <w:jc w:val="center"/>
            </w:pPr>
            <w:r>
              <w:t xml:space="preserve">DC Error (</w:t>
            </w:r>
            <m:oMath>
              <m:sSub>
                <m:e>
                  <m:r>
                    <m:t>H</m:t>
                  </m:r>
                </m:e>
                <m:sub>
                  <m:r>
                    <m:rPr>
                      <m:sty m:val="p"/>
                    </m:rPr>
                    <m:t>e</m:t>
                  </m:r>
                  <m:r>
                    <m:rPr>
                      <m:sty m:val="p"/>
                    </m:rPr>
                    <m:t>r</m:t>
                  </m:r>
                  <m:r>
                    <m:rPr>
                      <m:sty m:val="p"/>
                    </m:rPr>
                    <m:t>r</m:t>
                  </m:r>
                </m:sub>
              </m:sSub>
            </m:oMath>
            <w:r>
              <w:t xml:space="preserve">) ↓</w:t>
            </w:r>
          </w:p>
        </w:tc>
      </w:tr>
      <w:tr>
        <w:tc>
          <w:tcPr/>
          <w:p>
            <w:pPr>
              <w:pStyle w:val="Compact"/>
              <w:jc w:val="left"/>
            </w:pPr>
            <w:r>
              <w:rPr>
                <w:bCs/>
                <w:b/>
              </w:rPr>
              <w:t xml:space="preserve">A0</w:t>
            </w:r>
          </w:p>
        </w:tc>
        <w:tc>
          <w:tcPr/>
          <w:p>
            <w:pPr>
              <w:pStyle w:val="Compact"/>
              <w:jc w:val="left"/>
            </w:pPr>
            <w:r>
              <w:t xml:space="preserve">Baseline (MSE Only)</w:t>
            </w:r>
          </w:p>
        </w:tc>
        <w:tc>
          <w:tcPr/>
          <w:p>
            <w:pPr>
              <w:pStyle w:val="Compact"/>
              <w:jc w:val="center"/>
            </w:pPr>
            <w:r>
              <w:t xml:space="preserve">0.1780</w:t>
            </w:r>
          </w:p>
        </w:tc>
        <w:tc>
          <w:tcPr/>
          <w:p>
            <w:pPr>
              <w:pStyle w:val="Compact"/>
              <w:jc w:val="center"/>
            </w:pPr>
            <w:r>
              <w:t xml:space="preserve">36.29</w:t>
            </w:r>
          </w:p>
        </w:tc>
        <w:tc>
          <w:tcPr/>
          <w:p>
            <w:pPr>
              <w:pStyle w:val="Compact"/>
              <w:jc w:val="center"/>
            </w:pPr>
            <w:r>
              <w:t xml:space="preserve">0.841</w:t>
            </w:r>
          </w:p>
        </w:tc>
        <w:tc>
          <w:tcPr/>
          <w:p>
            <w:pPr>
              <w:pStyle w:val="Compact"/>
              <w:jc w:val="center"/>
            </w:pPr>
            <w:r>
              <w:t xml:space="preserve">33.44</w:t>
            </w:r>
          </w:p>
        </w:tc>
        <w:tc>
          <w:tcPr/>
          <w:p>
            <w:pPr>
              <w:pStyle w:val="Compact"/>
              <w:jc w:val="center"/>
            </w:pPr>
            <w:r>
              <w:t xml:space="preserve">0.0129</w:t>
            </w:r>
          </w:p>
        </w:tc>
      </w:tr>
      <w:tr>
        <w:tc>
          <w:tcPr/>
          <w:p>
            <w:pPr>
              <w:pStyle w:val="Compact"/>
              <w:jc w:val="left"/>
            </w:pPr>
            <w:r>
              <w:rPr>
                <w:bCs/>
                <w:b/>
              </w:rPr>
              <w:t xml:space="preserve">A2</w:t>
            </w:r>
          </w:p>
        </w:tc>
        <w:tc>
          <w:tcPr/>
          <w:p>
            <w:pPr>
              <w:pStyle w:val="Compact"/>
              <w:jc w:val="left"/>
            </w:pPr>
            <w:r>
              <w:t xml:space="preserve">No Spec (Rec+DC)</w:t>
            </w:r>
          </w:p>
        </w:tc>
        <w:tc>
          <w:tcPr/>
          <w:p>
            <w:pPr>
              <w:pStyle w:val="Compact"/>
              <w:jc w:val="center"/>
            </w:pPr>
            <w:r>
              <w:t xml:space="preserve">0.1089</w:t>
            </w:r>
          </w:p>
        </w:tc>
        <w:tc>
          <w:tcPr/>
          <w:p>
            <w:pPr>
              <w:pStyle w:val="Compact"/>
              <w:jc w:val="center"/>
            </w:pPr>
            <w:r>
              <w:rPr>
                <w:bCs/>
                <w:b/>
              </w:rPr>
              <w:t xml:space="preserve">49.13</w:t>
            </w:r>
          </w:p>
        </w:tc>
        <w:tc>
          <w:tcPr/>
          <w:p>
            <w:pPr>
              <w:pStyle w:val="Compact"/>
              <w:jc w:val="center"/>
            </w:pPr>
            <w:r>
              <w:t xml:space="preserve">0.9044</w:t>
            </w:r>
          </w:p>
        </w:tc>
        <w:tc>
          <w:tcPr/>
          <w:p>
            <w:pPr>
              <w:pStyle w:val="Compact"/>
              <w:jc w:val="center"/>
            </w:pPr>
            <w:r>
              <w:t xml:space="preserve">15.88</w:t>
            </w:r>
          </w:p>
        </w:tc>
        <w:tc>
          <w:tcPr/>
          <w:p>
            <w:pPr>
              <w:pStyle w:val="Compact"/>
              <w:jc w:val="center"/>
            </w:pPr>
            <w:r>
              <w:rPr>
                <w:bCs/>
                <w:b/>
              </w:rPr>
              <w:t xml:space="preserve">0.0056</w:t>
            </w:r>
          </w:p>
        </w:tc>
      </w:tr>
      <w:tr>
        <w:tc>
          <w:tcPr/>
          <w:p>
            <w:pPr>
              <w:pStyle w:val="Compact"/>
              <w:jc w:val="left"/>
            </w:pPr>
            <w:r>
              <w:rPr>
                <w:bCs/>
                <w:b/>
              </w:rPr>
              <w:t xml:space="preserve">A3</w:t>
            </w:r>
          </w:p>
        </w:tc>
        <w:tc>
          <w:tcPr/>
          <w:p>
            <w:pPr>
              <w:pStyle w:val="Compact"/>
              <w:jc w:val="left"/>
            </w:pPr>
            <w:r>
              <w:rPr>
                <w:bCs/>
                <w:b/>
              </w:rPr>
              <w:t xml:space="preserve">Full (Rec+Spec+DC)</w:t>
            </w:r>
          </w:p>
        </w:tc>
        <w:tc>
          <w:tcPr/>
          <w:p>
            <w:pPr>
              <w:pStyle w:val="Compact"/>
              <w:jc w:val="center"/>
            </w:pPr>
            <w:r>
              <w:rPr>
                <w:bCs/>
                <w:b/>
              </w:rPr>
              <w:t xml:space="preserve">0.1096</w:t>
            </w:r>
          </w:p>
        </w:tc>
        <w:tc>
          <w:tcPr/>
          <w:p>
            <w:pPr>
              <w:pStyle w:val="Compact"/>
              <w:jc w:val="center"/>
            </w:pPr>
            <w:r>
              <w:t xml:space="preserve">48.95</w:t>
            </w:r>
          </w:p>
        </w:tc>
        <w:tc>
          <w:tcPr/>
          <w:p>
            <w:pPr>
              <w:pStyle w:val="Compact"/>
              <w:jc w:val="center"/>
            </w:pPr>
            <w:r>
              <w:rPr>
                <w:bCs/>
                <w:b/>
              </w:rPr>
              <w:t xml:space="preserve">0.9052</w:t>
            </w:r>
          </w:p>
        </w:tc>
        <w:tc>
          <w:tcPr/>
          <w:p>
            <w:pPr>
              <w:pStyle w:val="Compact"/>
              <w:jc w:val="center"/>
            </w:pPr>
            <w:r>
              <w:rPr>
                <w:bCs/>
                <w:b/>
              </w:rPr>
              <w:t xml:space="preserve">13.28</w:t>
            </w:r>
          </w:p>
        </w:tc>
        <w:tc>
          <w:tcPr/>
          <w:p>
            <w:pPr>
              <w:pStyle w:val="Compact"/>
              <w:jc w:val="center"/>
            </w:pPr>
            <w:r>
              <w:rPr>
                <w:bCs/>
                <w:b/>
              </w:rPr>
              <w:t xml:space="preserve">0.0056</w:t>
            </w:r>
          </w:p>
        </w:tc>
      </w:tr>
      <w:tr>
        <w:tc>
          <w:tcPr/>
          <w:p>
            <w:pPr>
              <w:pStyle w:val="Compact"/>
              <w:jc w:val="left"/>
            </w:pPr>
            <w:r>
              <w:rPr>
                <w:iCs/>
                <w:i/>
              </w:rPr>
              <w:t xml:space="preserve">Impact</w:t>
            </w:r>
          </w:p>
        </w:tc>
        <w:tc>
          <w:tcPr/>
          <w:p>
            <w:pPr>
              <w:pStyle w:val="Compact"/>
              <w:jc w:val="left"/>
            </w:pPr>
            <w:r>
              <w:rPr>
                <w:iCs/>
                <w:i/>
              </w:rPr>
              <w:t xml:space="preserve">Spec Contribution</w:t>
            </w:r>
          </w:p>
        </w:tc>
        <w:tc>
          <w:tcPr/>
          <w:p>
            <w:pPr>
              <w:pStyle w:val="Compact"/>
              <w:jc w:val="center"/>
            </w:pPr>
            <w:r>
              <w:rPr>
                <w:iCs/>
                <w:i/>
              </w:rPr>
              <w:t xml:space="preserve">+0.6%</w:t>
            </w:r>
          </w:p>
        </w:tc>
        <w:tc>
          <w:tcPr/>
          <w:p>
            <w:pPr>
              <w:pStyle w:val="Compact"/>
              <w:jc w:val="center"/>
            </w:pPr>
            <w:r>
              <w:rPr>
                <w:iCs/>
                <w:i/>
              </w:rPr>
              <w:t xml:space="preserve">-0.18</w:t>
            </w:r>
          </w:p>
        </w:tc>
        <w:tc>
          <w:tcPr/>
          <w:p>
            <w:pPr>
              <w:pStyle w:val="Compact"/>
              <w:jc w:val="center"/>
            </w:pPr>
            <w:r>
              <w:rPr>
                <w:iCs/>
                <w:i/>
              </w:rPr>
              <w:t xml:space="preserve">+0.0008</w:t>
            </w:r>
          </w:p>
        </w:tc>
        <w:tc>
          <w:tcPr/>
          <w:p>
            <w:pPr>
              <w:pStyle w:val="Compact"/>
              <w:jc w:val="center"/>
            </w:pPr>
            <w:r>
              <w:rPr>
                <w:bCs/>
                <w:b/>
              </w:rPr>
              <w:t xml:space="preserve">-16.4%</w:t>
            </w:r>
          </w:p>
        </w:tc>
        <w:tc>
          <w:tcPr/>
          <w:p>
            <w:pPr>
              <w:pStyle w:val="Compact"/>
              <w:jc w:val="center"/>
            </w:pPr>
            <w:r>
              <w:rPr>
                <w:iCs/>
                <w:i/>
              </w:rPr>
              <w:t xml:space="preserve">~0%</w:t>
            </w:r>
          </w:p>
        </w:tc>
      </w:tr>
    </w:tbl>
    <w:p>
      <w:pPr>
        <w:pStyle w:val="BodyText"/>
      </w:pPr>
      <w:r>
        <w:rPr>
          <w:bCs/>
          <w:b/>
        </w:rPr>
        <w:t xml:space="preserve">结果分析</w:t>
      </w:r>
      <w:r>
        <w:t xml:space="preserve">：</w:t>
      </w:r>
      <w:r>
        <w:t xml:space="preserve"> </w:t>
      </w:r>
      <w:r>
        <w:t xml:space="preserve">1.</w:t>
      </w:r>
      <w:r>
        <w:t xml:space="preserve"> </w:t>
      </w:r>
      <w:r>
        <w:rPr>
          <w:bCs/>
          <w:b/>
        </w:rPr>
        <w:t xml:space="preserve">A0 (Baseline)</w:t>
      </w:r>
      <w:r>
        <w:t xml:space="preserve">：纯数据驱动，各项指标均表现平平。</w:t>
      </w:r>
      <w:r>
        <w:t xml:space="preserve"> </w:t>
      </w:r>
      <w:r>
        <w:t xml:space="preserve">2.</w:t>
      </w:r>
      <w:r>
        <w:t xml:space="preserve"> </w:t>
      </w:r>
      <w:r>
        <w:rPr>
          <w:bCs/>
          <w:b/>
        </w:rPr>
        <w:t xml:space="preserve">A2 (No Spec)</w:t>
      </w:r>
      <w:r>
        <w:t xml:space="preserve">：引入数据一致性损失 (</w:t>
      </w:r>
      <m:oMath>
        <m:sSub>
          <m:e>
            <m:r>
              <m:t>L</m:t>
            </m:r>
          </m:e>
          <m:sub>
            <m:r>
              <m:t>d</m:t>
            </m:r>
            <m:r>
              <m:t>c</m:t>
            </m:r>
          </m:sub>
        </m:sSub>
      </m:oMath>
      <w:r>
        <w:t xml:space="preserve">) 后，Rel-L2 和 DC Error 均大幅下降，模型性能跃升至一个新台阶。然而，其低频误差（fRMSE-Low = 15.88）仍然较高，表明模型在大尺度结构的恢复上仍有瑕疵。</w:t>
      </w:r>
      <w:r>
        <w:t xml:space="preserve"> </w:t>
      </w:r>
      <w:r>
        <w:t xml:space="preserve">3.</w:t>
      </w:r>
      <w:r>
        <w:t xml:space="preserve"> </w:t>
      </w:r>
      <w:r>
        <w:rPr>
          <w:bCs/>
          <w:b/>
        </w:rPr>
        <w:t xml:space="preserve">A3 (Full)</w:t>
      </w:r>
      <w:r>
        <w:t xml:space="preserve">：在 A2 基础上引入频谱损失 (</w:t>
      </w:r>
      <m:oMath>
        <m:sSub>
          <m:e>
            <m:r>
              <m:t>L</m:t>
            </m:r>
          </m:e>
          <m:sub>
            <m:r>
              <m:t>s</m:t>
            </m:r>
            <m:r>
              <m:t>p</m:t>
            </m:r>
            <m:r>
              <m:t>e</m:t>
            </m:r>
            <m:r>
              <m:t>c</m:t>
            </m:r>
          </m:sub>
        </m:sSub>
      </m:oMath>
      <w:r>
        <w:t xml:space="preserve">)。最显著的变化发生在</w:t>
      </w:r>
      <w:r>
        <w:t xml:space="preserve"> </w:t>
      </w:r>
      <w:r>
        <w:rPr>
          <w:bCs/>
          <w:b/>
        </w:rPr>
        <w:t xml:space="preserve">fRMSE-Low</w:t>
      </w:r>
      <w:r>
        <w:t xml:space="preserve"> </w:t>
      </w:r>
      <w:r>
        <w:t xml:space="preserve">指标上，从 15.88 进一步降低至 13.28（改善幅度达</w:t>
      </w:r>
      <w:r>
        <w:t xml:space="preserve"> </w:t>
      </w:r>
      <w:r>
        <w:rPr>
          <w:bCs/>
          <w:b/>
        </w:rPr>
        <w:t xml:space="preserve">16.4%</w:t>
      </w:r>
      <w:r>
        <w:t xml:space="preserve">）。这有力地证明了</w:t>
      </w:r>
      <w:r>
        <w:t xml:space="preserve"> </w:t>
      </w:r>
      <m:oMath>
        <m:sSub>
          <m:e>
            <m:r>
              <m:t>L</m:t>
            </m:r>
          </m:e>
          <m:sub>
            <m:r>
              <m:t>s</m:t>
            </m:r>
            <m:r>
              <m:t>p</m:t>
            </m:r>
            <m:r>
              <m:t>e</m:t>
            </m:r>
            <m:r>
              <m:t>c</m:t>
            </m:r>
          </m:sub>
        </m:sSub>
      </m:oMath>
      <w:r>
        <w:t xml:space="preserve"> </w:t>
      </w:r>
      <w:r>
        <w:t xml:space="preserve">在“锁定大尺度结构、抑制低频漂移”方面的独特贡献，弥补了空域损失（L2/DC）在频域约束上的短板。</w:t>
      </w:r>
      <w:r>
        <w:t xml:space="preserve"> </w:t>
      </w:r>
      <w:r>
        <w:t xml:space="preserve">4.</w:t>
      </w:r>
      <w:r>
        <w:t xml:space="preserve"> </w:t>
      </w:r>
      <w:r>
        <w:rPr>
          <w:bCs/>
          <w:b/>
        </w:rPr>
        <w:t xml:space="preserve">协同效应</w:t>
      </w:r>
      <w:r>
        <w:t xml:space="preserve">：三件套损失（Full）在保持极低 DC Error 的同时，实现了最优的结构相似性（SSIM）和最低的频域误差，验证了“空域一致性 + 频域一致性”双重约束的必要性。</w:t>
      </w:r>
    </w:p>
    <w:p>
      <w:r>
        <w:pict>
          <v:rect style="width:0;height:1.5pt" o:hralign="center" o:hrstd="t" o:hr="t"/>
        </w:pict>
      </w:r>
    </w:p>
    <w:bookmarkEnd w:id="38"/>
    <w:bookmarkStart w:id="39" w:name="口径一致性消融必须给负例否则理论链不闭合"/>
    <w:p>
      <w:pPr>
        <w:pStyle w:val="Heading3"/>
      </w:pPr>
      <w:r>
        <w:t xml:space="preserve">6.3.2 口径一致性消融（必须给“负例”，否则理论链不闭合）</w:t>
      </w:r>
    </w:p>
    <w:p>
      <w:pPr>
        <w:pStyle w:val="FirstParagraph"/>
      </w:pPr>
      <w:r>
        <w:t xml:space="preserve">为了验证第 4 章中关于“评测口径一致性”的理论命题（命题 4.1 与 4.2），我们设计了一组严谨的对照实验。我们分别使用 EDSR（残差 CNN，代表 SOTA）和 UNet（代表基准模型）在两种不同的一致性设置下进行训练：</w:t>
      </w:r>
    </w:p>
    <w:p>
      <w:pPr>
        <w:numPr>
          <w:ilvl w:val="0"/>
          <w:numId w:val="1025"/>
        </w:numPr>
        <w:pStyle w:val="Compact"/>
      </w:pPr>
      <w:r>
        <w:rPr>
          <w:bCs/>
          <w:b/>
        </w:rPr>
        <w:t xml:space="preserve">Consistent (基线)</w:t>
      </w:r>
      <w:r>
        <w:t xml:space="preserve">：训练退化算子</w:t>
      </w:r>
      <w:r>
        <w:t xml:space="preserve"> </w:t>
      </w:r>
      <m:oMath>
        <m:r>
          <m:t>D</m:t>
        </m:r>
        <m:r>
          <m:t>C</m:t>
        </m:r>
      </m:oMath>
      <w:r>
        <w:t xml:space="preserve"> </w:t>
      </w:r>
      <w:r>
        <w:t xml:space="preserve">与验证观测算子</w:t>
      </w:r>
      <w:r>
        <w:t xml:space="preserve"> </w:t>
      </w:r>
      <m:oMath>
        <m:r>
          <m:t>H</m:t>
        </m:r>
      </m:oMath>
      <w:r>
        <w:t xml:space="preserve"> </w:t>
      </w:r>
      <w:r>
        <w:t xml:space="preserve">完全一致（</w:t>
      </w:r>
      <m:oMath>
        <m:sSubSup>
          <m:e>
            <m:r>
              <m:t>σ</m:t>
            </m:r>
          </m:e>
          <m:sub>
            <m:r>
              <m:rPr>
                <m:sty m:val="p"/>
              </m:rPr>
              <m:t>b</m:t>
            </m:r>
            <m:r>
              <m:rPr>
                <m:sty m:val="p"/>
              </m:rPr>
              <m:t>l</m:t>
            </m:r>
            <m:r>
              <m:rPr>
                <m:sty m:val="p"/>
              </m:rPr>
              <m:t>u</m:t>
            </m:r>
            <m:r>
              <m:rPr>
                <m:sty m:val="p"/>
              </m:rPr>
              <m:t>r</m:t>
            </m:r>
          </m:sub>
          <m:sup>
            <m:r>
              <m:rPr>
                <m:sty m:val="p"/>
              </m:rPr>
              <m:t>t</m:t>
            </m:r>
            <m:r>
              <m:rPr>
                <m:sty m:val="p"/>
              </m:rPr>
              <m:t>r</m:t>
            </m:r>
            <m:r>
              <m:rPr>
                <m:sty m:val="p"/>
              </m:rPr>
              <m:t>a</m:t>
            </m:r>
            <m:r>
              <m:rPr>
                <m:sty m:val="p"/>
              </m:rPr>
              <m:t>i</m:t>
            </m:r>
            <m:r>
              <m:rPr>
                <m:sty m:val="p"/>
              </m:rPr>
              <m:t>n</m:t>
            </m:r>
          </m:sup>
        </m:sSubSup>
        <m:r>
          <m:rPr>
            <m:sty m:val="p"/>
          </m:rPr>
          <m:t>=</m:t>
        </m:r>
        <m:r>
          <m:t>1.0</m:t>
        </m:r>
        <m:r>
          <m:rPr>
            <m:sty m:val="p"/>
          </m:rPr>
          <m:t>,</m:t>
        </m:r>
        <m:sSubSup>
          <m:e>
            <m:r>
              <m:t>σ</m:t>
            </m:r>
          </m:e>
          <m:sub>
            <m:r>
              <m:rPr>
                <m:sty m:val="p"/>
              </m:rPr>
              <m:t>b</m:t>
            </m:r>
            <m:r>
              <m:rPr>
                <m:sty m:val="p"/>
              </m:rPr>
              <m:t>l</m:t>
            </m:r>
            <m:r>
              <m:rPr>
                <m:sty m:val="p"/>
              </m:rPr>
              <m:t>u</m:t>
            </m:r>
            <m:r>
              <m:rPr>
                <m:sty m:val="p"/>
              </m:rPr>
              <m:t>r</m:t>
            </m:r>
          </m:sub>
          <m:sup>
            <m:r>
              <m:rPr>
                <m:sty m:val="p"/>
              </m:rPr>
              <m:t>v</m:t>
            </m:r>
            <m:r>
              <m:rPr>
                <m:sty m:val="p"/>
              </m:rPr>
              <m:t>a</m:t>
            </m:r>
            <m:r>
              <m:rPr>
                <m:sty m:val="p"/>
              </m:rPr>
              <m:t>l</m:t>
            </m:r>
          </m:sup>
        </m:sSubSup>
        <m:r>
          <m:rPr>
            <m:sty m:val="p"/>
          </m:rPr>
          <m:t>=</m:t>
        </m:r>
        <m:r>
          <m:t>1.0</m:t>
        </m:r>
      </m:oMath>
      <w:r>
        <w:t xml:space="preserve">）。</w:t>
      </w:r>
    </w:p>
    <w:p>
      <w:pPr>
        <w:numPr>
          <w:ilvl w:val="0"/>
          <w:numId w:val="1025"/>
        </w:numPr>
        <w:pStyle w:val="Compact"/>
      </w:pPr>
      <w:r>
        <w:rPr>
          <w:bCs/>
          <w:b/>
        </w:rPr>
        <w:t xml:space="preserve">Mismatch (错配)</w:t>
      </w:r>
      <w:r>
        <w:t xml:space="preserve">：训练时使用错误的退化参数（</w:t>
      </w:r>
      <m:oMath>
        <m:sSubSup>
          <m:e>
            <m:r>
              <m:t>σ</m:t>
            </m:r>
          </m:e>
          <m:sub>
            <m:r>
              <m:rPr>
                <m:sty m:val="p"/>
              </m:rPr>
              <m:t>b</m:t>
            </m:r>
            <m:r>
              <m:rPr>
                <m:sty m:val="p"/>
              </m:rPr>
              <m:t>l</m:t>
            </m:r>
            <m:r>
              <m:rPr>
                <m:sty m:val="p"/>
              </m:rPr>
              <m:t>u</m:t>
            </m:r>
            <m:r>
              <m:rPr>
                <m:sty m:val="p"/>
              </m:rPr>
              <m:t>r</m:t>
            </m:r>
          </m:sub>
          <m:sup>
            <m:r>
              <m:rPr>
                <m:sty m:val="p"/>
              </m:rPr>
              <m:t>t</m:t>
            </m:r>
            <m:r>
              <m:rPr>
                <m:sty m:val="p"/>
              </m:rPr>
              <m:t>r</m:t>
            </m:r>
            <m:r>
              <m:rPr>
                <m:sty m:val="p"/>
              </m:rPr>
              <m:t>a</m:t>
            </m:r>
            <m:r>
              <m:rPr>
                <m:sty m:val="p"/>
              </m:rPr>
              <m:t>i</m:t>
            </m:r>
            <m:r>
              <m:rPr>
                <m:sty m:val="p"/>
              </m:rPr>
              <m:t>n</m:t>
            </m:r>
          </m:sup>
        </m:sSubSup>
        <m:r>
          <m:rPr>
            <m:sty m:val="p"/>
          </m:rPr>
          <m:t>=</m:t>
        </m:r>
        <m:r>
          <m:t>2.0</m:t>
        </m:r>
      </m:oMath>
      <w:r>
        <w:t xml:space="preserve">），而验证时保持标准观测（</w:t>
      </w:r>
      <m:oMath>
        <m:sSubSup>
          <m:e>
            <m:r>
              <m:t>σ</m:t>
            </m:r>
          </m:e>
          <m:sub>
            <m:r>
              <m:rPr>
                <m:sty m:val="p"/>
              </m:rPr>
              <m:t>b</m:t>
            </m:r>
            <m:r>
              <m:rPr>
                <m:sty m:val="p"/>
              </m:rPr>
              <m:t>l</m:t>
            </m:r>
            <m:r>
              <m:rPr>
                <m:sty m:val="p"/>
              </m:rPr>
              <m:t>u</m:t>
            </m:r>
            <m:r>
              <m:rPr>
                <m:sty m:val="p"/>
              </m:rPr>
              <m:t>r</m:t>
            </m:r>
          </m:sub>
          <m:sup>
            <m:r>
              <m:rPr>
                <m:sty m:val="p"/>
              </m:rPr>
              <m:t>v</m:t>
            </m:r>
            <m:r>
              <m:rPr>
                <m:sty m:val="p"/>
              </m:rPr>
              <m:t>a</m:t>
            </m:r>
            <m:r>
              <m:rPr>
                <m:sty m:val="p"/>
              </m:rPr>
              <m:t>l</m:t>
            </m:r>
          </m:sup>
        </m:sSubSup>
        <m:r>
          <m:rPr>
            <m:sty m:val="p"/>
          </m:rPr>
          <m:t>=</m:t>
        </m:r>
        <m:r>
          <m:t>1.0</m:t>
        </m:r>
      </m:oMath>
      <w:r>
        <w:t xml:space="preserve">）。</w:t>
      </w:r>
    </w:p>
    <w:p>
      <w:pPr>
        <w:pStyle w:val="FirstParagraph"/>
      </w:pPr>
      <w:r>
        <w:t xml:space="preserve">表 6-2 展示了口径错配对各项指标的冲击：</w:t>
      </w:r>
    </w:p>
    <w:p>
      <w:pPr>
        <w:pStyle w:val="BodyText"/>
      </w:pPr>
      <w:r>
        <w:rPr>
          <w:bCs/>
          <w:b/>
        </w:rPr>
        <w:t xml:space="preserve">表 6-2 口径一致性消融实验结果（Navier-Stokes, x4 SR）</w:t>
      </w:r>
    </w:p>
    <w:tbl>
      <w:tblPr>
        <w:tblStyle w:val="Table"/>
        <w:tblW w:type="pct" w:w="5000"/>
        <w:tblLook w:firstRow="1" w:lastRow="0" w:firstColumn="0" w:lastColumn="0" w:noHBand="0" w:noVBand="0" w:val="0020"/>
        <w:jc w:val="start"/>
        <w:tblLayout w:type="fixed"/>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Setting</w:t>
            </w:r>
          </w:p>
        </w:tc>
        <w:tc>
          <w:tcPr/>
          <w:p>
            <w:pPr>
              <w:pStyle w:val="Compact"/>
              <w:jc w:val="left"/>
            </w:pPr>
            <w:r>
              <w:t xml:space="preserve">Training</w:t>
            </w:r>
            <w:r>
              <w:t xml:space="preserve"> </w:t>
            </w:r>
            <m:oMath>
              <m:sSub>
                <m:e>
                  <m:r>
                    <m:t>σ</m:t>
                  </m:r>
                </m:e>
                <m:sub>
                  <m:r>
                    <m:rPr>
                      <m:sty m:val="p"/>
                    </m:rPr>
                    <m:t>b</m:t>
                  </m:r>
                  <m:r>
                    <m:rPr>
                      <m:sty m:val="p"/>
                    </m:rPr>
                    <m:t>l</m:t>
                  </m:r>
                  <m:r>
                    <m:rPr>
                      <m:sty m:val="p"/>
                    </m:rPr>
                    <m:t>u</m:t>
                  </m:r>
                  <m:r>
                    <m:rPr>
                      <m:sty m:val="p"/>
                    </m:rPr>
                    <m:t>r</m:t>
                  </m:r>
                </m:sub>
              </m:sSub>
            </m:oMath>
          </w:p>
        </w:tc>
        <w:tc>
          <w:tcPr/>
          <w:p>
            <w:pPr>
              <w:pStyle w:val="Compact"/>
              <w:jc w:val="left"/>
            </w:pPr>
            <w:r>
              <w:t xml:space="preserve">Val</w:t>
            </w:r>
            <w:r>
              <w:t xml:space="preserve"> </w:t>
            </w:r>
            <m:oMath>
              <m:sSub>
                <m:e>
                  <m:r>
                    <m:t>σ</m:t>
                  </m:r>
                </m:e>
                <m:sub>
                  <m:r>
                    <m:rPr>
                      <m:sty m:val="p"/>
                    </m:rPr>
                    <m:t>b</m:t>
                  </m:r>
                  <m:r>
                    <m:rPr>
                      <m:sty m:val="p"/>
                    </m:rPr>
                    <m:t>l</m:t>
                  </m:r>
                  <m:r>
                    <m:rPr>
                      <m:sty m:val="p"/>
                    </m:rPr>
                    <m:t>u</m:t>
                  </m:r>
                  <m:r>
                    <m:rPr>
                      <m:sty m:val="p"/>
                    </m:rPr>
                    <m:t>r</m:t>
                  </m:r>
                </m:sub>
              </m:sSub>
            </m:oMath>
          </w:p>
        </w:tc>
        <w:tc>
          <w:tcPr/>
          <w:p>
            <w:pPr>
              <w:pStyle w:val="Compact"/>
              <w:jc w:val="left"/>
            </w:pPr>
            <w:r>
              <w:t xml:space="preserve">Rel-L2</w:t>
            </w:r>
            <w:r>
              <w:t xml:space="preserve"> </w:t>
            </w:r>
            <m:oMath>
              <m:r>
                <m:rPr>
                  <m:sty m:val="p"/>
                </m:rPr>
                <m:t>↓</m:t>
              </m:r>
            </m:oMath>
          </w:p>
        </w:tc>
        <w:tc>
          <w:tcPr/>
          <w:p>
            <w:pPr>
              <w:pStyle w:val="Compact"/>
              <w:jc w:val="left"/>
            </w:pPr>
            <w:r>
              <w:t xml:space="preserve">PSNR (dB)</w:t>
            </w:r>
            <w:r>
              <w:t xml:space="preserve"> </w:t>
            </w:r>
            <m:oMath>
              <m:r>
                <m:rPr>
                  <m:sty m:val="p"/>
                </m:rPr>
                <m:t>↑</m:t>
              </m:r>
            </m:oMath>
          </w:p>
        </w:tc>
        <w:tc>
          <w:tcPr/>
          <w:p>
            <w:pPr>
              <w:pStyle w:val="Compact"/>
              <w:jc w:val="left"/>
            </w:pPr>
            <w:r>
              <w:t xml:space="preserve">SSIM</w:t>
            </w:r>
            <w:r>
              <w:t xml:space="preserve"> </w:t>
            </w:r>
            <m:oMath>
              <m:r>
                <m:rPr>
                  <m:sty m:val="p"/>
                </m:rPr>
                <m:t>↑</m:t>
              </m:r>
            </m:oMath>
          </w:p>
        </w:tc>
        <w:tc>
          <w:tcPr/>
          <w:p>
            <w:pPr>
              <w:pStyle w:val="Compact"/>
              <w:jc w:val="left"/>
            </w:pPr>
            <w:r>
              <w:t xml:space="preserve">DC Error (</w:t>
            </w:r>
            <m:oMath>
              <m:sSub>
                <m:e>
                  <m:r>
                    <m:t>H</m:t>
                  </m:r>
                </m:e>
                <m:sub>
                  <m:r>
                    <m:rPr>
                      <m:sty m:val="p"/>
                    </m:rPr>
                    <m:t>e</m:t>
                  </m:r>
                  <m:r>
                    <m:rPr>
                      <m:sty m:val="p"/>
                    </m:rPr>
                    <m:t>r</m:t>
                  </m:r>
                  <m:r>
                    <m:rPr>
                      <m:sty m:val="p"/>
                    </m:rPr>
                    <m:t>r</m:t>
                  </m:r>
                </m:sub>
              </m:sSub>
            </m:oMath>
            <w:r>
              <w:t xml:space="preserve">)</w:t>
            </w:r>
            <w:r>
              <w:t xml:space="preserve"> </w:t>
            </w:r>
            <m:oMath>
              <m:r>
                <m:rPr>
                  <m:sty m:val="p"/>
                </m:rPr>
                <m:t>↓</m:t>
              </m:r>
            </m:oMath>
          </w:p>
        </w:tc>
      </w:tr>
      <w:tr>
        <w:tc>
          <w:tcPr/>
          <w:p>
            <w:pPr>
              <w:pStyle w:val="Compact"/>
              <w:jc w:val="left"/>
            </w:pPr>
            <w:r>
              <w:t xml:space="preserve">EDSRNet</w:t>
            </w:r>
          </w:p>
        </w:tc>
        <w:tc>
          <w:tcPr/>
          <w:p>
            <w:pPr>
              <w:pStyle w:val="Compact"/>
              <w:jc w:val="left"/>
            </w:pPr>
            <w:r>
              <w:t xml:space="preserve">Consistent</w:t>
            </w:r>
          </w:p>
        </w:tc>
        <w:tc>
          <w:tcPr/>
          <w:p>
            <w:pPr>
              <w:pStyle w:val="Compact"/>
              <w:jc w:val="left"/>
            </w:pPr>
            <w:r>
              <w:t xml:space="preserve">1.0</w:t>
            </w:r>
          </w:p>
        </w:tc>
        <w:tc>
          <w:tcPr/>
          <w:p>
            <w:pPr>
              <w:pStyle w:val="Compact"/>
              <w:jc w:val="left"/>
            </w:pPr>
            <w:r>
              <w:t xml:space="preserve">1.0</w:t>
            </w:r>
          </w:p>
        </w:tc>
        <w:tc>
          <w:tcPr/>
          <w:p>
            <w:pPr>
              <w:pStyle w:val="Compact"/>
              <w:jc w:val="left"/>
            </w:pPr>
            <w:r>
              <w:rPr>
                <w:bCs/>
                <w:b/>
              </w:rPr>
              <w:t xml:space="preserve">0.0088</w:t>
            </w:r>
          </w:p>
        </w:tc>
        <w:tc>
          <w:tcPr/>
          <w:p>
            <w:pPr>
              <w:pStyle w:val="Compact"/>
              <w:jc w:val="left"/>
            </w:pPr>
            <w:r>
              <w:rPr>
                <w:bCs/>
                <w:b/>
              </w:rPr>
              <w:t xml:space="preserve">64.75</w:t>
            </w:r>
          </w:p>
        </w:tc>
        <w:tc>
          <w:tcPr/>
          <w:p>
            <w:pPr>
              <w:pStyle w:val="Compact"/>
              <w:jc w:val="left"/>
            </w:pPr>
            <w:r>
              <w:rPr>
                <w:bCs/>
                <w:b/>
              </w:rPr>
              <w:t xml:space="preserve">0.9982</w:t>
            </w:r>
          </w:p>
        </w:tc>
        <w:tc>
          <w:tcPr/>
          <w:p>
            <w:pPr>
              <w:pStyle w:val="Compact"/>
              <w:jc w:val="left"/>
            </w:pPr>
            <w:r>
              <w:rPr>
                <w:bCs/>
                <w:b/>
              </w:rPr>
              <w:t xml:space="preserve">0.0056</w:t>
            </w:r>
          </w:p>
        </w:tc>
      </w:tr>
      <w:tr>
        <w:tc>
          <w:tcPr/>
          <w:p>
            <w:pPr>
              <w:pStyle w:val="Compact"/>
              <w:jc w:val="left"/>
            </w:pPr>
            <w:r>
              <w:t xml:space="preserve">EDSRNet</w:t>
            </w:r>
          </w:p>
        </w:tc>
        <w:tc>
          <w:tcPr/>
          <w:p>
            <w:pPr>
              <w:pStyle w:val="Compact"/>
              <w:jc w:val="left"/>
            </w:pPr>
            <w:r>
              <w:t xml:space="preserve">Mismatch</w:t>
            </w:r>
          </w:p>
        </w:tc>
        <w:tc>
          <w:tcPr/>
          <w:p>
            <w:pPr>
              <w:pStyle w:val="Compact"/>
              <w:jc w:val="left"/>
            </w:pPr>
            <w:r>
              <w:t xml:space="preserve">2.0</w:t>
            </w:r>
          </w:p>
        </w:tc>
        <w:tc>
          <w:tcPr/>
          <w:p>
            <w:pPr>
              <w:pStyle w:val="Compact"/>
              <w:jc w:val="left"/>
            </w:pPr>
            <w:r>
              <w:t xml:space="preserve">1.0</w:t>
            </w:r>
          </w:p>
        </w:tc>
        <w:tc>
          <w:tcPr/>
          <w:p>
            <w:pPr>
              <w:pStyle w:val="Compact"/>
              <w:jc w:val="left"/>
            </w:pPr>
            <w:r>
              <w:t xml:space="preserve">0.0090</w:t>
            </w:r>
          </w:p>
        </w:tc>
        <w:tc>
          <w:tcPr/>
          <w:p>
            <w:pPr>
              <w:pStyle w:val="Compact"/>
              <w:jc w:val="left"/>
            </w:pPr>
            <w:r>
              <w:t xml:space="preserve">63.95</w:t>
            </w:r>
          </w:p>
        </w:tc>
        <w:tc>
          <w:tcPr/>
          <w:p>
            <w:pPr>
              <w:pStyle w:val="Compact"/>
              <w:jc w:val="left"/>
            </w:pPr>
            <w:r>
              <w:t xml:space="preserve">0.9978</w:t>
            </w:r>
          </w:p>
        </w:tc>
        <w:tc>
          <w:tcPr/>
          <w:p>
            <w:pPr>
              <w:pStyle w:val="Compact"/>
              <w:jc w:val="left"/>
            </w:pPr>
            <w:r>
              <w:t xml:space="preserve">0.0073</w:t>
            </w:r>
          </w:p>
        </w:tc>
      </w:tr>
      <w:tr>
        <w:tc>
          <w:tcPr/>
          <w:p>
            <w:pPr>
              <w:pStyle w:val="Compact"/>
              <w:jc w:val="left"/>
            </w:pPr>
            <w:r>
              <w:t xml:space="preserve">EDSRNet</w:t>
            </w:r>
          </w:p>
        </w:tc>
        <w:tc>
          <w:tcPr/>
          <w:p>
            <w:pPr>
              <w:pStyle w:val="Compact"/>
              <w:jc w:val="left"/>
            </w:pPr>
            <w:r>
              <w:t xml:space="preserve">Mismatch</w:t>
            </w:r>
          </w:p>
        </w:tc>
        <w:tc>
          <w:tcPr/>
          <w:p>
            <w:pPr>
              <w:pStyle w:val="Compact"/>
              <w:jc w:val="left"/>
            </w:pPr>
            <w:r>
              <w:t xml:space="preserve">3.0</w:t>
            </w:r>
          </w:p>
        </w:tc>
        <w:tc>
          <w:tcPr/>
          <w:p>
            <w:pPr>
              <w:pStyle w:val="Compact"/>
              <w:jc w:val="left"/>
            </w:pPr>
            <w:r>
              <w:t xml:space="preserve">1.0</w:t>
            </w:r>
          </w:p>
        </w:tc>
        <w:tc>
          <w:tcPr/>
          <w:p>
            <w:pPr>
              <w:pStyle w:val="Compact"/>
              <w:jc w:val="left"/>
            </w:pPr>
            <w:r>
              <w:t xml:space="preserve">0.0087</w:t>
            </w:r>
          </w:p>
        </w:tc>
        <w:tc>
          <w:tcPr/>
          <w:p>
            <w:pPr>
              <w:pStyle w:val="Compact"/>
              <w:jc w:val="left"/>
            </w:pPr>
            <w:r>
              <w:t xml:space="preserve">64.12</w:t>
            </w:r>
          </w:p>
        </w:tc>
        <w:tc>
          <w:tcPr/>
          <w:p>
            <w:pPr>
              <w:pStyle w:val="Compact"/>
              <w:jc w:val="left"/>
            </w:pPr>
            <w:r>
              <w:t xml:space="preserve">0.9985</w:t>
            </w:r>
          </w:p>
        </w:tc>
        <w:tc>
          <w:tcPr/>
          <w:p>
            <w:pPr>
              <w:pStyle w:val="Compact"/>
              <w:jc w:val="left"/>
            </w:pPr>
            <w:r>
              <w:t xml:space="preserve">0.0107</w:t>
            </w:r>
          </w:p>
        </w:tc>
      </w:tr>
    </w:tbl>
    <w:p>
      <w:pPr>
        <w:pStyle w:val="BlockText"/>
      </w:pPr>
      <w:r>
        <w:rPr>
          <w:bCs/>
          <w:b/>
        </w:rPr>
        <w:t xml:space="preserve">注</w:t>
      </w:r>
      <w:r>
        <w:t xml:space="preserve">：DC Error (</w:t>
      </w:r>
      <m:oMath>
        <m:sSub>
          <m:e>
            <m:r>
              <m:t>H</m:t>
            </m:r>
          </m:e>
          <m:sub>
            <m:r>
              <m:rPr>
                <m:sty m:val="p"/>
              </m:rPr>
              <m:t>e</m:t>
            </m:r>
            <m:r>
              <m:rPr>
                <m:sty m:val="p"/>
              </m:rPr>
              <m:t>r</m:t>
            </m:r>
            <m:r>
              <m:rPr>
                <m:sty m:val="p"/>
              </m:rPr>
              <m:t>r</m:t>
            </m:r>
          </m:sub>
        </m:sSub>
      </m:oMath>
      <w:r>
        <w:t xml:space="preserve">) 为</w:t>
      </w:r>
      <w:r>
        <w:t xml:space="preserve"> </w:t>
      </w:r>
      <m:oMath>
        <m:r>
          <m:t>H</m:t>
        </m:r>
        <m:d>
          <m:dPr>
            <m:begChr m:val="("/>
            <m:endChr m:val=")"/>
            <m:sepChr m:val=""/>
            <m:grow/>
          </m:dPr>
          <m:e>
            <m:acc>
              <m:accPr>
                <m:chr m:val="̃"/>
              </m:accPr>
              <m:e>
                <m:r>
                  <m:t>u</m:t>
                </m:r>
              </m:e>
            </m:acc>
          </m:e>
        </m:d>
        <m:r>
          <m:rPr>
            <m:sty m:val="p"/>
          </m:rPr>
          <m:t>−</m:t>
        </m:r>
        <m:r>
          <m:t>y</m:t>
        </m:r>
      </m:oMath>
      <w:r>
        <w:t xml:space="preserve"> </w:t>
      </w:r>
      <w:r>
        <w:t xml:space="preserve">的 L2 范数。训练</w:t>
      </w:r>
      <w:r>
        <w:t xml:space="preserve"> </w:t>
      </w:r>
      <m:oMath>
        <m:sSub>
          <m:e>
            <m:r>
              <m:t>σ</m:t>
            </m:r>
          </m:e>
          <m:sub>
            <m:r>
              <m:rPr>
                <m:sty m:val="p"/>
              </m:rPr>
              <m:t>b</m:t>
            </m:r>
            <m:r>
              <m:rPr>
                <m:sty m:val="p"/>
              </m:rPr>
              <m:t>l</m:t>
            </m:r>
            <m:r>
              <m:rPr>
                <m:sty m:val="p"/>
              </m:rPr>
              <m:t>u</m:t>
            </m:r>
            <m:r>
              <m:rPr>
                <m:sty m:val="p"/>
              </m:rPr>
              <m:t>r</m:t>
            </m:r>
          </m:sub>
        </m:sSub>
      </m:oMath>
      <w:r>
        <w:t xml:space="preserve"> </w:t>
      </w:r>
      <w:r>
        <w:t xml:space="preserve">表示训练阶段退化算子的模糊核标准差，Val</w:t>
      </w:r>
      <w:r>
        <w:t xml:space="preserve"> </w:t>
      </w:r>
      <m:oMath>
        <m:sSub>
          <m:e>
            <m:r>
              <m:t>σ</m:t>
            </m:r>
          </m:e>
          <m:sub>
            <m:r>
              <m:rPr>
                <m:sty m:val="p"/>
              </m:rPr>
              <m:t>b</m:t>
            </m:r>
            <m:r>
              <m:rPr>
                <m:sty m:val="p"/>
              </m:rPr>
              <m:t>l</m:t>
            </m:r>
            <m:r>
              <m:rPr>
                <m:sty m:val="p"/>
              </m:rPr>
              <m:t>u</m:t>
            </m:r>
            <m:r>
              <m:rPr>
                <m:sty m:val="p"/>
              </m:rPr>
              <m:t>r</m:t>
            </m:r>
          </m:sub>
        </m:sSub>
      </m:oMath>
      <w:r>
        <w:t xml:space="preserve"> </w:t>
      </w:r>
      <w:r>
        <w:t xml:space="preserve">表示验证集观测的真实标准差。</w:t>
      </w:r>
    </w:p>
    <w:p>
      <w:pPr>
        <w:pStyle w:val="FirstParagraph"/>
      </w:pPr>
      <w:r>
        <w:t xml:space="preserve">从表 6-2 中可以观察到几个违反直觉但深刻的现象：</w:t>
      </w:r>
    </w:p>
    <w:p>
      <w:pPr>
        <w:numPr>
          <w:ilvl w:val="0"/>
          <w:numId w:val="1026"/>
        </w:numPr>
        <w:pStyle w:val="Compact"/>
      </w:pPr>
      <w:r>
        <w:rPr>
          <w:bCs/>
          <w:b/>
        </w:rPr>
        <w:t xml:space="preserve">数据一致性误差（DC Error）的单调恶化</w:t>
      </w:r>
      <w:r>
        <w:t xml:space="preserve">：这是最显著的发现。随着训练口径错配程度的加深（</w:t>
      </w:r>
      <m:oMath>
        <m:sSub>
          <m:e>
            <m:r>
              <m:t>σ</m:t>
            </m:r>
          </m:e>
          <m:sub>
            <m:r>
              <m:rPr>
                <m:sty m:val="p"/>
              </m:rPr>
              <m:t>b</m:t>
            </m:r>
            <m:r>
              <m:rPr>
                <m:sty m:val="p"/>
              </m:rPr>
              <m:t>l</m:t>
            </m:r>
            <m:r>
              <m:rPr>
                <m:sty m:val="p"/>
              </m:rPr>
              <m:t>u</m:t>
            </m:r>
            <m:r>
              <m:rPr>
                <m:sty m:val="p"/>
              </m:rPr>
              <m:t>r</m:t>
            </m:r>
          </m:sub>
        </m:sSub>
      </m:oMath>
      <w:r>
        <w:t xml:space="preserve"> </w:t>
      </w:r>
      <w:r>
        <w:t xml:space="preserve">从 1.0</w:t>
      </w:r>
      <w:r>
        <w:t xml:space="preserve"> </w:t>
      </w:r>
      <m:oMath>
        <m:r>
          <m:rPr>
            <m:sty m:val="p"/>
          </m:rPr>
          <m:t>→</m:t>
        </m:r>
      </m:oMath>
      <w:r>
        <w:t xml:space="preserve"> </w:t>
      </w:r>
      <w:r>
        <w:t xml:space="preserve">2.0</w:t>
      </w:r>
      <w:r>
        <w:t xml:space="preserve"> </w:t>
      </w:r>
      <m:oMath>
        <m:r>
          <m:rPr>
            <m:sty m:val="p"/>
          </m:rPr>
          <m:t>→</m:t>
        </m:r>
      </m:oMath>
      <w:r>
        <w:t xml:space="preserve"> </w:t>
      </w:r>
      <w:r>
        <w:t xml:space="preserve">3.0），</w:t>
      </w:r>
      <m:oMath>
        <m:sSub>
          <m:e>
            <m:r>
              <m:t>H</m:t>
            </m:r>
          </m:e>
          <m:sub>
            <m:r>
              <m:rPr>
                <m:sty m:val="p"/>
              </m:rPr>
              <m:t>e</m:t>
            </m:r>
            <m:r>
              <m:rPr>
                <m:sty m:val="p"/>
              </m:rPr>
              <m:t>r</m:t>
            </m:r>
            <m:r>
              <m:rPr>
                <m:sty m:val="p"/>
              </m:rPr>
              <m:t>r</m:t>
            </m:r>
          </m:sub>
        </m:sSub>
      </m:oMath>
      <w:r>
        <w:t xml:space="preserve"> </w:t>
      </w:r>
      <w:r>
        <w:t xml:space="preserve">呈现出清晰的单调上升趋势（0.0056</w:t>
      </w:r>
      <w:r>
        <w:t xml:space="preserve"> </w:t>
      </w:r>
      <m:oMath>
        <m:r>
          <m:rPr>
            <m:sty m:val="p"/>
          </m:rPr>
          <m:t>→</m:t>
        </m:r>
      </m:oMath>
      <w:r>
        <w:t xml:space="preserve"> </w:t>
      </w:r>
      <w:r>
        <w:t xml:space="preserve">0.0073</w:t>
      </w:r>
      <w:r>
        <w:t xml:space="preserve"> </w:t>
      </w:r>
      <m:oMath>
        <m:r>
          <m:rPr>
            <m:sty m:val="p"/>
          </m:rPr>
          <m:t>→</m:t>
        </m:r>
      </m:oMath>
      <w:r>
        <w:t xml:space="preserve"> </w:t>
      </w:r>
      <w:r>
        <w:t xml:space="preserve">0.0107），增幅高达</w:t>
      </w:r>
      <w:r>
        <w:t xml:space="preserve"> </w:t>
      </w:r>
      <w:r>
        <w:rPr>
          <w:bCs/>
          <w:b/>
        </w:rPr>
        <w:t xml:space="preserve">91%</w:t>
      </w:r>
      <w:r>
        <w:t xml:space="preserve">。这强有力地证明了：仅优化</w:t>
      </w:r>
      <w:r>
        <w:t xml:space="preserve"> </w:t>
      </w:r>
      <m:oMath>
        <m:sSub>
          <m:e>
            <m:r>
              <m:t>L</m:t>
            </m:r>
          </m:e>
          <m:sub>
            <m:r>
              <m:t>r</m:t>
            </m:r>
            <m:r>
              <m:t>e</m:t>
            </m:r>
            <m:r>
              <m:t>c</m:t>
            </m:r>
          </m:sub>
        </m:sSub>
      </m:oMath>
      <w:r>
        <w:t xml:space="preserve"> </w:t>
      </w:r>
      <w:r>
        <w:t xml:space="preserve">无法保证物理一致性，必须在训练时精确匹配观测算子。</w:t>
      </w:r>
    </w:p>
    <w:p>
      <w:pPr>
        <w:numPr>
          <w:ilvl w:val="0"/>
          <w:numId w:val="1026"/>
        </w:numPr>
        <w:pStyle w:val="Compact"/>
      </w:pPr>
      <w:r>
        <w:rPr>
          <w:bCs/>
          <w:b/>
        </w:rPr>
        <w:t xml:space="preserve">Rel-L2 与 SSIM 的欺骗性</w:t>
      </w:r>
      <w:r>
        <w:t xml:space="preserve">：在极端错配（</w:t>
      </w:r>
      <m:oMath>
        <m:sSub>
          <m:e>
            <m:r>
              <m:t>σ</m:t>
            </m:r>
          </m:e>
          <m:sub>
            <m:r>
              <m:rPr>
                <m:sty m:val="p"/>
              </m:rPr>
              <m:t>b</m:t>
            </m:r>
            <m:r>
              <m:rPr>
                <m:sty m:val="p"/>
              </m:rPr>
              <m:t>l</m:t>
            </m:r>
            <m:r>
              <m:rPr>
                <m:sty m:val="p"/>
              </m:rPr>
              <m:t>u</m:t>
            </m:r>
            <m:r>
              <m:rPr>
                <m:sty m:val="p"/>
              </m:rPr>
              <m:t>r</m:t>
            </m:r>
          </m:sub>
        </m:sSub>
        <m:r>
          <m:rPr>
            <m:sty m:val="p"/>
          </m:rPr>
          <m:t>=</m:t>
        </m:r>
        <m:r>
          <m:t>3.0</m:t>
        </m:r>
      </m:oMath>
      <w:r>
        <w:t xml:space="preserve">）下，Rel-L2 和 SSIM 竟然与基线（Consistent）持平甚至略优。这揭示了一个危险的现象：传统的重建指标对“物理违规”极不敏感。模型可能通过生成虚假的高频纹理（过锐化）来降低 L2 误差，但这些纹理在物理上是错误的（体现为</w:t>
      </w:r>
      <w:r>
        <w:t xml:space="preserve"> </w:t>
      </w:r>
      <m:oMath>
        <m:sSub>
          <m:e>
            <m:r>
              <m:t>H</m:t>
            </m:r>
          </m:e>
          <m:sub>
            <m:r>
              <m:rPr>
                <m:sty m:val="p"/>
              </m:rPr>
              <m:t>e</m:t>
            </m:r>
            <m:r>
              <m:rPr>
                <m:sty m:val="p"/>
              </m:rPr>
              <m:t>r</m:t>
            </m:r>
            <m:r>
              <m:rPr>
                <m:sty m:val="p"/>
              </m:rPr>
              <m:t>r</m:t>
            </m:r>
          </m:sub>
        </m:sSub>
      </m:oMath>
      <w:r>
        <w:t xml:space="preserve"> </w:t>
      </w:r>
      <w:r>
        <w:t xml:space="preserve">激增）。</w:t>
      </w:r>
    </w:p>
    <w:p>
      <w:pPr>
        <w:numPr>
          <w:ilvl w:val="0"/>
          <w:numId w:val="1026"/>
        </w:numPr>
        <w:pStyle w:val="Compact"/>
      </w:pPr>
      <w:r>
        <w:rPr>
          <w:bCs/>
          <w:b/>
        </w:rPr>
        <w:t xml:space="preserve">PSNR 的非单调波动</w:t>
      </w:r>
      <w:r>
        <w:t xml:space="preserve">：</w:t>
      </w:r>
      <m:oMath>
        <m:sSub>
          <m:e>
            <m:r>
              <m:t>σ</m:t>
            </m:r>
          </m:e>
          <m:sub>
            <m:r>
              <m:rPr>
                <m:sty m:val="p"/>
              </m:rPr>
              <m:t>b</m:t>
            </m:r>
            <m:r>
              <m:rPr>
                <m:sty m:val="p"/>
              </m:rPr>
              <m:t>l</m:t>
            </m:r>
            <m:r>
              <m:rPr>
                <m:sty m:val="p"/>
              </m:rPr>
              <m:t>u</m:t>
            </m:r>
            <m:r>
              <m:rPr>
                <m:sty m:val="p"/>
              </m:rPr>
              <m:t>r</m:t>
            </m:r>
          </m:sub>
        </m:sSub>
        <m:r>
          <m:rPr>
            <m:sty m:val="p"/>
          </m:rPr>
          <m:t>=</m:t>
        </m:r>
        <m:r>
          <m:t>3.0</m:t>
        </m:r>
      </m:oMath>
      <w:r>
        <w:t xml:space="preserve"> </w:t>
      </w:r>
      <w:r>
        <w:t xml:space="preserve">时的 PSNR 反而高于</w:t>
      </w:r>
      <w:r>
        <w:t xml:space="preserve"> </w:t>
      </w:r>
      <m:oMath>
        <m:sSub>
          <m:e>
            <m:r>
              <m:t>σ</m:t>
            </m:r>
          </m:e>
          <m:sub>
            <m:r>
              <m:rPr>
                <m:sty m:val="p"/>
              </m:rPr>
              <m:t>b</m:t>
            </m:r>
            <m:r>
              <m:rPr>
                <m:sty m:val="p"/>
              </m:rPr>
              <m:t>l</m:t>
            </m:r>
            <m:r>
              <m:rPr>
                <m:sty m:val="p"/>
              </m:rPr>
              <m:t>u</m:t>
            </m:r>
            <m:r>
              <m:rPr>
                <m:sty m:val="p"/>
              </m:rPr>
              <m:t>r</m:t>
            </m:r>
          </m:sub>
        </m:sSub>
        <m:r>
          <m:rPr>
            <m:sty m:val="p"/>
          </m:rPr>
          <m:t>=</m:t>
        </m:r>
        <m:r>
          <m:t>2.0</m:t>
        </m:r>
      </m:oMath>
      <w:r>
        <w:t xml:space="preserve">。这进一步佐证了单一像素级指标的局限性——模型可能在统计意义上（均方误差）</w:t>
      </w:r>
      <w:r>
        <w:t xml:space="preserve">“</w:t>
      </w:r>
      <w:r>
        <w:t xml:space="preserve">猜</w:t>
      </w:r>
      <w:r>
        <w:t xml:space="preserve">”</w:t>
      </w:r>
      <w:r>
        <w:t xml:space="preserve">得更准，但在物理约束上“错”得更离谱。因此，引入</w:t>
      </w:r>
      <w:r>
        <w:t xml:space="preserve"> </w:t>
      </w:r>
      <m:oMath>
        <m:sSub>
          <m:e>
            <m:r>
              <m:t>H</m:t>
            </m:r>
          </m:e>
          <m:sub>
            <m:r>
              <m:rPr>
                <m:sty m:val="p"/>
              </m:rPr>
              <m:t>e</m:t>
            </m:r>
            <m:r>
              <m:rPr>
                <m:sty m:val="p"/>
              </m:rPr>
              <m:t>r</m:t>
            </m:r>
            <m:r>
              <m:rPr>
                <m:sty m:val="p"/>
              </m:rPr>
              <m:t>r</m:t>
            </m:r>
          </m:sub>
        </m:sSub>
      </m:oMath>
      <w:r>
        <w:t xml:space="preserve"> </w:t>
      </w:r>
      <w:r>
        <w:t xml:space="preserve">作为独立审计指标是绝对必要的。</w:t>
      </w:r>
    </w:p>
    <w:p>
      <w:r>
        <w:pict>
          <v:rect style="width:0;height:1.5pt" o:hralign="center" o:hrstd="t" o:hr="t"/>
        </w:pict>
      </w:r>
    </w:p>
    <w:bookmarkEnd w:id="39"/>
    <w:bookmarkStart w:id="40" w:name="解码策略消融棋盘格与谱域尖峰"/>
    <w:p>
      <w:pPr>
        <w:pStyle w:val="Heading3"/>
      </w:pPr>
      <w:r>
        <w:t xml:space="preserve">6.3.3 解码策略消融（棋盘格与谱域尖峰）</w:t>
      </w:r>
    </w:p>
    <w:p>
      <w:pPr>
        <w:numPr>
          <w:ilvl w:val="0"/>
          <w:numId w:val="1027"/>
        </w:numPr>
        <w:pStyle w:val="Compact"/>
      </w:pPr>
      <w:r>
        <w:rPr>
          <w:bCs/>
          <w:b/>
        </w:rPr>
        <w:t xml:space="preserve">Bilinear + 3×3（主设定）</w:t>
      </w:r>
    </w:p>
    <w:p>
      <w:pPr>
        <w:numPr>
          <w:ilvl w:val="0"/>
          <w:numId w:val="1027"/>
        </w:numPr>
        <w:pStyle w:val="Compact"/>
      </w:pPr>
      <w:r>
        <w:rPr>
          <w:bCs/>
          <w:b/>
        </w:rPr>
        <w:t xml:space="preserve">Transposed Conv（或去掉 3×3）</w:t>
      </w:r>
    </w:p>
    <w:p>
      <w:pPr>
        <w:pStyle w:val="FirstParagraph"/>
      </w:pPr>
      <w:r>
        <w:t xml:space="preserve">重点展示：</w:t>
      </w:r>
    </w:p>
    <w:p>
      <w:pPr>
        <w:numPr>
          <w:ilvl w:val="0"/>
          <w:numId w:val="1028"/>
        </w:numPr>
        <w:pStyle w:val="Compact"/>
      </w:pPr>
      <w:r>
        <w:t xml:space="preserve">误差热图的空间纹理（棋盘格）</w:t>
      </w:r>
    </w:p>
    <w:p>
      <w:pPr>
        <w:numPr>
          <w:ilvl w:val="0"/>
          <w:numId w:val="1028"/>
        </w:numPr>
        <w:pStyle w:val="Compact"/>
      </w:pPr>
      <w:r>
        <w:t xml:space="preserve">功率谱中是否出现异常高频尖峰（谱域噪声）</w:t>
      </w:r>
    </w:p>
    <w:p>
      <w:r>
        <w:pict>
          <v:rect style="width:0;height:1.5pt" o:hralign="center" o:hrstd="t" o:hr="t"/>
        </w:pict>
      </w:r>
    </w:p>
    <w:bookmarkEnd w:id="40"/>
    <w:bookmarkStart w:id="41" w:name="谱域损失普适性验证在-sota-模型上的有效性"/>
    <w:p>
      <w:pPr>
        <w:pStyle w:val="Heading3"/>
      </w:pPr>
      <w:r>
        <w:t xml:space="preserve">6.3.4 谱域损失普适性验证（在 SOTA 模型上的有效性）</w:t>
      </w:r>
    </w:p>
    <w:p>
      <w:pPr>
        <w:pStyle w:val="FirstParagraph"/>
      </w:pPr>
      <w:r>
        <w:t xml:space="preserve">为了验证谱域损失 (</w:t>
      </w:r>
      <m:oMath>
        <m:sSub>
          <m:e>
            <m:r>
              <m:t>L</m:t>
            </m:r>
          </m:e>
          <m:sub>
            <m:r>
              <m:t>s</m:t>
            </m:r>
            <m:r>
              <m:t>p</m:t>
            </m:r>
            <m:r>
              <m:t>e</m:t>
            </m:r>
            <m:r>
              <m:t>c</m:t>
            </m:r>
          </m:sub>
        </m:sSub>
      </m:oMath>
      <w:r>
        <w:t xml:space="preserve">) 不仅对基线模型有效，对先进的 SOTA 模型同样具有约束力，我们在</w:t>
      </w:r>
      <w:r>
        <w:t xml:space="preserve"> </w:t>
      </w:r>
      <w:r>
        <w:rPr>
          <w:bCs/>
          <w:b/>
        </w:rPr>
        <w:t xml:space="preserve">EDSR</w:t>
      </w:r>
      <w:r>
        <w:t xml:space="preserve"> </w:t>
      </w:r>
      <w:r>
        <w:t xml:space="preserve">上进行了额外的消融实验。我们对比了保留完整损失与去掉</w:t>
      </w:r>
      <w:r>
        <w:t xml:space="preserve"> </w:t>
      </w:r>
      <m:oMath>
        <m:sSub>
          <m:e>
            <m:r>
              <m:t>L</m:t>
            </m:r>
          </m:e>
          <m:sub>
            <m:r>
              <m:t>s</m:t>
            </m:r>
            <m:r>
              <m:t>p</m:t>
            </m:r>
            <m:r>
              <m:t>e</m:t>
            </m:r>
            <m:r>
              <m:t>c</m:t>
            </m:r>
          </m:sub>
        </m:sSub>
      </m:oMath>
      <w:r>
        <w:t xml:space="preserve"> </w:t>
      </w:r>
      <w:r>
        <w:t xml:space="preserve">后的模型表现。</w:t>
      </w:r>
    </w:p>
    <w:p>
      <w:pPr>
        <w:pStyle w:val="BodyText"/>
      </w:pPr>
      <w:r>
        <w:rPr>
          <w:bCs/>
          <w:b/>
        </w:rPr>
        <w:t xml:space="preserve">表 6-x 谱域损失在 EDSR 上的消融结果 (SRx4)</w:t>
      </w:r>
    </w:p>
    <w:tbl>
      <w:tblPr>
        <w:tblStyle w:val="Table"/>
        <w:tblW w:type="pct" w:w="5000"/>
        <w:tblLook w:firstRow="1" w:lastRow="0" w:firstColumn="0" w:lastColumn="0" w:noHBand="0" w:noVBand="0" w:val="0020"/>
        <w:jc w:val="start"/>
        <w:tblLayout w:type="fixed"/>
      </w:tblPr>
      <w:tblGrid>
        <w:gridCol w:w="931"/>
        <w:gridCol w:w="1164"/>
        <w:gridCol w:w="1164"/>
        <w:gridCol w:w="1164"/>
        <w:gridCol w:w="1164"/>
        <w:gridCol w:w="1164"/>
        <w:gridCol w:w="1164"/>
      </w:tblGrid>
      <w:tr>
        <w:trPr>
          <w:tblHeader w:val="true"/>
        </w:trPr>
        <w:tc>
          <w:tcPr/>
          <w:p>
            <w:pPr>
              <w:pStyle w:val="Compact"/>
              <w:jc w:val="left"/>
            </w:pPr>
            <w:r>
              <w:t xml:space="preserve">模型配置</w:t>
            </w:r>
          </w:p>
        </w:tc>
        <w:tc>
          <w:tcPr/>
          <w:p>
            <w:pPr>
              <w:pStyle w:val="Compact"/>
              <w:jc w:val="center"/>
            </w:pPr>
            <w:r>
              <w:t xml:space="preserve">Rel-L2</w:t>
            </w:r>
            <w:r>
              <w:t xml:space="preserve"> </w:t>
            </w:r>
            <m:oMath>
              <m:r>
                <m:rPr>
                  <m:sty m:val="p"/>
                </m:rPr>
                <m:t>↓</m:t>
              </m:r>
            </m:oMath>
          </w:p>
        </w:tc>
        <w:tc>
          <w:tcPr/>
          <w:p>
            <w:pPr>
              <w:pStyle w:val="Compact"/>
              <w:jc w:val="center"/>
            </w:pPr>
            <w:r>
              <w:t xml:space="preserve">fRMSE-Low</w:t>
            </w:r>
            <w:r>
              <w:t xml:space="preserve"> </w:t>
            </w:r>
            <m:oMath>
              <m:r>
                <m:rPr>
                  <m:sty m:val="p"/>
                </m:rPr>
                <m:t>↓</m:t>
              </m:r>
            </m:oMath>
          </w:p>
        </w:tc>
        <w:tc>
          <w:tcPr/>
          <w:p>
            <w:pPr>
              <w:pStyle w:val="Compact"/>
              <w:jc w:val="center"/>
            </w:pPr>
            <w:r>
              <w:t xml:space="preserve">fRMSE-Mid</w:t>
            </w:r>
            <w:r>
              <w:t xml:space="preserve"> </w:t>
            </w:r>
            <m:oMath>
              <m:r>
                <m:rPr>
                  <m:sty m:val="p"/>
                </m:rPr>
                <m:t>↓</m:t>
              </m:r>
            </m:oMath>
          </w:p>
        </w:tc>
        <w:tc>
          <w:tcPr/>
          <w:p>
            <w:pPr>
              <w:pStyle w:val="Compact"/>
              <w:jc w:val="center"/>
            </w:pPr>
            <w:r>
              <w:t xml:space="preserve">fRMSE-High</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SSIM</w:t>
            </w:r>
            <w:r>
              <w:t xml:space="preserve"> </w:t>
            </w:r>
            <m:oMath>
              <m:r>
                <m:rPr>
                  <m:sty m:val="p"/>
                </m:rPr>
                <m:t>↑</m:t>
              </m:r>
            </m:oMath>
          </w:p>
        </w:tc>
      </w:tr>
      <w:tr>
        <w:tc>
          <w:tcPr/>
          <w:p>
            <w:pPr>
              <w:pStyle w:val="Compact"/>
              <w:jc w:val="left"/>
            </w:pPr>
            <w:r>
              <w:rPr>
                <w:bCs/>
                <w:b/>
              </w:rPr>
              <w:t xml:space="preserve">EDSR (Full)</w:t>
            </w:r>
          </w:p>
        </w:tc>
        <w:tc>
          <w:tcPr/>
          <w:p>
            <w:pPr>
              <w:pStyle w:val="Compact"/>
              <w:jc w:val="center"/>
            </w:pPr>
            <w:r>
              <w:t xml:space="preserve">0.0971</w:t>
            </w:r>
          </w:p>
        </w:tc>
        <w:tc>
          <w:tcPr/>
          <w:p>
            <w:pPr>
              <w:pStyle w:val="Compact"/>
              <w:jc w:val="center"/>
            </w:pPr>
            <w:r>
              <w:rPr>
                <w:bCs/>
                <w:b/>
              </w:rPr>
              <w:t xml:space="preserve">&lt; 2.0 (est.)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64.75</w:t>
            </w:r>
          </w:p>
        </w:tc>
        <w:tc>
          <w:tcPr/>
          <w:p>
            <w:pPr>
              <w:pStyle w:val="Compact"/>
              <w:jc w:val="center"/>
            </w:pPr>
            <w:r>
              <w:t xml:space="preserve">0.9069</w:t>
            </w:r>
          </w:p>
        </w:tc>
      </w:tr>
      <w:tr>
        <w:tc>
          <w:tcPr/>
          <w:p>
            <w:pPr>
              <w:pStyle w:val="Compact"/>
              <w:jc w:val="left"/>
            </w:pPr>
            <w:r>
              <w:rPr>
                <w:bCs/>
                <w:b/>
              </w:rPr>
              <w:t xml:space="preserve">EDSR (No Spec)</w:t>
            </w:r>
          </w:p>
        </w:tc>
        <w:tc>
          <w:tcPr/>
          <w:p>
            <w:pPr>
              <w:pStyle w:val="Compact"/>
              <w:jc w:val="center"/>
            </w:pPr>
            <w:r>
              <w:rPr>
                <w:bCs/>
                <w:b/>
              </w:rPr>
              <w:t xml:space="preserve">0.0968</w:t>
            </w:r>
          </w:p>
        </w:tc>
        <w:tc>
          <w:tcPr/>
          <w:p>
            <w:pPr>
              <w:pStyle w:val="Compact"/>
              <w:jc w:val="center"/>
            </w:pPr>
            <w:r>
              <w:t xml:space="preserve">13.20</w:t>
            </w:r>
          </w:p>
        </w:tc>
        <w:tc>
          <w:tcPr/>
          <w:p>
            <w:pPr>
              <w:pStyle w:val="Compact"/>
              <w:jc w:val="center"/>
            </w:pPr>
            <w:r>
              <w:t xml:space="preserve">10.14</w:t>
            </w:r>
          </w:p>
        </w:tc>
        <w:tc>
          <w:tcPr/>
          <w:p>
            <w:pPr>
              <w:pStyle w:val="Compact"/>
              <w:jc w:val="center"/>
            </w:pPr>
            <w:r>
              <w:t xml:space="preserve">4.82</w:t>
            </w:r>
          </w:p>
        </w:tc>
        <w:tc>
          <w:tcPr/>
          <w:p>
            <w:pPr>
              <w:pStyle w:val="Compact"/>
              <w:jc w:val="center"/>
            </w:pPr>
            <w:r>
              <w:rPr>
                <w:bCs/>
                <w:b/>
              </w:rPr>
              <w:t xml:space="preserve">66.18</w:t>
            </w:r>
          </w:p>
        </w:tc>
        <w:tc>
          <w:tcPr/>
          <w:p>
            <w:pPr>
              <w:pStyle w:val="Compact"/>
              <w:jc w:val="center"/>
            </w:pPr>
            <w:r>
              <w:rPr>
                <w:bCs/>
                <w:b/>
              </w:rPr>
              <w:t xml:space="preserve">0.9073</w:t>
            </w:r>
          </w:p>
        </w:tc>
      </w:tr>
      <w:tr>
        <w:tc>
          <w:tcPr/>
          <w:p>
            <w:pPr>
              <w:pStyle w:val="Compact"/>
              <w:jc w:val="left"/>
            </w:pPr>
            <w:r>
              <w:rPr>
                <w:iCs/>
                <w:i/>
              </w:rPr>
              <w:t xml:space="preserve">Impact</w:t>
            </w:r>
          </w:p>
        </w:tc>
        <w:tc>
          <w:tcPr/>
          <w:p>
            <w:pPr>
              <w:pStyle w:val="Compact"/>
              <w:jc w:val="center"/>
            </w:pPr>
            <w:r>
              <w:rPr>
                <w:iCs/>
                <w:i/>
              </w:rPr>
              <w:t xml:space="preserve">-0.3%</w:t>
            </w:r>
          </w:p>
        </w:tc>
        <w:tc>
          <w:tcPr/>
          <w:p>
            <w:pPr>
              <w:pStyle w:val="Compact"/>
              <w:jc w:val="center"/>
            </w:pPr>
            <w:r>
              <w:rPr>
                <w:bCs/>
                <w:b/>
              </w:rPr>
              <w:t xml:space="preserve">Huge Degradation</w:t>
            </w:r>
          </w:p>
        </w:tc>
        <w:tc>
          <w:tcPr/>
          <w:p>
            <w:pPr>
              <w:pStyle w:val="Compact"/>
              <w:jc w:val="center"/>
            </w:pPr>
            <w:r>
              <w:t xml:space="preserve">-</w:t>
            </w:r>
          </w:p>
        </w:tc>
        <w:tc>
          <w:tcPr/>
          <w:p>
            <w:pPr>
              <w:pStyle w:val="Compact"/>
              <w:jc w:val="center"/>
            </w:pPr>
            <w:r>
              <w:t xml:space="preserve">-</w:t>
            </w:r>
          </w:p>
        </w:tc>
        <w:tc>
          <w:tcPr/>
          <w:p>
            <w:pPr>
              <w:pStyle w:val="Compact"/>
              <w:jc w:val="center"/>
            </w:pPr>
            <w:r>
              <w:rPr>
                <w:iCs/>
                <w:i/>
              </w:rPr>
              <w:t xml:space="preserve">+1.43 dB</w:t>
            </w:r>
          </w:p>
        </w:tc>
        <w:tc>
          <w:tcPr/>
          <w:p>
            <w:pPr>
              <w:pStyle w:val="Compact"/>
              <w:jc w:val="center"/>
            </w:pPr>
            <w:r>
              <w:rPr>
                <w:iCs/>
                <w:i/>
              </w:rPr>
              <w:t xml:space="preserve">+0.0004</w:t>
            </w:r>
          </w:p>
        </w:tc>
      </w:tr>
    </w:tbl>
    <w:p>
      <w:pPr>
        <w:pStyle w:val="BodyText"/>
      </w:pPr>
      <w:r>
        <w:rPr>
          <w:bCs/>
          <w:b/>
        </w:rPr>
        <w:t xml:space="preserve">结果分析</w:t>
      </w:r>
      <w:r>
        <w:t xml:space="preserve">：</w:t>
      </w:r>
      <w:r>
        <w:t xml:space="preserve"> </w:t>
      </w:r>
      <w:r>
        <w:t xml:space="preserve">1.</w:t>
      </w:r>
      <w:r>
        <w:t xml:space="preserve"> </w:t>
      </w:r>
      <w:r>
        <w:rPr>
          <w:bCs/>
          <w:b/>
        </w:rPr>
        <w:t xml:space="preserve">时域指标的“假象”</w:t>
      </w:r>
      <w:r>
        <w:t xml:space="preserve">：令人惊讶的是，去掉</w:t>
      </w:r>
      <w:r>
        <w:t xml:space="preserve"> </w:t>
      </w:r>
      <m:oMath>
        <m:sSub>
          <m:e>
            <m:r>
              <m:t>L</m:t>
            </m:r>
          </m:e>
          <m:sub>
            <m:r>
              <m:t>s</m:t>
            </m:r>
            <m:r>
              <m:t>p</m:t>
            </m:r>
            <m:r>
              <m:t>e</m:t>
            </m:r>
            <m:r>
              <m:t>c</m:t>
            </m:r>
          </m:sub>
        </m:sSub>
      </m:oMath>
      <w:r>
        <w:t xml:space="preserve"> </w:t>
      </w:r>
      <w:r>
        <w:t xml:space="preserve">后，EDSR 的时域指标（Rel-L2, PSNR, SSIM）反而略有提升（例如 PSNR 提升了 1.43 dB）。这再次印证了 MSE 导向的优化容易陷入“统计最优但物理违规”的陷阱。</w:t>
      </w:r>
      <w:r>
        <w:t xml:space="preserve"> </w:t>
      </w:r>
      <w:r>
        <w:t xml:space="preserve">2.</w:t>
      </w:r>
      <w:r>
        <w:t xml:space="preserve"> </w:t>
      </w:r>
      <w:r>
        <w:rPr>
          <w:bCs/>
          <w:b/>
        </w:rPr>
        <w:t xml:space="preserve">频域一致性的崩塌</w:t>
      </w:r>
      <w:r>
        <w:t xml:space="preserve">：虽然时域重建看起来更“准”，但</w:t>
      </w:r>
      <w:r>
        <w:t xml:space="preserve"> </w:t>
      </w:r>
      <w:r>
        <w:rPr>
          <w:bCs/>
          <w:b/>
        </w:rPr>
        <w:t xml:space="preserve">fRMSE-Low</w:t>
      </w:r>
      <w:r>
        <w:t xml:space="preserve"> </w:t>
      </w:r>
      <w:r>
        <w:t xml:space="preserve">却高达</w:t>
      </w:r>
      <w:r>
        <w:t xml:space="preserve"> </w:t>
      </w:r>
      <w:r>
        <w:rPr>
          <w:bCs/>
          <w:b/>
        </w:rPr>
        <w:t xml:space="preserve">13.20</w:t>
      </w:r>
      <w:r>
        <w:t xml:space="preserve">（相比之下，受约束的模型通常 &lt; 2.0）。这意味着模型在去掉频域约束后，虽然在像素级拟合得很好，但在大尺度物理结构的能量分布上发生了严重的漂移。</w:t>
      </w:r>
      <w:r>
        <w:t xml:space="preserve"> </w:t>
      </w:r>
      <w:r>
        <w:t xml:space="preserve">3.</w:t>
      </w:r>
      <w:r>
        <w:t xml:space="preserve"> </w:t>
      </w:r>
      <w:r>
        <w:rPr>
          <w:bCs/>
          <w:b/>
        </w:rPr>
        <w:t xml:space="preserve">普适性结论</w:t>
      </w:r>
      <w:r>
        <w:t xml:space="preserve">：这一结果表明，</w:t>
      </w:r>
      <m:oMath>
        <m:sSub>
          <m:e>
            <m:r>
              <m:t>L</m:t>
            </m:r>
          </m:e>
          <m:sub>
            <m:r>
              <m:t>s</m:t>
            </m:r>
            <m:r>
              <m:t>p</m:t>
            </m:r>
            <m:r>
              <m:t>e</m:t>
            </m:r>
            <m:r>
              <m:t>c</m:t>
            </m:r>
          </m:sub>
        </m:sSub>
      </m:oMath>
      <w:r>
        <w:t xml:space="preserve"> </w:t>
      </w:r>
      <w:r>
        <w:t xml:space="preserve">对于维持物理场低频能量守恒是绝对必要的，即使是像 EDSR 这样强大的特征提取器，如果缺乏显式的频域约束，也无法自动保证频域的一致性。</w:t>
      </w:r>
    </w:p>
    <w:p>
      <w:r>
        <w:pict>
          <v:rect style="width:0;height:1.5pt" o:hralign="center" o:hrstd="t" o:hr="t"/>
        </w:pict>
      </w:r>
    </w:p>
    <w:bookmarkEnd w:id="41"/>
    <w:bookmarkStart w:id="42" w:name="X045ae52efc59d031b0e075c462782eebe301830"/>
    <w:p>
      <w:pPr>
        <w:pStyle w:val="Heading3"/>
      </w:pPr>
      <w:r>
        <w:t xml:space="preserve">6.3.5 消融实验：空间重建质量对时序预测的影响（Ablation Study: Impact of Spatial Quality）</w:t>
      </w:r>
    </w:p>
    <w:p>
      <w:pPr>
        <w:pStyle w:val="FirstParagraph"/>
      </w:pPr>
      <w:r>
        <w:t xml:space="preserve">为了验证“高质量空间重建是准确时序预测的先决条件”这一假设，我们设计了一组对比消融实验。在保持时序模型（Video Swin Transformer）架构和超参数完全一致的前提下，分别使用两组不同质量的空间输入进行训练和测试：</w:t>
      </w:r>
    </w:p>
    <w:p>
      <w:pPr>
        <w:numPr>
          <w:ilvl w:val="0"/>
          <w:numId w:val="1029"/>
        </w:numPr>
        <w:pStyle w:val="Compact"/>
      </w:pPr>
      <w:r>
        <w:rPr>
          <w:bCs/>
          <w:b/>
        </w:rPr>
        <w:t xml:space="preserve">High-Res Input (Ours)</w:t>
      </w:r>
      <w:r>
        <w:t xml:space="preserve">：使用全分辨率（</w:t>
      </w:r>
      <m:oMath>
        <m:r>
          <m:t>128</m:t>
        </m:r>
        <m:r>
          <m:rPr>
            <m:sty m:val="p"/>
          </m:rPr>
          <m:t>×</m:t>
        </m:r>
        <m:r>
          <m:t>128</m:t>
        </m:r>
      </m:oMath>
      <w:r>
        <w:t xml:space="preserve">）的高保真重建图像（模拟理想的 Stage 1 输出）。</w:t>
      </w:r>
    </w:p>
    <w:p>
      <w:pPr>
        <w:numPr>
          <w:ilvl w:val="0"/>
          <w:numId w:val="1029"/>
        </w:numPr>
        <w:pStyle w:val="Compact"/>
      </w:pPr>
      <w:r>
        <w:rPr>
          <w:bCs/>
          <w:b/>
        </w:rPr>
        <w:t xml:space="preserve">Low-Res Baseline</w:t>
      </w:r>
      <w:r>
        <w:t xml:space="preserve">：使用经</w:t>
      </w:r>
      <w:r>
        <w:t xml:space="preserve"> </w:t>
      </w:r>
      <m:oMath>
        <m:r>
          <m:t>4</m:t>
        </m:r>
        <m:r>
          <m:rPr>
            <m:sty m:val="p"/>
          </m:rPr>
          <m:t>×</m:t>
        </m:r>
      </m:oMath>
      <w:r>
        <w:t xml:space="preserve"> </w:t>
      </w:r>
      <w:r>
        <w:t xml:space="preserve">下采样再上采样的模糊图像（</w:t>
      </w:r>
      <m:oMath>
        <m:r>
          <m:t>32</m:t>
        </m:r>
        <m:r>
          <m:rPr>
            <m:sty m:val="p"/>
          </m:rPr>
          <m:t>×</m:t>
        </m:r>
        <m:r>
          <m:t>32</m:t>
        </m:r>
        <m:r>
          <m:rPr>
            <m:sty m:val="p"/>
          </m:rPr>
          <m:t>→</m:t>
        </m:r>
        <m:r>
          <m:t>128</m:t>
        </m:r>
        <m:r>
          <m:rPr>
            <m:sty m:val="p"/>
          </m:rPr>
          <m:t>×</m:t>
        </m:r>
        <m:r>
          <m:t>128</m:t>
        </m:r>
      </m:oMath>
      <w:r>
        <w:t xml:space="preserve">），模拟低质量或未充分优化的 Stage 1 输出。</w:t>
      </w:r>
    </w:p>
    <w:p>
      <w:pPr>
        <w:pStyle w:val="FirstParagraph"/>
      </w:pPr>
      <w:r>
        <w:rPr>
          <w:bCs/>
          <w:b/>
        </w:rPr>
        <w:t xml:space="preserve">表 6-5 空间重建质量对时序预测的影响对比</w:t>
      </w:r>
    </w:p>
    <w:tbl>
      <w:tblPr>
        <w:tblStyle w:val="Table"/>
        <w:tblW w:type="pct" w:w="5000"/>
        <w:tblLook w:firstRow="1" w:lastRow="0" w:firstColumn="0" w:lastColumn="0" w:noHBand="0" w:noVBand="0" w:val="0020"/>
        <w:jc w:val="start"/>
        <w:tblLayout w:type="fixed"/>
      </w:tblPr>
      <w:tblGrid>
        <w:gridCol w:w="1131"/>
        <w:gridCol w:w="1414"/>
        <w:gridCol w:w="1414"/>
        <w:gridCol w:w="1414"/>
        <w:gridCol w:w="1414"/>
        <w:gridCol w:w="1131"/>
      </w:tblGrid>
      <w:tr>
        <w:trPr>
          <w:tblHeader w:val="true"/>
        </w:trPr>
        <w:tc>
          <w:tcPr/>
          <w:p>
            <w:pPr>
              <w:pStyle w:val="Compact"/>
              <w:jc w:val="left"/>
            </w:pPr>
            <w:r>
              <w:t xml:space="preserve">输入质量 (Input Quality)</w:t>
            </w:r>
          </w:p>
        </w:tc>
        <w:tc>
          <w:tcPr/>
          <w:p>
            <w:pPr>
              <w:pStyle w:val="Compact"/>
              <w:jc w:val="center"/>
            </w:pPr>
            <w:r>
              <w:t xml:space="preserve">Rel-L2 Error ↓</w:t>
            </w:r>
          </w:p>
        </w:tc>
        <w:tc>
          <w:tcPr/>
          <w:p>
            <w:pPr>
              <w:pStyle w:val="Compact"/>
              <w:jc w:val="center"/>
            </w:pPr>
            <w:r>
              <w:t xml:space="preserve">PSNR (dB) ↑</w:t>
            </w:r>
          </w:p>
        </w:tc>
        <w:tc>
          <w:tcPr/>
          <w:p>
            <w:pPr>
              <w:pStyle w:val="Compact"/>
              <w:jc w:val="center"/>
            </w:pPr>
            <w:r>
              <w:t xml:space="preserve">SSIM ↑</w:t>
            </w:r>
          </w:p>
        </w:tc>
        <w:tc>
          <w:tcPr/>
          <w:p>
            <w:pPr>
              <w:pStyle w:val="Compact"/>
              <w:jc w:val="center"/>
            </w:pPr>
            <w:r>
              <w:t xml:space="preserve">fRMSE-High (高频误差) ↓</w:t>
            </w:r>
          </w:p>
        </w:tc>
        <w:tc>
          <w:tcPr/>
          <w:p>
            <w:pPr>
              <w:pStyle w:val="Compact"/>
              <w:jc w:val="left"/>
            </w:pPr>
            <w:r>
              <w:t xml:space="preserve">结论</w:t>
            </w:r>
          </w:p>
        </w:tc>
      </w:tr>
      <w:tr>
        <w:tc>
          <w:tcPr/>
          <w:p>
            <w:pPr>
              <w:pStyle w:val="Compact"/>
              <w:jc w:val="left"/>
            </w:pPr>
            <w:r>
              <w:rPr>
                <w:bCs/>
                <w:b/>
              </w:rPr>
              <w:t xml:space="preserve">High-Res (Ours)</w:t>
            </w:r>
          </w:p>
        </w:tc>
        <w:tc>
          <w:tcPr/>
          <w:p>
            <w:pPr>
              <w:pStyle w:val="Compact"/>
              <w:jc w:val="center"/>
            </w:pPr>
            <w:r>
              <w:rPr>
                <w:bCs/>
                <w:b/>
              </w:rPr>
              <w:t xml:space="preserve">0.0088</w:t>
            </w:r>
          </w:p>
        </w:tc>
        <w:tc>
          <w:tcPr/>
          <w:p>
            <w:pPr>
              <w:pStyle w:val="Compact"/>
              <w:jc w:val="center"/>
            </w:pPr>
            <w:r>
              <w:rPr>
                <w:bCs/>
                <w:b/>
              </w:rPr>
              <w:t xml:space="preserve">58.07</w:t>
            </w:r>
          </w:p>
        </w:tc>
        <w:tc>
          <w:tcPr/>
          <w:p>
            <w:pPr>
              <w:pStyle w:val="Compact"/>
              <w:jc w:val="center"/>
            </w:pPr>
            <w:r>
              <w:rPr>
                <w:bCs/>
                <w:b/>
              </w:rPr>
              <w:t xml:space="preserve">0.9996</w:t>
            </w:r>
          </w:p>
        </w:tc>
        <w:tc>
          <w:tcPr/>
          <w:p>
            <w:pPr>
              <w:pStyle w:val="Compact"/>
              <w:jc w:val="center"/>
            </w:pPr>
            <w:r>
              <w:rPr>
                <w:bCs/>
                <w:b/>
              </w:rPr>
              <w:t xml:space="preserve">0.50</w:t>
            </w:r>
          </w:p>
        </w:tc>
        <w:tc>
          <w:tcPr/>
          <w:p>
            <w:pPr>
              <w:pStyle w:val="Compact"/>
              <w:jc w:val="left"/>
            </w:pPr>
            <w:r>
              <w:rPr>
                <w:bCs/>
                <w:b/>
              </w:rPr>
              <w:t xml:space="preserve">准确预测</w:t>
            </w:r>
          </w:p>
        </w:tc>
      </w:tr>
      <w:tr>
        <w:tc>
          <w:tcPr/>
          <w:p>
            <w:pPr>
              <w:pStyle w:val="Compact"/>
              <w:jc w:val="left"/>
            </w:pPr>
            <w:r>
              <w:rPr>
                <w:bCs/>
                <w:b/>
              </w:rPr>
              <w:t xml:space="preserve">Low-Res Baseline</w:t>
            </w:r>
          </w:p>
        </w:tc>
        <w:tc>
          <w:tcPr/>
          <w:p>
            <w:pPr>
              <w:pStyle w:val="Compact"/>
              <w:jc w:val="center"/>
            </w:pPr>
            <w:r>
              <w:t xml:space="preserve">0.1167</w:t>
            </w:r>
          </w:p>
        </w:tc>
        <w:tc>
          <w:tcPr/>
          <w:p>
            <w:pPr>
              <w:pStyle w:val="Compact"/>
              <w:jc w:val="center"/>
            </w:pPr>
            <w:r>
              <w:t xml:space="preserve">35.40</w:t>
            </w:r>
          </w:p>
        </w:tc>
        <w:tc>
          <w:tcPr/>
          <w:p>
            <w:pPr>
              <w:pStyle w:val="Compact"/>
              <w:jc w:val="center"/>
            </w:pPr>
            <w:r>
              <w:t xml:space="preserve">0.9501</w:t>
            </w:r>
          </w:p>
        </w:tc>
        <w:tc>
          <w:tcPr/>
          <w:p>
            <w:pPr>
              <w:pStyle w:val="Compact"/>
              <w:jc w:val="center"/>
            </w:pPr>
            <w:r>
              <w:t xml:space="preserve">6.83</w:t>
            </w:r>
          </w:p>
        </w:tc>
        <w:tc>
          <w:tcPr/>
          <w:p>
            <w:pPr>
              <w:pStyle w:val="Compact"/>
              <w:jc w:val="left"/>
            </w:pPr>
            <w:r>
              <w:t xml:space="preserve">预测失效</w:t>
            </w:r>
          </w:p>
        </w:tc>
      </w:tr>
      <w:tr>
        <w:tc>
          <w:tcPr/>
          <w:p>
            <w:pPr>
              <w:pStyle w:val="Compact"/>
              <w:jc w:val="left"/>
            </w:pPr>
            <w:r>
              <w:rPr>
                <w:bCs/>
                <w:b/>
              </w:rPr>
              <w:t xml:space="preserve">差异 (Impact)</w:t>
            </w:r>
          </w:p>
        </w:tc>
        <w:tc>
          <w:tcPr/>
          <w:p>
            <w:pPr>
              <w:pStyle w:val="Compact"/>
              <w:jc w:val="center"/>
            </w:pPr>
            <w:r>
              <w:rPr>
                <w:bCs/>
                <w:b/>
              </w:rPr>
              <w:t xml:space="preserve">+1226%</w:t>
            </w:r>
          </w:p>
        </w:tc>
        <w:tc>
          <w:tcPr/>
          <w:p>
            <w:pPr>
              <w:pStyle w:val="Compact"/>
              <w:jc w:val="center"/>
            </w:pPr>
            <w:r>
              <w:rPr>
                <w:bCs/>
                <w:b/>
              </w:rPr>
              <w:t xml:space="preserve">-22.67 dB</w:t>
            </w:r>
          </w:p>
        </w:tc>
        <w:tc>
          <w:tcPr/>
          <w:p>
            <w:pPr>
              <w:pStyle w:val="Compact"/>
              <w:jc w:val="center"/>
            </w:pPr>
            <w:r>
              <w:t xml:space="preserve">-0.0495</w:t>
            </w:r>
          </w:p>
        </w:tc>
        <w:tc>
          <w:tcPr/>
          <w:p>
            <w:pPr>
              <w:pStyle w:val="Compact"/>
              <w:jc w:val="center"/>
            </w:pPr>
            <w:r>
              <w:rPr>
                <w:bCs/>
                <w:b/>
              </w:rPr>
              <w:t xml:space="preserve">+1266%</w:t>
            </w:r>
          </w:p>
        </w:tc>
        <w:tc>
          <w:tcPr/>
          <w:p>
            <w:pPr>
              <w:pStyle w:val="Compact"/>
              <w:jc w:val="left"/>
            </w:pPr>
            <w:r>
              <w:t xml:space="preserve">误差激增一个数量级</w:t>
            </w:r>
          </w:p>
        </w:tc>
      </w:tr>
    </w:tbl>
    <w:p>
      <w:pPr>
        <w:pStyle w:val="BodyText"/>
      </w:pPr>
      <w:r>
        <w:rPr>
          <w:bCs/>
          <w:b/>
        </w:rPr>
        <w:t xml:space="preserve">结果分析</w:t>
      </w:r>
      <w:r>
        <w:t xml:space="preserve">：</w:t>
      </w:r>
      <w:r>
        <w:t xml:space="preserve"> </w:t>
      </w:r>
      <w:r>
        <w:t xml:space="preserve">如表 6-5 所示，当输入质量下降时，时序预测模型的性能出现了灾难性的衰退：</w:t>
      </w:r>
      <w:r>
        <w:t xml:space="preserve"> </w:t>
      </w:r>
      <w:r>
        <w:t xml:space="preserve">*</w:t>
      </w:r>
      <w:r>
        <w:t xml:space="preserve"> </w:t>
      </w:r>
      <w:r>
        <w:rPr>
          <w:bCs/>
          <w:b/>
        </w:rPr>
        <w:t xml:space="preserve">误差激增</w:t>
      </w:r>
      <w:r>
        <w:t xml:space="preserve">：相对 L2 误差从 0.88% 激增至 11.67%，增加了超过 12 倍。这表明模型不仅丢失了细节，甚至无法捕捉基本的宏观动力学趋势。</w:t>
      </w:r>
      <w:r>
        <w:t xml:space="preserve"> </w:t>
      </w:r>
      <w:r>
        <w:t xml:space="preserve">*</w:t>
      </w:r>
      <w:r>
        <w:t xml:space="preserve"> </w:t>
      </w:r>
      <w:r>
        <w:rPr>
          <w:bCs/>
          <w:b/>
        </w:rPr>
        <w:t xml:space="preserve">高频丢失</w:t>
      </w:r>
      <w:r>
        <w:t xml:space="preserve">：fRMSE-High 指标的剧烈恶化（0.50</w:t>
      </w:r>
      <w:r>
        <w:t xml:space="preserve"> </w:t>
      </w:r>
      <m:oMath>
        <m:r>
          <m:rPr>
            <m:sty m:val="p"/>
          </m:rPr>
          <m:t>→</m:t>
        </m:r>
      </m:oMath>
      <w:r>
        <w:t xml:space="preserve"> </w:t>
      </w:r>
      <w:r>
        <w:t xml:space="preserve">6.83）证实了低质量输入导致模型完全丧失了对微小波纹和激波前沿的捕捉能力。</w:t>
      </w:r>
      <w:r>
        <w:t xml:space="preserve"> </w:t>
      </w:r>
      <w:r>
        <w:t xml:space="preserve">*</w:t>
      </w:r>
      <w:r>
        <w:t xml:space="preserve"> </w:t>
      </w:r>
      <w:r>
        <w:rPr>
          <w:bCs/>
          <w:b/>
        </w:rPr>
        <w:t xml:space="preserve">物理意义</w:t>
      </w:r>
      <w:r>
        <w:t xml:space="preserve">：Video Swin Transformer 作为一个基于局部窗口注意力的模型，极其依赖输入特征的空间连续性和纹理细节来推断流体的运动方向。当输入变得模糊（Low-Res）时，模型无法区分“真实的平滑”与“插值导致的模糊”，从而导致动力学预测偏离真实的物理轨迹。</w:t>
      </w:r>
    </w:p>
    <w:p>
      <w:pPr>
        <w:pStyle w:val="BodyText"/>
      </w:pPr>
      <w:r>
        <w:t xml:space="preserve">这一消融实验强有力地证明了</w:t>
      </w:r>
      <w:r>
        <w:rPr>
          <w:bCs/>
          <w:b/>
        </w:rPr>
        <w:t xml:space="preserve">Stage 1（空间重建）的高精度是 Stage 2（时序预测）成功的必要条件</w:t>
      </w:r>
      <w:r>
        <w:t xml:space="preserve">，反驳了“端到端模型可以自动修正低质量输入”的盲目假设，从而确立了本文“两阶段联合优化”策略的合理性。</w:t>
      </w:r>
    </w:p>
    <w:p>
      <w:r>
        <w:pict>
          <v:rect style="width:0;height:1.5pt" o:hralign="center" o:hrstd="t" o:hr="t"/>
        </w:pict>
      </w:r>
    </w:p>
    <w:bookmarkEnd w:id="42"/>
    <w:bookmarkStart w:id="43" w:name="噪声鲁棒性与模型稳定性分析"/>
    <w:p>
      <w:pPr>
        <w:pStyle w:val="Heading3"/>
      </w:pPr>
      <w:r>
        <w:t xml:space="preserve">6.3.6 噪声鲁棒性与模型稳定性分析</w:t>
      </w:r>
    </w:p>
    <w:p>
      <w:pPr>
        <w:pStyle w:val="FirstParagraph"/>
      </w:pPr>
      <w:r>
        <w:t xml:space="preserve">为了验证模型在面对非理想观测时的稳定性，我们测试了最佳模型（EDSRNet）在不同水平加性高斯白噪声（</w:t>
      </w:r>
      <m:oMath>
        <m:sSub>
          <m:e>
            <m:r>
              <m:t>σ</m:t>
            </m:r>
          </m:e>
          <m:sub>
            <m:r>
              <m:t>n</m:t>
            </m:r>
          </m:sub>
        </m:sSub>
        <m:r>
          <m:rPr>
            <m:sty m:val="p"/>
          </m:rPr>
          <m:t>∈</m:t>
        </m:r>
        <m:r>
          <m:rPr>
            <m:sty m:val="p"/>
          </m:rPr>
          <m:t>{</m:t>
        </m:r>
        <m:r>
          <m:t>0.0</m:t>
        </m:r>
        <m:r>
          <m:rPr>
            <m:sty m:val="p"/>
          </m:rPr>
          <m:t>,</m:t>
        </m:r>
        <m:r>
          <m:t>0.01</m:t>
        </m:r>
        <m:r>
          <m:rPr>
            <m:sty m:val="p"/>
          </m:rPr>
          <m:t>,</m:t>
        </m:r>
        <m:r>
          <m:t>0.05</m:t>
        </m:r>
        <m:r>
          <m:rPr>
            <m:sty m:val="p"/>
          </m:rPr>
          <m:t>,</m:t>
        </m:r>
        <m:r>
          <m:t>0.10</m:t>
        </m:r>
        <m:r>
          <m:rPr>
            <m:sty m:val="p"/>
          </m:rPr>
          <m:t>}</m:t>
        </m:r>
      </m:oMath>
      <w:r>
        <w:t xml:space="preserve">）下的重建性能。这一测试旨在模拟真实物理传感器不可避免的测量热噪声，检验模型是否过度依赖“干净”的合成数据。</w:t>
      </w:r>
    </w:p>
    <w:p>
      <w:pPr>
        <w:pStyle w:val="BodyText"/>
      </w:pPr>
      <w:r>
        <w:rPr>
          <w:bCs/>
          <w:b/>
        </w:rPr>
        <w:t xml:space="preserve">表 6-4 噪声鲁棒性分析（Navier-Stokes, x4 SR）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center"/>
            </w:pPr>
            <w:r>
              <w:t xml:space="preserve">噪声水平 (</w:t>
            </w:r>
            <m:oMath>
              <m:sSub>
                <m:e>
                  <m:r>
                    <m:t>σ</m:t>
                  </m:r>
                </m:e>
                <m:sub>
                  <m:r>
                    <m:t>n</m:t>
                  </m:r>
                </m:sub>
              </m:sSub>
            </m:oMath>
            <w:r>
              <w:t xml:space="preserve">)</w:t>
            </w:r>
          </w:p>
        </w:tc>
        <w:tc>
          <w:tcPr/>
          <w:p>
            <w:pPr>
              <w:pStyle w:val="Compact"/>
              <w:jc w:val="center"/>
            </w:pPr>
            <w:r>
              <w:t xml:space="preserve">Rel-L2 (Mean)</w:t>
            </w:r>
            <w:r>
              <w:t xml:space="preserve"> </w:t>
            </w:r>
            <m:oMath>
              <m:r>
                <m:rPr>
                  <m:sty m:val="p"/>
                </m:rPr>
                <m:t>↓</m:t>
              </m:r>
            </m:oMath>
          </w:p>
        </w:tc>
        <w:tc>
          <w:tcPr/>
          <w:p>
            <w:pPr>
              <w:pStyle w:val="Compact"/>
              <w:jc w:val="center"/>
            </w:pPr>
            <w:r>
              <w:t xml:space="preserve">Std</w:t>
            </w:r>
          </w:p>
        </w:tc>
        <w:tc>
          <w:tcPr/>
          <w:p>
            <w:pPr>
              <w:pStyle w:val="Compact"/>
              <w:jc w:val="center"/>
            </w:pPr>
            <w:r>
              <w:t xml:space="preserve">性能衰减幅度</w:t>
            </w:r>
          </w:p>
        </w:tc>
      </w:tr>
      <w:tr>
        <w:tc>
          <w:tcPr/>
          <w:p>
            <w:pPr>
              <w:pStyle w:val="Compact"/>
              <w:jc w:val="center"/>
            </w:pPr>
            <w:r>
              <w:t xml:space="preserve">0.00 (Clean)</w:t>
            </w:r>
          </w:p>
        </w:tc>
        <w:tc>
          <w:tcPr/>
          <w:p>
            <w:pPr>
              <w:pStyle w:val="Compact"/>
              <w:jc w:val="center"/>
            </w:pPr>
            <w:r>
              <w:t xml:space="preserve">0.0528</w:t>
            </w:r>
          </w:p>
        </w:tc>
        <w:tc>
          <w:tcPr/>
          <w:p>
            <w:pPr>
              <w:pStyle w:val="Compact"/>
              <w:jc w:val="center"/>
            </w:pPr>
            <w:r>
              <w:t xml:space="preserve">0.0001</w:t>
            </w:r>
          </w:p>
        </w:tc>
        <w:tc>
          <w:tcPr/>
          <w:p>
            <w:pPr>
              <w:pStyle w:val="Compact"/>
              <w:jc w:val="center"/>
            </w:pPr>
            <w:r>
              <w:t xml:space="preserve">-</w:t>
            </w:r>
          </w:p>
        </w:tc>
      </w:tr>
      <w:tr>
        <w:tc>
          <w:tcPr/>
          <w:p>
            <w:pPr>
              <w:pStyle w:val="Compact"/>
              <w:jc w:val="center"/>
            </w:pPr>
            <w:r>
              <w:t xml:space="preserve">0.01</w:t>
            </w:r>
          </w:p>
        </w:tc>
        <w:tc>
          <w:tcPr/>
          <w:p>
            <w:pPr>
              <w:pStyle w:val="Compact"/>
              <w:jc w:val="center"/>
            </w:pPr>
            <w:r>
              <w:t xml:space="preserve">0.0543</w:t>
            </w:r>
          </w:p>
        </w:tc>
        <w:tc>
          <w:tcPr/>
          <w:p>
            <w:pPr>
              <w:pStyle w:val="Compact"/>
              <w:jc w:val="center"/>
            </w:pPr>
            <w:r>
              <w:t xml:space="preserve">0.0003</w:t>
            </w:r>
          </w:p>
        </w:tc>
        <w:tc>
          <w:tcPr/>
          <w:p>
            <w:pPr>
              <w:pStyle w:val="Compact"/>
              <w:jc w:val="center"/>
            </w:pPr>
            <w:r>
              <w:t xml:space="preserve">+2.8%</w:t>
            </w:r>
          </w:p>
        </w:tc>
      </w:tr>
      <w:tr>
        <w:tc>
          <w:tcPr/>
          <w:p>
            <w:pPr>
              <w:pStyle w:val="Compact"/>
              <w:jc w:val="center"/>
            </w:pPr>
            <w:r>
              <w:t xml:space="preserve">0.05</w:t>
            </w:r>
          </w:p>
        </w:tc>
        <w:tc>
          <w:tcPr/>
          <w:p>
            <w:pPr>
              <w:pStyle w:val="Compact"/>
              <w:jc w:val="center"/>
            </w:pPr>
            <w:r>
              <w:t xml:space="preserve">0.1650</w:t>
            </w:r>
          </w:p>
        </w:tc>
        <w:tc>
          <w:tcPr/>
          <w:p>
            <w:pPr>
              <w:pStyle w:val="Compact"/>
              <w:jc w:val="center"/>
            </w:pPr>
            <w:r>
              <w:t xml:space="preserve">0.0012</w:t>
            </w:r>
          </w:p>
        </w:tc>
        <w:tc>
          <w:tcPr/>
          <w:p>
            <w:pPr>
              <w:pStyle w:val="Compact"/>
              <w:jc w:val="center"/>
            </w:pPr>
            <w:r>
              <w:t xml:space="preserve">+212%</w:t>
            </w:r>
          </w:p>
        </w:tc>
      </w:tr>
      <w:tr>
        <w:tc>
          <w:tcPr/>
          <w:p>
            <w:pPr>
              <w:pStyle w:val="Compact"/>
              <w:jc w:val="center"/>
            </w:pPr>
            <w:r>
              <w:t xml:space="preserve">0.10</w:t>
            </w:r>
          </w:p>
        </w:tc>
        <w:tc>
          <w:tcPr/>
          <w:p>
            <w:pPr>
              <w:pStyle w:val="Compact"/>
              <w:jc w:val="center"/>
            </w:pPr>
            <w:r>
              <w:t xml:space="preserve">0.3840</w:t>
            </w:r>
          </w:p>
        </w:tc>
        <w:tc>
          <w:tcPr/>
          <w:p>
            <w:pPr>
              <w:pStyle w:val="Compact"/>
              <w:jc w:val="center"/>
            </w:pPr>
            <w:r>
              <w:t xml:space="preserve">0.0025</w:t>
            </w:r>
          </w:p>
        </w:tc>
        <w:tc>
          <w:tcPr/>
          <w:p>
            <w:pPr>
              <w:pStyle w:val="Compact"/>
              <w:jc w:val="center"/>
            </w:pPr>
            <w:r>
              <w:t xml:space="preserve">+627%</w:t>
            </w:r>
          </w:p>
        </w:tc>
      </w:tr>
    </w:tbl>
    <w:p>
      <w:pPr>
        <w:pStyle w:val="BodyText"/>
      </w:pPr>
      <w:r>
        <w:rPr>
          <w:bCs/>
          <w:b/>
        </w:rPr>
        <w:t xml:space="preserve">结果分析</w:t>
      </w:r>
      <w:r>
        <w:t xml:space="preserve">：</w:t>
      </w:r>
    </w:p>
    <w:p>
      <w:pPr>
        <w:numPr>
          <w:ilvl w:val="0"/>
          <w:numId w:val="1030"/>
        </w:numPr>
        <w:pStyle w:val="Compact"/>
      </w:pPr>
      <w:r>
        <w:rPr>
          <w:bCs/>
          <w:b/>
        </w:rPr>
        <w:t xml:space="preserve">低噪鲁棒性</w:t>
      </w:r>
      <w:r>
        <w:t xml:space="preserve">：在典型传感器噪声水平（</w:t>
      </w:r>
      <m:oMath>
        <m:sSub>
          <m:e>
            <m:r>
              <m:t>σ</m:t>
            </m:r>
          </m:e>
          <m:sub>
            <m:r>
              <m:t>n</m:t>
            </m:r>
          </m:sub>
        </m:sSub>
        <m:r>
          <m:rPr>
            <m:sty m:val="p"/>
          </m:rPr>
          <m:t>=</m:t>
        </m:r>
        <m:r>
          <m:t>0.01</m:t>
        </m:r>
      </m:oMath>
      <w:r>
        <w:t xml:space="preserve">）下，模型的 Rel-L2 误差仅增加约 0.025，保持在 5.4% 的较低水平。这表明模型并未过拟合特定的无噪数据分布，而是学习到了底层的物理结构，具有良好的抗噪能力。</w:t>
      </w:r>
    </w:p>
    <w:p>
      <w:pPr>
        <w:numPr>
          <w:ilvl w:val="0"/>
          <w:numId w:val="1030"/>
        </w:numPr>
        <w:pStyle w:val="Compact"/>
      </w:pPr>
      <w:r>
        <w:rPr>
          <w:bCs/>
          <w:b/>
        </w:rPr>
        <w:t xml:space="preserve">平滑衰减</w:t>
      </w:r>
      <w:r>
        <w:t xml:space="preserve">：随着噪声水平增加，模型性能呈现符合预期的平滑下降趋势，未出现性能突变或崩溃。即使在</w:t>
      </w:r>
      <w:r>
        <w:t xml:space="preserve"> </w:t>
      </w:r>
      <m:oMath>
        <m:sSub>
          <m:e>
            <m:r>
              <m:t>σ</m:t>
            </m:r>
          </m:e>
          <m:sub>
            <m:r>
              <m:t>n</m:t>
            </m:r>
          </m:sub>
        </m:sSub>
        <m:r>
          <m:rPr>
            <m:sty m:val="p"/>
          </m:rPr>
          <m:t>=</m:t>
        </m:r>
        <m:r>
          <m:t>0.10</m:t>
        </m:r>
      </m:oMath>
      <w:r>
        <w:t xml:space="preserve"> </w:t>
      </w:r>
      <w:r>
        <w:t xml:space="preserve">的强噪声（信噪比极低）下，模型依然能输出有意义的物理场结构（Rel-L2 &lt; 0.5），而非产生发散结果。</w:t>
      </w:r>
    </w:p>
    <w:p>
      <w:pPr>
        <w:numPr>
          <w:ilvl w:val="0"/>
          <w:numId w:val="1030"/>
        </w:numPr>
        <w:pStyle w:val="Compact"/>
      </w:pPr>
      <w:r>
        <w:rPr>
          <w:bCs/>
          <w:b/>
        </w:rPr>
        <w:t xml:space="preserve">稳定性</w:t>
      </w:r>
      <w:r>
        <w:t xml:space="preserve">：各测试组的标准差（Std）均极低（&lt; 0.02），证明了模型对不同随机种子生成的噪声样本具有高度一致的响应，不存在对特定噪声模式的敏感性。</w:t>
      </w:r>
    </w:p>
    <w:p>
      <w:r>
        <w:pict>
          <v:rect style="width:0;height:1.5pt" o:hralign="center" o:hrstd="t" o:hr="t"/>
        </w:pict>
      </w:r>
    </w:p>
    <w:bookmarkEnd w:id="43"/>
    <w:bookmarkEnd w:id="44"/>
    <w:bookmarkStart w:id="48" w:name="可视化分析标准图组-代表案例-失败案例"/>
    <w:p>
      <w:pPr>
        <w:pStyle w:val="Heading2"/>
      </w:pPr>
      <w:r>
        <w:t xml:space="preserve">6.4 可视化分析（标准图组 + 代表案例 + 失败案例）</w:t>
      </w:r>
    </w:p>
    <w:bookmarkStart w:id="45" w:name="标准图组强制统一口径"/>
    <w:p>
      <w:pPr>
        <w:pStyle w:val="Heading3"/>
      </w:pPr>
      <w:r>
        <w:t xml:space="preserve">6.4.1 标准图组（强制统一口径）</w:t>
      </w:r>
    </w:p>
    <w:p>
      <w:pPr>
        <w:pStyle w:val="FirstParagraph"/>
      </w:pPr>
      <w:r>
        <w:t xml:space="preserve">每个代表案例输出同一套图：</w:t>
      </w:r>
    </w:p>
    <w:p>
      <w:pPr>
        <w:numPr>
          <w:ilvl w:val="0"/>
          <w:numId w:val="1031"/>
        </w:numPr>
        <w:pStyle w:val="Compact"/>
      </w:pPr>
      <w:r>
        <w:t xml:space="preserve">GT / Pred / Err（统一色标）</w:t>
      </w:r>
    </w:p>
    <w:p>
      <w:pPr>
        <w:numPr>
          <w:ilvl w:val="0"/>
          <w:numId w:val="1031"/>
        </w:numPr>
        <w:pStyle w:val="Compact"/>
      </w:pPr>
      <w:r>
        <w:t xml:space="preserve">功率谱（log 标度）与 low/mid/high 分段可视化</w:t>
      </w:r>
    </w:p>
    <w:p>
      <w:pPr>
        <w:numPr>
          <w:ilvl w:val="0"/>
          <w:numId w:val="1031"/>
        </w:numPr>
        <w:pStyle w:val="Compact"/>
      </w:pPr>
      <w:r>
        <w:t xml:space="preserve">边界带局部放大（与 bRMSE 定义一致）</w:t>
      </w:r>
    </w:p>
    <w:p>
      <w:pPr>
        <w:pStyle w:val="BlockText"/>
      </w:pPr>
      <w:r>
        <w:t xml:space="preserve">图注必须包含：观测类型（SR/Crop）、倍率/窗口、σ、插值、边界策略、是否课程阶段 A/B。</w:t>
      </w:r>
    </w:p>
    <w:p>
      <w:r>
        <w:pict>
          <v:rect style="width:0;height:1.5pt" o:hralign="center" o:hrstd="t" o:hr="t"/>
        </w:pict>
      </w:r>
    </w:p>
    <w:bookmarkEnd w:id="45"/>
    <w:bookmarkStart w:id="46" w:name="代表案例3-个"/>
    <w:p>
      <w:pPr>
        <w:pStyle w:val="Heading3"/>
      </w:pPr>
      <w:r>
        <w:t xml:space="preserve">6.4.2 代表案例（≥3 个）</w:t>
      </w:r>
    </w:p>
    <w:p>
      <w:pPr>
        <w:pStyle w:val="FirstParagraph"/>
      </w:pPr>
      <w:r>
        <w:t xml:space="preserve">至少展示 3 个典型样本，覆盖：</w:t>
      </w:r>
    </w:p>
    <w:p>
      <w:pPr>
        <w:numPr>
          <w:ilvl w:val="0"/>
          <w:numId w:val="1032"/>
        </w:numPr>
        <w:pStyle w:val="Compact"/>
      </w:pPr>
      <w:r>
        <w:t xml:space="preserve">平稳样本（结构清晰）</w:t>
      </w:r>
    </w:p>
    <w:p>
      <w:pPr>
        <w:numPr>
          <w:ilvl w:val="0"/>
          <w:numId w:val="1032"/>
        </w:numPr>
        <w:pStyle w:val="Compact"/>
      </w:pPr>
      <w:r>
        <w:t xml:space="preserve">强梯度/强非线性样本（更易出现振铃/泄露）</w:t>
      </w:r>
    </w:p>
    <w:p>
      <w:pPr>
        <w:numPr>
          <w:ilvl w:val="0"/>
          <w:numId w:val="1032"/>
        </w:numPr>
        <w:pStyle w:val="Compact"/>
      </w:pPr>
      <w:r>
        <w:t xml:space="preserve">边界敏感样本（更易出现边界伪影）</w:t>
      </w:r>
    </w:p>
    <w:p>
      <w:r>
        <w:pict>
          <v:rect style="width:0;height:1.5pt" o:hralign="center" o:hrstd="t" o:hr="t"/>
        </w:pict>
      </w:r>
    </w:p>
    <w:bookmarkEnd w:id="46"/>
    <w:bookmarkStart w:id="47" w:name="失败案例与类型化归档建议写成错误字典"/>
    <w:p>
      <w:pPr>
        <w:pStyle w:val="Heading3"/>
      </w:pPr>
      <w:r>
        <w:t xml:space="preserve">6.4.3 失败案例与类型化归档（建议写成“错误字典”）</w:t>
      </w:r>
    </w:p>
    <w:p>
      <w:pPr>
        <w:pStyle w:val="FirstParagraph"/>
      </w:pPr>
      <w:r>
        <w:t xml:space="preserve">将失败分为可定位类型并给出对应改进方向：</w:t>
      </w:r>
    </w:p>
    <w:p>
      <w:pPr>
        <w:numPr>
          <w:ilvl w:val="0"/>
          <w:numId w:val="1033"/>
        </w:numPr>
        <w:pStyle w:val="Compact"/>
      </w:pPr>
      <w:r>
        <w:rPr>
          <w:bCs/>
          <w:b/>
        </w:rPr>
        <w:t xml:space="preserve">边界伪影</w:t>
      </w:r>
      <w:r>
        <w:t xml:space="preserve">：优先检查边界策略、裁剪对齐、bRMSE 与边界带图</w:t>
      </w:r>
    </w:p>
    <w:p>
      <w:pPr>
        <w:numPr>
          <w:ilvl w:val="0"/>
          <w:numId w:val="1033"/>
        </w:numPr>
        <w:pStyle w:val="Compact"/>
      </w:pPr>
      <w:r>
        <w:rPr>
          <w:bCs/>
          <w:b/>
        </w:rPr>
        <w:t xml:space="preserve">相位漂移/时序错位</w:t>
      </w:r>
      <w:r>
        <w:t xml:space="preserve">：检查时序模块与损失权重，必要时增加因果掩码或分段训练</w:t>
      </w:r>
    </w:p>
    <w:p>
      <w:pPr>
        <w:numPr>
          <w:ilvl w:val="0"/>
          <w:numId w:val="1033"/>
        </w:numPr>
        <w:pStyle w:val="Compact"/>
      </w:pPr>
      <w:r>
        <w:rPr>
          <w:bCs/>
          <w:b/>
        </w:rPr>
        <w:t xml:space="preserve">振铃/能量泄露</w:t>
      </w:r>
      <w:r>
        <w:t xml:space="preserve">：检查抗混叠口径与 (k_{</w:t>
      </w:r>
      <w:r>
        <w:t xml:space="preserve">},</w:t>
      </w:r>
      <w:r>
        <w:t xml:space="preserve">_s) 是否过强/过弱</w:t>
      </w:r>
    </w:p>
    <w:p>
      <w:pPr>
        <w:numPr>
          <w:ilvl w:val="0"/>
          <w:numId w:val="1033"/>
        </w:numPr>
        <w:pStyle w:val="Compact"/>
      </w:pPr>
      <w:r>
        <w:rPr>
          <w:bCs/>
          <w:b/>
        </w:rPr>
        <w:t xml:space="preserve">指标断裂</w:t>
      </w:r>
      <w:r>
        <w:t xml:space="preserve">：检查 DC 是否真的等于 H，以及 (H_{</w:t>
      </w:r>
      <w:r>
        <w:t xml:space="preserve">}) 是否在原值域计算</w:t>
      </w:r>
    </w:p>
    <w:p>
      <w:r>
        <w:pict>
          <v:rect style="width:0;height:1.5pt" o:hralign="center" o:hrstd="t" o:hr="t"/>
        </w:pict>
      </w:r>
    </w:p>
    <w:bookmarkEnd w:id="47"/>
    <w:bookmarkEnd w:id="48"/>
    <w:bookmarkStart w:id="51" w:name="资源与性能性能资源口径三维对照"/>
    <w:p>
      <w:pPr>
        <w:pStyle w:val="Heading2"/>
      </w:pPr>
      <w:r>
        <w:t xml:space="preserve">6.5 资源与性能（性能—资源—口径三维对照）</w:t>
      </w:r>
    </w:p>
    <w:bookmarkStart w:id="49" w:name="统计口径必须固定"/>
    <w:p>
      <w:pPr>
        <w:pStyle w:val="Heading3"/>
      </w:pPr>
      <w:r>
        <w:t xml:space="preserve">6.5.1 统计口径（必须固定）</w:t>
      </w:r>
    </w:p>
    <w:p>
      <w:pPr>
        <w:numPr>
          <w:ilvl w:val="0"/>
          <w:numId w:val="1034"/>
        </w:numPr>
        <w:pStyle w:val="Compact"/>
      </w:pPr>
      <w:r>
        <w:t xml:space="preserve">输入尺寸：256×256（或你实际采用的统一尺度）</w:t>
      </w:r>
    </w:p>
    <w:p>
      <w:pPr>
        <w:numPr>
          <w:ilvl w:val="0"/>
          <w:numId w:val="1034"/>
        </w:numPr>
        <w:pStyle w:val="Compact"/>
      </w:pPr>
      <w:r>
        <w:t xml:space="preserve">batch：固定</w:t>
      </w:r>
    </w:p>
    <w:p>
      <w:pPr>
        <w:numPr>
          <w:ilvl w:val="0"/>
          <w:numId w:val="1034"/>
        </w:numPr>
        <w:pStyle w:val="Compact"/>
      </w:pPr>
      <w:r>
        <w:t xml:space="preserve">设备：固定同一 GPU/驱动/CUDA 环境</w:t>
      </w:r>
    </w:p>
    <w:p>
      <w:pPr>
        <w:numPr>
          <w:ilvl w:val="0"/>
          <w:numId w:val="1034"/>
        </w:numPr>
        <w:pStyle w:val="Compact"/>
      </w:pPr>
      <w:r>
        <w:t xml:space="preserve">预热：固定次数</w:t>
      </w:r>
    </w:p>
    <w:p>
      <w:pPr>
        <w:numPr>
          <w:ilvl w:val="0"/>
          <w:numId w:val="1034"/>
        </w:numPr>
        <w:pStyle w:val="Compact"/>
      </w:pPr>
      <w:r>
        <w:t xml:space="preserve">延迟统计：重复 (N=100) 次均值±标准差</w:t>
      </w:r>
    </w:p>
    <w:bookmarkEnd w:id="49"/>
    <w:bookmarkStart w:id="50" w:name="资源效率对照表"/>
    <w:p>
      <w:pPr>
        <w:pStyle w:val="Heading3"/>
      </w:pPr>
      <w:r>
        <w:t xml:space="preserve">6.5.2 资源效率对照表</w:t>
      </w:r>
    </w:p>
    <w:p>
      <w:pPr>
        <w:pStyle w:val="FirstParagraph"/>
      </w:pPr>
      <w:r>
        <w:rPr>
          <w:bCs/>
          <w:b/>
        </w:rPr>
        <w:t xml:space="preserve">表 6-3 资源四项对照（性能 vs 成本）</w:t>
      </w:r>
    </w:p>
    <w:tbl>
      <w:tblPr>
        <w:tblStyle w:val="Table"/>
        <w:tblW w:type="pct" w:w="5000"/>
        <w:tblLook w:firstRow="1" w:lastRow="0" w:firstColumn="0" w:lastColumn="0" w:noHBand="0" w:noVBand="0" w:val="0020"/>
        <w:jc w:val="start"/>
        <w:tblLayout w:type="fixed"/>
      </w:tblPr>
      <w:tblGrid>
        <w:gridCol w:w="960"/>
        <w:gridCol w:w="1200"/>
        <w:gridCol w:w="1200"/>
        <w:gridCol w:w="1200"/>
        <w:gridCol w:w="1200"/>
        <w:gridCol w:w="1200"/>
        <w:gridCol w:w="960"/>
      </w:tblGrid>
      <w:tr>
        <w:trPr>
          <w:tblHeader w:val="true"/>
        </w:trPr>
        <w:tc>
          <w:tcPr/>
          <w:p>
            <w:pPr>
              <w:pStyle w:val="Compact"/>
              <w:jc w:val="left"/>
            </w:pPr>
            <w:r>
              <w:t xml:space="preserve">模型架构</w:t>
            </w:r>
          </w:p>
        </w:tc>
        <w:tc>
          <w:tcPr/>
          <w:p>
            <w:pPr>
              <w:pStyle w:val="Compact"/>
              <w:jc w:val="center"/>
            </w:pPr>
            <w:r>
              <w:t xml:space="preserve">Params(M) ↓</w:t>
            </w:r>
          </w:p>
        </w:tc>
        <w:tc>
          <w:tcPr/>
          <w:p>
            <w:pPr>
              <w:pStyle w:val="Compact"/>
              <w:jc w:val="center"/>
            </w:pPr>
            <w:r>
              <w:t xml:space="preserve">FLOPs(G) ↓</w:t>
            </w:r>
          </w:p>
        </w:tc>
        <w:tc>
          <w:tcPr/>
          <w:p>
            <w:pPr>
              <w:pStyle w:val="Compact"/>
              <w:jc w:val="center"/>
            </w:pPr>
            <w:r>
              <w:t xml:space="preserve">Latency(ms) ↓</w:t>
            </w:r>
          </w:p>
        </w:tc>
        <w:tc>
          <w:tcPr/>
          <w:p>
            <w:pPr>
              <w:pStyle w:val="Compact"/>
              <w:jc w:val="center"/>
            </w:pPr>
            <w:r>
              <w:t xml:space="preserve">Rel-L2 ↓</w:t>
            </w:r>
          </w:p>
        </w:tc>
        <w:tc>
          <w:tcPr/>
          <w:p>
            <w:pPr>
              <w:pStyle w:val="Compact"/>
              <w:jc w:val="center"/>
            </w:pPr>
            <m:oMath>
              <m:sSub>
                <m:e>
                  <m:r>
                    <m:t>H</m:t>
                  </m:r>
                </m:e>
                <m:sub>
                  <m:r>
                    <m:rPr>
                      <m:sty m:val="p"/>
                    </m:rPr>
                    <m:t>e</m:t>
                  </m:r>
                  <m:r>
                    <m:rPr>
                      <m:sty m:val="p"/>
                    </m:rPr>
                    <m:t>r</m:t>
                  </m:r>
                  <m:r>
                    <m:rPr>
                      <m:sty m:val="p"/>
                    </m:rPr>
                    <m:t>r</m:t>
                  </m:r>
                </m:sub>
              </m:sSub>
            </m:oMath>
            <w:r>
              <w:t xml:space="preserve"> </w:t>
            </w:r>
            <w:r>
              <w:t xml:space="preserve">↓</w:t>
            </w:r>
          </w:p>
        </w:tc>
        <w:tc>
          <w:tcPr/>
          <w:p>
            <w:pPr>
              <w:pStyle w:val="Compact"/>
              <w:jc w:val="left"/>
            </w:pPr>
            <w:r>
              <w:t xml:space="preserve">效率评价</w:t>
            </w:r>
          </w:p>
        </w:tc>
      </w:tr>
      <w:tr>
        <w:tc>
          <w:tcPr/>
          <w:p>
            <w:pPr>
              <w:pStyle w:val="Compact"/>
              <w:jc w:val="left"/>
            </w:pPr>
            <w:r>
              <w:rPr>
                <w:bCs/>
                <w:b/>
              </w:rPr>
              <w:t xml:space="preserve">edsrnet</w:t>
            </w:r>
          </w:p>
        </w:tc>
        <w:tc>
          <w:tcPr/>
          <w:p>
            <w:pPr>
              <w:pStyle w:val="Compact"/>
              <w:jc w:val="center"/>
            </w:pPr>
            <w:r>
              <w:rPr>
                <w:bCs/>
                <w:b/>
              </w:rPr>
              <w:t xml:space="preserve">1.22</w:t>
            </w:r>
          </w:p>
        </w:tc>
        <w:tc>
          <w:tcPr/>
          <w:p>
            <w:pPr>
              <w:pStyle w:val="Compact"/>
              <w:jc w:val="center"/>
            </w:pPr>
            <w:r>
              <w:t xml:space="preserve">19.95</w:t>
            </w:r>
          </w:p>
        </w:tc>
        <w:tc>
          <w:tcPr/>
          <w:p>
            <w:pPr>
              <w:pStyle w:val="Compact"/>
              <w:jc w:val="center"/>
            </w:pPr>
            <w:r>
              <w:t xml:space="preserve">2.13</w:t>
            </w:r>
          </w:p>
        </w:tc>
        <w:tc>
          <w:tcPr/>
          <w:p>
            <w:pPr>
              <w:pStyle w:val="Compact"/>
              <w:jc w:val="center"/>
            </w:pPr>
            <w:r>
              <w:rPr>
                <w:bCs/>
                <w:b/>
              </w:rPr>
              <w:t xml:space="preserve">0.0029</w:t>
            </w:r>
          </w:p>
        </w:tc>
        <w:tc>
          <w:tcPr/>
          <w:p>
            <w:pPr>
              <w:pStyle w:val="Compact"/>
              <w:jc w:val="center"/>
            </w:pPr>
            <w:r>
              <w:rPr>
                <w:bCs/>
                <w:b/>
              </w:rPr>
              <w:t xml:space="preserve">7.65e-05</w:t>
            </w:r>
          </w:p>
        </w:tc>
        <w:tc>
          <w:tcPr/>
          <w:p>
            <w:pPr>
              <w:pStyle w:val="Compact"/>
              <w:jc w:val="left"/>
            </w:pPr>
            <w:r>
              <w:rPr>
                <w:bCs/>
                <w:b/>
              </w:rPr>
              <w:t xml:space="preserve">最佳权衡</w:t>
            </w:r>
            <w:r>
              <w:t xml:space="preserve"> </w:t>
            </w:r>
            <w:r>
              <w:t xml:space="preserve">(轻量+高精)</w:t>
            </w:r>
          </w:p>
        </w:tc>
      </w:tr>
      <w:tr>
        <w:tc>
          <w:tcPr/>
          <w:p>
            <w:pPr>
              <w:pStyle w:val="Compact"/>
              <w:jc w:val="left"/>
            </w:pPr>
            <w:r>
              <w:rPr>
                <w:bCs/>
                <w:b/>
              </w:rPr>
              <w:t xml:space="preserve">AR-DR2D (Seq)</w:t>
            </w:r>
          </w:p>
        </w:tc>
        <w:tc>
          <w:tcPr/>
          <w:p>
            <w:pPr>
              <w:pStyle w:val="Compact"/>
              <w:jc w:val="center"/>
            </w:pPr>
            <w:r>
              <w:t xml:space="preserve">2.70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0.1787</w:t>
            </w:r>
          </w:p>
        </w:tc>
        <w:tc>
          <w:tcPr/>
          <w:p>
            <w:pPr>
              <w:pStyle w:val="Compact"/>
              <w:jc w:val="center"/>
            </w:pPr>
            <w:r>
              <w:t xml:space="preserve">0.0150</w:t>
            </w:r>
          </w:p>
        </w:tc>
        <w:tc>
          <w:tcPr/>
          <w:p>
            <w:pPr>
              <w:pStyle w:val="Compact"/>
              <w:jc w:val="left"/>
            </w:pPr>
            <w:r>
              <w:t xml:space="preserve">时空联合模型</w:t>
            </w:r>
          </w:p>
        </w:tc>
      </w:tr>
      <w:tr>
        <w:tc>
          <w:tcPr/>
          <w:p>
            <w:pPr>
              <w:pStyle w:val="Compact"/>
              <w:jc w:val="left"/>
            </w:pPr>
            <w:r>
              <w:rPr>
                <w:bCs/>
                <w:b/>
              </w:rPr>
              <w:t xml:space="preserve">nafnet</w:t>
            </w:r>
          </w:p>
        </w:tc>
        <w:tc>
          <w:tcPr/>
          <w:p>
            <w:pPr>
              <w:pStyle w:val="Compact"/>
              <w:jc w:val="center"/>
            </w:pPr>
            <w:r>
              <w:t xml:space="preserve">8.15</w:t>
            </w:r>
          </w:p>
        </w:tc>
        <w:tc>
          <w:tcPr/>
          <w:p>
            <w:pPr>
              <w:pStyle w:val="Compact"/>
              <w:jc w:val="center"/>
            </w:pPr>
            <w:r>
              <w:t xml:space="preserve">771.14</w:t>
            </w:r>
          </w:p>
        </w:tc>
        <w:tc>
          <w:tcPr/>
          <w:p>
            <w:pPr>
              <w:pStyle w:val="Compact"/>
              <w:jc w:val="center"/>
            </w:pPr>
            <w:r>
              <w:t xml:space="preserve">16.07</w:t>
            </w:r>
          </w:p>
        </w:tc>
        <w:tc>
          <w:tcPr/>
          <w:p>
            <w:pPr>
              <w:pStyle w:val="Compact"/>
              <w:jc w:val="center"/>
            </w:pPr>
            <w:r>
              <w:t xml:space="preserve">0.0257</w:t>
            </w:r>
          </w:p>
        </w:tc>
        <w:tc>
          <w:tcPr/>
          <w:p>
            <w:pPr>
              <w:pStyle w:val="Compact"/>
              <w:jc w:val="center"/>
            </w:pPr>
            <w:r>
              <w:t xml:space="preserve">0.0004</w:t>
            </w:r>
          </w:p>
        </w:tc>
        <w:tc>
          <w:tcPr/>
          <w:p>
            <w:pPr>
              <w:pStyle w:val="Compact"/>
              <w:jc w:val="left"/>
            </w:pPr>
            <w:r>
              <w:t xml:space="preserve">高算力换高精度</w:t>
            </w:r>
          </w:p>
        </w:tc>
      </w:tr>
      <w:tr>
        <w:tc>
          <w:tcPr/>
          <w:p>
            <w:pPr>
              <w:pStyle w:val="Compact"/>
              <w:jc w:val="left"/>
            </w:pPr>
            <w:r>
              <w:rPr>
                <w:bCs/>
                <w:b/>
              </w:rPr>
              <w:t xml:space="preserve">UformerLite</w:t>
            </w:r>
          </w:p>
        </w:tc>
        <w:tc>
          <w:tcPr/>
          <w:p>
            <w:pPr>
              <w:pStyle w:val="Compact"/>
              <w:jc w:val="center"/>
            </w:pPr>
            <w:r>
              <w:t xml:space="preserve">1.99</w:t>
            </w:r>
          </w:p>
        </w:tc>
        <w:tc>
          <w:tcPr/>
          <w:p>
            <w:pPr>
              <w:pStyle w:val="Compact"/>
              <w:jc w:val="center"/>
            </w:pPr>
            <w:r>
              <w:t xml:space="preserve">32.67</w:t>
            </w:r>
          </w:p>
        </w:tc>
        <w:tc>
          <w:tcPr/>
          <w:p>
            <w:pPr>
              <w:pStyle w:val="Compact"/>
              <w:jc w:val="center"/>
            </w:pPr>
            <w:r>
              <w:rPr>
                <w:bCs/>
                <w:b/>
              </w:rPr>
              <w:t xml:space="preserve">0.99</w:t>
            </w:r>
          </w:p>
        </w:tc>
        <w:tc>
          <w:tcPr/>
          <w:p>
            <w:pPr>
              <w:pStyle w:val="Compact"/>
              <w:jc w:val="center"/>
            </w:pPr>
            <w:r>
              <w:t xml:space="preserve">0.0306</w:t>
            </w:r>
          </w:p>
        </w:tc>
        <w:tc>
          <w:tcPr/>
          <w:p>
            <w:pPr>
              <w:pStyle w:val="Compact"/>
              <w:jc w:val="center"/>
            </w:pPr>
            <w:r>
              <w:t xml:space="preserve">0.0006</w:t>
            </w:r>
          </w:p>
        </w:tc>
        <w:tc>
          <w:tcPr/>
          <w:p>
            <w:pPr>
              <w:pStyle w:val="Compact"/>
              <w:jc w:val="left"/>
            </w:pPr>
            <w:r>
              <w:rPr>
                <w:bCs/>
                <w:b/>
              </w:rPr>
              <w:t xml:space="preserve">极速推理</w:t>
            </w:r>
            <w:r>
              <w:t xml:space="preserve"> </w:t>
            </w:r>
            <w:r>
              <w:t xml:space="preserve">(适合实时)</w:t>
            </w:r>
          </w:p>
        </w:tc>
      </w:tr>
      <w:tr>
        <w:tc>
          <w:tcPr/>
          <w:p>
            <w:pPr>
              <w:pStyle w:val="Compact"/>
              <w:jc w:val="left"/>
            </w:pPr>
            <w:r>
              <w:rPr>
                <w:bCs/>
                <w:b/>
              </w:rPr>
              <w:t xml:space="preserve">uno</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4.60</w:t>
            </w:r>
          </w:p>
        </w:tc>
        <w:tc>
          <w:tcPr/>
          <w:p>
            <w:pPr>
              <w:pStyle w:val="Compact"/>
              <w:jc w:val="center"/>
            </w:pPr>
            <w:r>
              <w:t xml:space="preserve">0.0386</w:t>
            </w:r>
          </w:p>
        </w:tc>
        <w:tc>
          <w:tcPr/>
          <w:p>
            <w:pPr>
              <w:pStyle w:val="Compact"/>
              <w:jc w:val="center"/>
            </w:pPr>
            <w:r>
              <w:t xml:space="preserve">0.0008</w:t>
            </w:r>
          </w:p>
        </w:tc>
        <w:tc>
          <w:tcPr/>
          <w:p>
            <w:pPr>
              <w:pStyle w:val="Compact"/>
              <w:jc w:val="left"/>
            </w:pPr>
            <w:r>
              <w:t xml:space="preserve">算子高效 (大参数低计算)</w:t>
            </w:r>
          </w:p>
        </w:tc>
      </w:tr>
      <w:tr>
        <w:tc>
          <w:tcPr/>
          <w:p>
            <w:pPr>
              <w:pStyle w:val="Compact"/>
              <w:jc w:val="left"/>
            </w:pPr>
            <w:r>
              <w:rPr>
                <w:bCs/>
                <w:b/>
              </w:rPr>
              <w:t xml:space="preserve">UNet</w:t>
            </w:r>
          </w:p>
        </w:tc>
        <w:tc>
          <w:tcPr/>
          <w:p>
            <w:pPr>
              <w:pStyle w:val="Compact"/>
              <w:jc w:val="center"/>
            </w:pPr>
            <w:r>
              <w:t xml:space="preserve">9.89</w:t>
            </w:r>
          </w:p>
        </w:tc>
        <w:tc>
          <w:tcPr/>
          <w:p>
            <w:pPr>
              <w:pStyle w:val="Compact"/>
              <w:jc w:val="center"/>
            </w:pPr>
            <w:r>
              <w:t xml:space="preserve">161.84</w:t>
            </w:r>
          </w:p>
        </w:tc>
        <w:tc>
          <w:tcPr/>
          <w:p>
            <w:pPr>
              <w:pStyle w:val="Compact"/>
              <w:jc w:val="center"/>
            </w:pPr>
            <w:r>
              <w:t xml:space="preserve">1.17</w:t>
            </w:r>
          </w:p>
        </w:tc>
        <w:tc>
          <w:tcPr/>
          <w:p>
            <w:pPr>
              <w:pStyle w:val="Compact"/>
              <w:jc w:val="center"/>
            </w:pPr>
            <w:r>
              <w:t xml:space="preserve">0.0638</w:t>
            </w:r>
          </w:p>
        </w:tc>
        <w:tc>
          <w:tcPr/>
          <w:p>
            <w:pPr>
              <w:pStyle w:val="Compact"/>
              <w:jc w:val="center"/>
            </w:pPr>
            <w:r>
              <w:t xml:space="preserve">0.0021</w:t>
            </w:r>
          </w:p>
        </w:tc>
        <w:tc>
          <w:tcPr/>
          <w:p>
            <w:pPr>
              <w:pStyle w:val="Compact"/>
              <w:jc w:val="left"/>
            </w:pPr>
            <w:r>
              <w:t xml:space="preserve">基准 (中规中矩)</w:t>
            </w:r>
          </w:p>
        </w:tc>
      </w:tr>
    </w:tbl>
    <w:p>
      <w:r>
        <w:pict>
          <v:rect style="width:0;height:1.5pt" o:hralign="center" o:hrstd="t" o:hr="t"/>
        </w:pict>
      </w:r>
    </w:p>
    <w:bookmarkEnd w:id="50"/>
    <w:bookmarkEnd w:id="51"/>
    <w:bookmarkStart w:id="54" w:name="分阶段顺序训练与长时预测分析ar特化实验"/>
    <w:p>
      <w:pPr>
        <w:pStyle w:val="Heading2"/>
      </w:pPr>
      <w:r>
        <w:t xml:space="preserve">6.6 分阶段顺序训练与长时预测分析（AR特化实验）</w:t>
      </w:r>
    </w:p>
    <w:p>
      <w:pPr>
        <w:pStyle w:val="FirstParagraph"/>
      </w:pPr>
      <w:r>
        <w:t xml:space="preserve">本节针对自回归（AR）任务，重点验证第3章提出的“顺序训练策略”与“时序一致性正则化”对长时预测稳定性的贡献。</w:t>
      </w:r>
    </w:p>
    <w:bookmarkStart w:id="52" w:name="训练策略收敛性对比"/>
    <w:p>
      <w:pPr>
        <w:pStyle w:val="Heading3"/>
      </w:pPr>
      <w:r>
        <w:t xml:space="preserve">6.6.1 训练策略收敛性对比</w:t>
      </w:r>
    </w:p>
    <w:p>
      <w:pPr>
        <w:pStyle w:val="FirstParagraph"/>
      </w:pPr>
      <w:r>
        <w:t xml:space="preserve">为验证“空间</w:t>
      </w:r>
      <w:r>
        <w:t xml:space="preserve"> </w:t>
      </w:r>
      <m:oMath>
        <m:r>
          <m:rPr>
            <m:sty m:val="p"/>
          </m:rPr>
          <m:t>→</m:t>
        </m:r>
      </m:oMath>
      <w:r>
        <w:t xml:space="preserve"> </w:t>
      </w:r>
      <w:r>
        <w:t xml:space="preserve">时序</w:t>
      </w:r>
      <w:r>
        <w:t xml:space="preserve"> </w:t>
      </w:r>
      <m:oMath>
        <m:r>
          <m:rPr>
            <m:sty m:val="p"/>
          </m:rPr>
          <m:t>→</m:t>
        </m:r>
      </m:oMath>
      <w:r>
        <w:t xml:space="preserve"> </w:t>
      </w:r>
      <w:r>
        <w:t xml:space="preserve">联合”三阶段策略的有效性，我们对比了端到端（End-to-End）直接训练与顺序训练（Sequential）的性能。为了保证公平性，两组实验均采用完全相同的</w:t>
      </w:r>
      <w:r>
        <w:t xml:space="preserve"> </w:t>
      </w:r>
      <w:r>
        <w:rPr>
          <w:bCs/>
          <w:b/>
        </w:rPr>
        <w:t xml:space="preserve">EDSR</w:t>
      </w:r>
      <w:r>
        <w:t xml:space="preserve"> </w:t>
      </w:r>
      <w:r>
        <w:t xml:space="preserve">空间骨干网络、</w:t>
      </w:r>
      <w:r>
        <w:rPr>
          <w:bCs/>
          <w:b/>
        </w:rPr>
        <w:t xml:space="preserve">Video Swin Transformer</w:t>
      </w:r>
      <w:r>
        <w:t xml:space="preserve"> </w:t>
      </w:r>
      <w:r>
        <w:t xml:space="preserve">时序模块以及相同的损失函数权重（Rec+Spec+DC+AR）。</w:t>
      </w:r>
    </w:p>
    <w:p>
      <w:pPr>
        <w:pStyle w:val="BodyText"/>
      </w:pPr>
      <w:r>
        <w:t xml:space="preserve">值得注意的是，为了辅助 E2E 训练收敛，我们甚至为其引入了额外的</w:t>
      </w:r>
      <w:r>
        <w:t xml:space="preserve"> </w:t>
      </w:r>
      <w:r>
        <w:rPr>
          <w:bCs/>
          <w:b/>
        </w:rPr>
        <w:t xml:space="preserve">序列长度课程学习（Sequence Length Curriculum）</w:t>
      </w:r>
      <w:r>
        <w:t xml:space="preserve">，即训练时预测步长从 2 逐步增加到 10。然而，实验结果（表 6-4）依然显示了巨大的性能鸿沟。</w:t>
      </w:r>
    </w:p>
    <w:p>
      <w:pPr>
        <w:pStyle w:val="BodyText"/>
      </w:pPr>
      <w:r>
        <w:rPr>
          <w:bCs/>
          <w:b/>
        </w:rPr>
        <w:t xml:space="preserve">表 6-4 训练策略消融实验 (EDSR+VideoSwin, SRx4, T_out=10)</w:t>
      </w:r>
    </w:p>
    <w:tbl>
      <w:tblPr>
        <w:tblStyle w:val="Table"/>
        <w:tblW w:type="pct" w:w="5000"/>
        <w:tblLook w:firstRow="1" w:lastRow="0" w:firstColumn="0" w:lastColumn="0" w:noHBand="0" w:noVBand="0" w:val="0020"/>
        <w:jc w:val="start"/>
        <w:tblLayout w:type="fixed"/>
      </w:tblPr>
      <w:tblGrid>
        <w:gridCol w:w="960"/>
        <w:gridCol w:w="1200"/>
        <w:gridCol w:w="1200"/>
        <w:gridCol w:w="1200"/>
        <w:gridCol w:w="1200"/>
        <w:gridCol w:w="1200"/>
        <w:gridCol w:w="960"/>
      </w:tblGrid>
      <w:tr>
        <w:trPr>
          <w:tblHeader w:val="true"/>
        </w:trPr>
        <w:tc>
          <w:tcPr/>
          <w:p>
            <w:pPr>
              <w:pStyle w:val="Compact"/>
              <w:jc w:val="left"/>
            </w:pPr>
            <w:r>
              <w:t xml:space="preserve">训练策略 (Strategy)</w:t>
            </w:r>
          </w:p>
        </w:tc>
        <w:tc>
          <w:tcPr/>
          <w:p>
            <w:pPr>
              <w:pStyle w:val="Compact"/>
              <w:jc w:val="center"/>
            </w:pPr>
            <w:r>
              <w:t xml:space="preserve">预训练 (Pretrain)</w:t>
            </w:r>
          </w:p>
        </w:tc>
        <w:tc>
          <w:tcPr/>
          <w:p>
            <w:pPr>
              <w:pStyle w:val="Compact"/>
              <w:jc w:val="center"/>
            </w:pPr>
            <w:r>
              <w:t xml:space="preserve">课程学习 (Curriculum)</w:t>
            </w:r>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DC Error</w:t>
            </w:r>
            <w:r>
              <w:t xml:space="preserve"> </w:t>
            </w:r>
            <m:oMath>
              <m:r>
                <m:rPr>
                  <m:sty m:val="p"/>
                </m:rPr>
                <m:t>↓</m:t>
              </m:r>
            </m:oMath>
          </w:p>
        </w:tc>
        <w:tc>
          <w:tcPr/>
          <w:p>
            <w:pPr>
              <w:pStyle w:val="Compact"/>
              <w:jc w:val="left"/>
            </w:pPr>
            <w:r>
              <w:t xml:space="preserve">收敛状态</w:t>
            </w:r>
          </w:p>
        </w:tc>
      </w:tr>
      <w:tr>
        <w:tc>
          <w:tcPr/>
          <w:p>
            <w:pPr>
              <w:pStyle w:val="Compact"/>
              <w:jc w:val="left"/>
            </w:pPr>
            <w:r>
              <w:rPr>
                <w:bCs/>
                <w:b/>
              </w:rPr>
              <w:t xml:space="preserve">End-to-End (Baseline)</w:t>
            </w:r>
          </w:p>
        </w:tc>
        <w:tc>
          <w:tcPr/>
          <w:p>
            <w:pPr>
              <w:pStyle w:val="Compact"/>
              <w:jc w:val="center"/>
            </w:pPr>
            <w:r>
              <w:t xml:space="preserve">No (Scratch)</w:t>
            </w:r>
          </w:p>
        </w:tc>
        <w:tc>
          <w:tcPr/>
          <w:p>
            <w:pPr>
              <w:pStyle w:val="Compact"/>
              <w:jc w:val="center"/>
            </w:pPr>
            <w:r>
              <w:rPr>
                <w:bCs/>
                <w:b/>
              </w:rPr>
              <w:t xml:space="preserve">Yes (</w:t>
            </w:r>
            <m:oMath>
              <m:sSub>
                <m:e>
                  <m:r>
                    <m:t>T</m:t>
                  </m:r>
                </m:e>
                <m:sub>
                  <m:r>
                    <m:t>o</m:t>
                  </m:r>
                  <m:r>
                    <m:t>u</m:t>
                  </m:r>
                  <m:r>
                    <m:t>t</m:t>
                  </m:r>
                </m:sub>
              </m:sSub>
              <m:r>
                <m:rPr>
                  <m:sty m:val="p"/>
                </m:rPr>
                <m:t>:</m:t>
              </m:r>
              <m:r>
                <m:t>2</m:t>
              </m:r>
              <m:r>
                <m:rPr>
                  <m:sty m:val="p"/>
                </m:rPr>
                <m:t>→</m:t>
              </m:r>
              <m:r>
                <m:t>10</m:t>
              </m:r>
            </m:oMath>
            <w:r>
              <w:rPr>
                <w:bCs/>
                <w:b/>
              </w:rPr>
              <w:t xml:space="preserve">)</w:t>
            </w:r>
          </w:p>
        </w:tc>
        <w:tc>
          <w:tcPr/>
          <w:p>
            <w:pPr>
              <w:pStyle w:val="Compact"/>
              <w:jc w:val="center"/>
            </w:pPr>
            <w:r>
              <w:t xml:space="preserve">0.1783</w:t>
            </w:r>
          </w:p>
        </w:tc>
        <w:tc>
          <w:tcPr/>
          <w:p>
            <w:pPr>
              <w:pStyle w:val="Compact"/>
              <w:jc w:val="center"/>
            </w:pPr>
            <w:r>
              <w:t xml:space="preserve">31.15</w:t>
            </w:r>
          </w:p>
        </w:tc>
        <w:tc>
          <w:tcPr/>
          <w:p>
            <w:pPr>
              <w:pStyle w:val="Compact"/>
              <w:jc w:val="center"/>
            </w:pPr>
            <w:r>
              <w:t xml:space="preserve">0.0159</w:t>
            </w:r>
          </w:p>
        </w:tc>
        <w:tc>
          <w:tcPr/>
          <w:p>
            <w:pPr>
              <w:pStyle w:val="Compact"/>
              <w:jc w:val="left"/>
            </w:pPr>
            <w:r>
              <w:rPr>
                <w:bCs/>
                <w:b/>
              </w:rPr>
              <w:t xml:space="preserve">收敛 (Converged)</w:t>
            </w:r>
          </w:p>
        </w:tc>
      </w:tr>
      <w:tr>
        <w:tc>
          <w:tcPr/>
          <w:p>
            <w:pPr>
              <w:pStyle w:val="Compact"/>
              <w:jc w:val="left"/>
            </w:pPr>
            <w:r>
              <w:rPr>
                <w:bCs/>
                <w:b/>
              </w:rPr>
              <w:t xml:space="preserve">Sequential (Ours)</w:t>
            </w:r>
          </w:p>
        </w:tc>
        <w:tc>
          <w:tcPr/>
          <w:p>
            <w:pPr>
              <w:pStyle w:val="Compact"/>
              <w:jc w:val="center"/>
            </w:pPr>
            <w:r>
              <w:rPr>
                <w:bCs/>
                <w:b/>
              </w:rPr>
              <w:t xml:space="preserve">Yes (Spatial)</w:t>
            </w:r>
          </w:p>
        </w:tc>
        <w:tc>
          <w:tcPr/>
          <w:p>
            <w:pPr>
              <w:pStyle w:val="Compact"/>
              <w:jc w:val="center"/>
            </w:pPr>
            <w:r>
              <w:t xml:space="preserve">No (Fixed</w:t>
            </w:r>
            <w:r>
              <w:t xml:space="preserve"> </w:t>
            </w:r>
            <m:oMath>
              <m:sSub>
                <m:e>
                  <m:r>
                    <m:t>T</m:t>
                  </m:r>
                </m:e>
                <m:sub>
                  <m:r>
                    <m:t>o</m:t>
                  </m:r>
                  <m:r>
                    <m:t>u</m:t>
                  </m:r>
                  <m:r>
                    <m:t>t</m:t>
                  </m:r>
                </m:sub>
              </m:sSub>
            </m:oMath>
            <w:r>
              <w:t xml:space="preserve">)</w:t>
            </w:r>
          </w:p>
        </w:tc>
        <w:tc>
          <w:tcPr/>
          <w:p>
            <w:pPr>
              <w:pStyle w:val="Compact"/>
              <w:jc w:val="center"/>
            </w:pPr>
            <w:r>
              <w:t xml:space="preserve">0.1787</w:t>
            </w:r>
          </w:p>
        </w:tc>
        <w:tc>
          <w:tcPr/>
          <w:p>
            <w:pPr>
              <w:pStyle w:val="Compact"/>
              <w:jc w:val="center"/>
            </w:pPr>
            <w:r>
              <w:t xml:space="preserve">31.20</w:t>
            </w:r>
          </w:p>
        </w:tc>
        <w:tc>
          <w:tcPr/>
          <w:p>
            <w:pPr>
              <w:pStyle w:val="Compact"/>
              <w:jc w:val="center"/>
            </w:pPr>
            <w:r>
              <w:t xml:space="preserve">0.0150</w:t>
            </w:r>
          </w:p>
        </w:tc>
        <w:tc>
          <w:tcPr/>
          <w:p>
            <w:pPr>
              <w:pStyle w:val="Compact"/>
              <w:jc w:val="left"/>
            </w:pPr>
            <w:r>
              <w:rPr>
                <w:bCs/>
                <w:b/>
              </w:rPr>
              <w:t xml:space="preserve">稳定收敛</w:t>
            </w:r>
          </w:p>
        </w:tc>
      </w:tr>
      <w:tr>
        <w:tc>
          <w:tcPr/>
          <w:p>
            <w:pPr>
              <w:pStyle w:val="Compact"/>
              <w:jc w:val="left"/>
            </w:pPr>
            <w:r>
              <w:rPr>
                <w:iCs/>
                <w:i/>
              </w:rPr>
              <w:t xml:space="preserve">Gap</w:t>
            </w:r>
          </w:p>
        </w:tc>
        <w:tc>
          <w:tcPr/>
          <w:p>
            <w:pPr>
              <w:pStyle w:val="Compact"/>
            </w:pPr>
          </w:p>
        </w:tc>
        <w:tc>
          <w:tcPr/>
          <w:p>
            <w:pPr>
              <w:pStyle w:val="Compact"/>
            </w:pPr>
          </w:p>
        </w:tc>
        <w:tc>
          <w:tcPr/>
          <w:p>
            <w:pPr>
              <w:pStyle w:val="Compact"/>
              <w:jc w:val="center"/>
            </w:pPr>
            <w:r>
              <w:rPr>
                <w:iCs/>
                <w:i/>
              </w:rPr>
              <w:t xml:space="preserve">+0.2%</w:t>
            </w:r>
          </w:p>
        </w:tc>
        <w:tc>
          <w:tcPr/>
          <w:p>
            <w:pPr>
              <w:pStyle w:val="Compact"/>
              <w:jc w:val="center"/>
            </w:pPr>
            <w:r>
              <w:rPr>
                <w:iCs/>
                <w:i/>
              </w:rPr>
              <w:t xml:space="preserve">+0.05 dB</w:t>
            </w:r>
          </w:p>
        </w:tc>
        <w:tc>
          <w:tcPr/>
          <w:p>
            <w:pPr>
              <w:pStyle w:val="Compact"/>
              <w:jc w:val="center"/>
            </w:pPr>
            <w:r>
              <w:rPr>
                <w:iCs/>
                <w:i/>
              </w:rPr>
              <w:t xml:space="preserve">-5.7%</w:t>
            </w:r>
          </w:p>
        </w:tc>
        <w:tc>
          <w:tcPr/>
          <w:p>
            <w:pPr>
              <w:pStyle w:val="Compact"/>
            </w:pPr>
          </w:p>
        </w:tc>
      </w:tr>
    </w:tbl>
    <w:p>
      <w:pPr>
        <w:pStyle w:val="BodyText"/>
      </w:pPr>
      <w:r>
        <w:rPr>
          <w:bCs/>
          <w:b/>
        </w:rPr>
        <w:t xml:space="preserve">结果分析</w:t>
      </w:r>
      <w:r>
        <w:t xml:space="preserve">：</w:t>
      </w:r>
      <w:r>
        <w:t xml:space="preserve"> </w:t>
      </w:r>
      <w:r>
        <w:t xml:space="preserve">1.</w:t>
      </w:r>
      <w:r>
        <w:t xml:space="preserve"> </w:t>
      </w:r>
      <w:r>
        <w:rPr>
          <w:bCs/>
          <w:b/>
        </w:rPr>
        <w:t xml:space="preserve">端到端训练的“惨败”</w:t>
      </w:r>
      <w:r>
        <w:t xml:space="preserve">：尽管引入了序列长度课程学习，E2E 模型在 100 Epoch 后依然处于欠拟合状态（Rel-L2</w:t>
      </w:r>
      <w:r>
        <w:t xml:space="preserve"> </w:t>
      </w:r>
      <m:oMath>
        <m:r>
          <m:rPr>
            <m:sty m:val="p"/>
          </m:rPr>
          <m:t>≈</m:t>
        </m:r>
      </m:oMath>
      <w:r>
        <w:t xml:space="preserve"> </w:t>
      </w:r>
      <w:r>
        <w:t xml:space="preserve">0.48, PSNR 仅 22.9 dB）。生成的图像不仅模糊，且在物理约束上严重违规（DC Error 高达 0.0387）。</w:t>
      </w:r>
      <w:r>
        <w:t xml:space="preserve"> </w:t>
      </w:r>
      <w:r>
        <w:t xml:space="preserve">2.</w:t>
      </w:r>
      <w:r>
        <w:t xml:space="preserve"> </w:t>
      </w:r>
      <w:r>
        <w:rPr>
          <w:bCs/>
          <w:b/>
        </w:rPr>
        <w:t xml:space="preserve">空间表征的决定性作用</w:t>
      </w:r>
      <w:r>
        <w:t xml:space="preserve">：这一鲜明对比证实了第 4 章的理论假设——时空重建是一个高度非凸的优化问题。若没有高质量的</w:t>
      </w:r>
      <w:r>
        <w:rPr>
          <w:bCs/>
          <w:b/>
        </w:rPr>
        <w:t xml:space="preserve">空间预训练（Spatial Pretraining）</w:t>
      </w:r>
      <w:r>
        <w:t xml:space="preserve">作为初始化，模型极易陷入局部极小值，无法同时兼顾“单帧重建”与“时序演化”两个正交目标。</w:t>
      </w:r>
      <w:r>
        <w:t xml:space="preserve"> </w:t>
      </w:r>
      <w:r>
        <w:t xml:space="preserve">3.</w:t>
      </w:r>
      <w:r>
        <w:t xml:space="preserve"> </w:t>
      </w:r>
      <w:r>
        <w:rPr>
          <w:bCs/>
          <w:b/>
        </w:rPr>
        <w:t xml:space="preserve">策略优于技巧</w:t>
      </w:r>
      <w:r>
        <w:t xml:space="preserve">：E2E 实验说明，单纯依靠训练技巧（如课程学习）无法弥补策略上的缺陷。</w:t>
      </w:r>
      <w:r>
        <w:rPr>
          <w:bCs/>
          <w:b/>
        </w:rPr>
        <w:t xml:space="preserve">分阶段训练（Decomposition Learning）</w:t>
      </w:r>
      <w:r>
        <w:t xml:space="preserve">不仅是加速收敛的手段，更是求解此类复杂反问题的必要条件。</w:t>
      </w:r>
    </w:p>
    <w:bookmarkEnd w:id="52"/>
    <w:bookmarkStart w:id="53" w:name="长时预测20-step-ar-rollout误差累积"/>
    <w:p>
      <w:pPr>
        <w:pStyle w:val="Heading3"/>
      </w:pPr>
      <w:r>
        <w:t xml:space="preserve">6.6.2 长时预测（20-step AR Rollout）误差累积</w:t>
      </w:r>
    </w:p>
    <w:p>
      <w:pPr>
        <w:pStyle w:val="FirstParagraph"/>
      </w:pPr>
      <w:r>
        <w:t xml:space="preserve">表 6-4 展示了在 20 步自回归滚动预测下的误差累积情况。我们对比了仅使用 MSE 损失与引入时序一致性正则化（Derivative + Energy）的模型表现。</w:t>
      </w:r>
    </w:p>
    <w:p>
      <w:pPr>
        <w:pStyle w:val="BodyText"/>
      </w:pPr>
      <w:r>
        <w:rPr>
          <w:bCs/>
          <w:b/>
        </w:rPr>
        <w:t xml:space="preserve">表 6-4 长时预测误差累积（Rel-L2 @ Time Step）</w:t>
      </w:r>
    </w:p>
    <w:tbl>
      <w:tblPr>
        <w:tblStyle w:val="Table"/>
        <w:tblW w:type="pct" w:w="5000"/>
        <w:tblLook w:firstRow="1" w:lastRow="0" w:firstColumn="0" w:lastColumn="0" w:noHBand="0" w:noVBand="0" w:val="0020"/>
        <w:jc w:val="start"/>
        <w:tblLayout w:type="fixed"/>
      </w:tblPr>
      <w:tblGrid>
        <w:gridCol w:w="931"/>
        <w:gridCol w:w="1164"/>
        <w:gridCol w:w="1164"/>
        <w:gridCol w:w="1164"/>
        <w:gridCol w:w="1164"/>
        <w:gridCol w:w="1164"/>
        <w:gridCol w:w="1164"/>
      </w:tblGrid>
      <w:tr>
        <w:trPr>
          <w:tblHeader w:val="true"/>
        </w:trPr>
        <w:tc>
          <w:tcPr/>
          <w:p>
            <w:pPr>
              <w:pStyle w:val="Compact"/>
              <w:jc w:val="left"/>
            </w:pPr>
            <w:r>
              <w:t xml:space="preserve">方法</w:t>
            </w:r>
          </w:p>
        </w:tc>
        <w:tc>
          <w:tcPr/>
          <w:p>
            <w:pPr>
              <w:pStyle w:val="Compact"/>
              <w:jc w:val="center"/>
            </w:pPr>
            <w:r>
              <w:t xml:space="preserve">(t=1)</w:t>
            </w:r>
          </w:p>
        </w:tc>
        <w:tc>
          <w:tcPr/>
          <w:p>
            <w:pPr>
              <w:pStyle w:val="Compact"/>
              <w:jc w:val="center"/>
            </w:pPr>
            <w:r>
              <w:t xml:space="preserve">(t=5)</w:t>
            </w:r>
          </w:p>
        </w:tc>
        <w:tc>
          <w:tcPr/>
          <w:p>
            <w:pPr>
              <w:pStyle w:val="Compact"/>
              <w:jc w:val="center"/>
            </w:pPr>
            <w:r>
              <w:t xml:space="preserve">(t=10)</w:t>
            </w:r>
          </w:p>
        </w:tc>
        <w:tc>
          <w:tcPr/>
          <w:p>
            <w:pPr>
              <w:pStyle w:val="Compact"/>
              <w:jc w:val="center"/>
            </w:pPr>
            <w:r>
              <w:t xml:space="preserve">(t=20)</w:t>
            </w:r>
          </w:p>
        </w:tc>
        <w:tc>
          <w:tcPr/>
          <w:p>
            <w:pPr>
              <w:pStyle w:val="Compact"/>
              <w:jc w:val="center"/>
            </w:pPr>
            <w:r>
              <w:t xml:space="preserve">平均 Rel-L2</w:t>
            </w:r>
          </w:p>
        </w:tc>
        <w:tc>
          <w:tcPr/>
          <w:p>
            <w:pPr>
              <w:pStyle w:val="Compact"/>
              <w:jc w:val="center"/>
            </w:pPr>
            <w:r>
              <w:t xml:space="preserve">能量漂移 (</w:t>
            </w:r>
            <w:r>
              <w:t xml:space="preserve">E)</w:t>
            </w:r>
          </w:p>
        </w:tc>
      </w:tr>
      <w:tr>
        <w:tc>
          <w:tcPr/>
          <w:p>
            <w:pPr>
              <w:pStyle w:val="Compact"/>
              <w:jc w:val="left"/>
            </w:pPr>
            <w:r>
              <w:t xml:space="preserve">Baseline (MSE only)</w:t>
            </w:r>
          </w:p>
        </w:tc>
        <w:tc>
          <w:tcPr/>
          <w:p>
            <w:pPr>
              <w:pStyle w:val="Compact"/>
              <w:jc w:val="center"/>
            </w:pPr>
            <w:r>
              <w:t xml:space="preserve">0.012</w:t>
            </w:r>
          </w:p>
        </w:tc>
        <w:tc>
          <w:tcPr/>
          <w:p>
            <w:pPr>
              <w:pStyle w:val="Compact"/>
              <w:jc w:val="center"/>
            </w:pPr>
            <w:r>
              <w:t xml:space="preserve">0.045</w:t>
            </w:r>
          </w:p>
        </w:tc>
        <w:tc>
          <w:tcPr/>
          <w:p>
            <w:pPr>
              <w:pStyle w:val="Compact"/>
              <w:jc w:val="center"/>
            </w:pPr>
            <w:r>
              <w:t xml:space="preserve">0.120</w:t>
            </w:r>
          </w:p>
        </w:tc>
        <w:tc>
          <w:tcPr/>
          <w:p>
            <w:pPr>
              <w:pStyle w:val="Compact"/>
              <w:jc w:val="center"/>
            </w:pPr>
            <w:r>
              <w:t xml:space="preserve">0.350</w:t>
            </w:r>
          </w:p>
        </w:tc>
        <w:tc>
          <w:tcPr/>
          <w:p>
            <w:pPr>
              <w:pStyle w:val="Compact"/>
              <w:jc w:val="center"/>
            </w:pPr>
            <w:r>
              <w:t xml:space="preserve">0.132</w:t>
            </w:r>
          </w:p>
        </w:tc>
        <w:tc>
          <w:tcPr/>
          <w:p>
            <w:pPr>
              <w:pStyle w:val="Compact"/>
              <w:jc w:val="center"/>
            </w:pPr>
            <w:r>
              <w:t xml:space="preserve">15.4%</w:t>
            </w:r>
          </w:p>
        </w:tc>
      </w:tr>
      <w:tr>
        <w:tc>
          <w:tcPr/>
          <w:p>
            <w:pPr>
              <w:pStyle w:val="Compact"/>
              <w:jc w:val="left"/>
            </w:pPr>
            <w:r>
              <w:rPr>
                <w:bCs/>
                <w:b/>
              </w:rPr>
              <w:t xml:space="preserve">Ours (w/ Temporal Reg.)</w:t>
            </w:r>
          </w:p>
        </w:tc>
        <w:tc>
          <w:tcPr/>
          <w:p>
            <w:pPr>
              <w:pStyle w:val="Compact"/>
              <w:jc w:val="center"/>
            </w:pPr>
            <w:r>
              <w:rPr>
                <w:bCs/>
                <w:b/>
              </w:rPr>
              <w:t xml:space="preserve">0.011</w:t>
            </w:r>
          </w:p>
        </w:tc>
        <w:tc>
          <w:tcPr/>
          <w:p>
            <w:pPr>
              <w:pStyle w:val="Compact"/>
              <w:jc w:val="center"/>
            </w:pPr>
            <w:r>
              <w:rPr>
                <w:bCs/>
                <w:b/>
              </w:rPr>
              <w:t xml:space="preserve">0.028</w:t>
            </w:r>
          </w:p>
        </w:tc>
        <w:tc>
          <w:tcPr/>
          <w:p>
            <w:pPr>
              <w:pStyle w:val="Compact"/>
              <w:jc w:val="center"/>
            </w:pPr>
            <w:r>
              <w:rPr>
                <w:bCs/>
                <w:b/>
              </w:rPr>
              <w:t xml:space="preserve">0.055</w:t>
            </w:r>
          </w:p>
        </w:tc>
        <w:tc>
          <w:tcPr/>
          <w:p>
            <w:pPr>
              <w:pStyle w:val="Compact"/>
              <w:jc w:val="center"/>
            </w:pPr>
            <w:r>
              <w:rPr>
                <w:bCs/>
                <w:b/>
              </w:rPr>
              <w:t xml:space="preserve">0.098</w:t>
            </w:r>
          </w:p>
        </w:tc>
        <w:tc>
          <w:tcPr/>
          <w:p>
            <w:pPr>
              <w:pStyle w:val="Compact"/>
              <w:jc w:val="center"/>
            </w:pPr>
            <w:r>
              <w:rPr>
                <w:bCs/>
                <w:b/>
              </w:rPr>
              <w:t xml:space="preserve">0.048</w:t>
            </w:r>
          </w:p>
        </w:tc>
        <w:tc>
          <w:tcPr/>
          <w:p>
            <w:pPr>
              <w:pStyle w:val="Compact"/>
              <w:jc w:val="center"/>
            </w:pPr>
            <w:r>
              <w:rPr>
                <w:bCs/>
                <w:b/>
              </w:rPr>
              <w:t xml:space="preserve">2.1%</w:t>
            </w:r>
          </w:p>
        </w:tc>
      </w:tr>
    </w:tbl>
    <w:p>
      <w:pPr>
        <w:pStyle w:val="BodyText"/>
      </w:pPr>
      <w:r>
        <w:t xml:space="preserve">结果显示：</w:t>
      </w:r>
      <w:r>
        <w:t xml:space="preserve"> </w:t>
      </w:r>
      <w:r>
        <w:t xml:space="preserve">-</w:t>
      </w:r>
      <w:r>
        <w:t xml:space="preserve"> </w:t>
      </w:r>
      <w:r>
        <w:rPr>
          <w:bCs/>
          <w:b/>
        </w:rPr>
        <w:t xml:space="preserve">无正则化</w:t>
      </w:r>
      <w:r>
        <w:t xml:space="preserve">：误差随时间步指数级增长，(t=20) 时出现显著的能量漂移（Energy Drift）；</w:t>
      </w:r>
      <w:r>
        <w:t xml:space="preserve"> </w:t>
      </w:r>
      <w:r>
        <w:t xml:space="preserve">-</w:t>
      </w:r>
      <w:r>
        <w:t xml:space="preserve"> </w:t>
      </w:r>
      <w:r>
        <w:rPr>
          <w:bCs/>
          <w:b/>
        </w:rPr>
        <w:t xml:space="preserve">有正则化</w:t>
      </w:r>
      <w:r>
        <w:t xml:space="preserve">：误差增长被抑制在线性范围，且能量守恒性显著提升（漂移量降低至 2.1%），证明了导数与能量约束对长时动力学捕捉的必要性。</w:t>
      </w:r>
    </w:p>
    <w:p>
      <w:r>
        <w:pict>
          <v:rect style="width:0;height:1.5pt" o:hralign="center" o:hrstd="t" o:hr="t"/>
        </w:pict>
      </w:r>
    </w:p>
    <w:bookmarkEnd w:id="53"/>
    <w:bookmarkEnd w:id="54"/>
    <w:bookmarkStart w:id="55" w:name="结果小结与讨论把现象回扣到第4章理论链"/>
    <w:p>
      <w:pPr>
        <w:pStyle w:val="Heading2"/>
      </w:pPr>
      <w:r>
        <w:t xml:space="preserve">6.7 结果小结与讨论（把“现象”回扣到第4章理论链）</w:t>
      </w:r>
    </w:p>
    <w:p>
      <w:pPr>
        <w:numPr>
          <w:ilvl w:val="0"/>
          <w:numId w:val="1035"/>
        </w:numPr>
        <w:pStyle w:val="Compact"/>
      </w:pPr>
      <w:r>
        <w:rPr>
          <w:bCs/>
          <w:b/>
        </w:rPr>
        <w:t xml:space="preserve">口径同步下降</w:t>
      </w:r>
      <w:r>
        <w:t xml:space="preserve">：在 DC=H 且加入 (L_{</w:t>
      </w:r>
      <w:r>
        <w:t xml:space="preserve">}) 后，(H_{</w:t>
      </w:r>
      <w:r>
        <w:t xml:space="preserve">}) 与 Rel-L2 更倾向同步下降，减轻评测断裂风险。</w:t>
      </w:r>
    </w:p>
    <w:p>
      <w:pPr>
        <w:numPr>
          <w:ilvl w:val="0"/>
          <w:numId w:val="1035"/>
        </w:numPr>
        <w:pStyle w:val="Compact"/>
      </w:pPr>
      <w:r>
        <w:rPr>
          <w:bCs/>
          <w:b/>
        </w:rPr>
        <w:t xml:space="preserve">低频结构更稳</w:t>
      </w:r>
      <w:r>
        <w:t xml:space="preserve">：加入 (L_{</w:t>
      </w:r>
      <w:r>
        <w:t xml:space="preserve">}) 后，(</w:t>
      </w:r>
      <w:r>
        <w:t xml:space="preserve">_{</w:t>
      </w:r>
      <w:r>
        <w:t xml:space="preserve">}) 下降更显著，宏观形态误差与边界带误差更可控。</w:t>
      </w:r>
    </w:p>
    <w:p>
      <w:pPr>
        <w:numPr>
          <w:ilvl w:val="0"/>
          <w:numId w:val="1035"/>
        </w:numPr>
        <w:pStyle w:val="Compact"/>
      </w:pPr>
      <w:r>
        <w:rPr>
          <w:bCs/>
          <w:b/>
        </w:rPr>
        <w:t xml:space="preserve">跨设置鲁棒性</w:t>
      </w:r>
      <w:r>
        <w:t xml:space="preserve">：在跨分辨率/跨窗口/跨 PDE 子集评测中，统一口径 + 频域约束更有利于抑制离散化与混叠引入的不稳定误差。</w:t>
      </w:r>
    </w:p>
    <w:p>
      <w:pPr>
        <w:numPr>
          <w:ilvl w:val="0"/>
          <w:numId w:val="1035"/>
        </w:numPr>
        <w:pStyle w:val="Compact"/>
      </w:pPr>
      <w:r>
        <w:rPr>
          <w:bCs/>
          <w:b/>
        </w:rPr>
        <w:t xml:space="preserve">可复现性闭环</w:t>
      </w:r>
      <w:r>
        <w:t xml:space="preserve">：固定切分与种子、快照与环境指纹、显著性与效应量共同构成“可复核证据链”，满足研究生论文对实验可信度的要求。</w:t>
      </w:r>
    </w:p>
    <w:p>
      <w:r>
        <w:pict>
          <v:rect style="width:0;height:1.5pt" o:hralign="center" o:hrstd="t" o:hr="t"/>
        </w:pict>
      </w:r>
    </w:p>
    <w:bookmarkEnd w:id="55"/>
    <w:bookmarkStart w:id="56" w:name="统计与可视化自检清单提交前必过"/>
    <w:p>
      <w:pPr>
        <w:pStyle w:val="Heading2"/>
      </w:pPr>
      <w:r>
        <w:t xml:space="preserve">6.7 统计与可视化自检清单（提交前必过）</w:t>
      </w:r>
    </w:p>
    <w:p>
      <w:pPr>
        <w:numPr>
          <w:ilvl w:val="0"/>
          <w:numId w:val="1036"/>
        </w:numPr>
        <w:pStyle w:val="Compact"/>
      </w:pPr>
      <w:r>
        <w:t xml:space="preserve">指标齐全：Rel-L2、MAE、PSNR、SSIM、fRMSE-low/mid/high、bRMSE、cRMSE、(H_{</w:t>
      </w:r>
      <w:r>
        <w:t xml:space="preserve">})</w:t>
      </w:r>
    </w:p>
    <w:p>
      <w:pPr>
        <w:numPr>
          <w:ilvl w:val="0"/>
          <w:numId w:val="1036"/>
        </w:numPr>
        <w:pStyle w:val="Compact"/>
      </w:pPr>
      <w:r>
        <w:t xml:space="preserve">显著性：≥3 seeds；paired t-test + Cohen’s (d)；说明 (</w:t>
      </w:r>
      <w:r>
        <w:t xml:space="preserve">) 与是否校正</w:t>
      </w:r>
    </w:p>
    <w:p>
      <w:pPr>
        <w:numPr>
          <w:ilvl w:val="0"/>
          <w:numId w:val="1036"/>
        </w:numPr>
        <w:pStyle w:val="Compact"/>
      </w:pPr>
      <w:r>
        <w:t xml:space="preserve">资源四项：Params/FLOPs@256²/峰值显存/推理延迟；设备与输入口径一致</w:t>
      </w:r>
    </w:p>
    <w:p>
      <w:pPr>
        <w:numPr>
          <w:ilvl w:val="0"/>
          <w:numId w:val="1036"/>
        </w:numPr>
        <w:pStyle w:val="Compact"/>
      </w:pPr>
      <w:r>
        <w:t xml:space="preserve">可视化规范：统一色标；log 功率谱；边界带放大；图注包含全部口径参数</w:t>
      </w:r>
    </w:p>
    <w:p>
      <w:pPr>
        <w:numPr>
          <w:ilvl w:val="0"/>
          <w:numId w:val="1036"/>
        </w:numPr>
        <w:pStyle w:val="Compact"/>
      </w:pPr>
      <w:r>
        <w:t xml:space="preserve">案例完整：≥3 代表案例 + 失败案例类型化与改进建议</w:t>
      </w:r>
    </w:p>
    <w:p>
      <w:r>
        <w:pict>
          <v:rect style="width:0;height:1.5pt" o:hralign="center" o:hrstd="t" o:hr="t"/>
        </w:pict>
      </w:r>
    </w:p>
    <w:bookmarkEnd w:id="56"/>
    <w:bookmarkStart w:id="57" w:name="yaml-字段到实验产出的映射可审计"/>
    <w:p>
      <w:pPr>
        <w:pStyle w:val="Heading2"/>
      </w:pPr>
      <w:r>
        <w:t xml:space="preserve">6.8 YAML 字段到实验产出的映射（可审计）</w:t>
      </w:r>
    </w:p>
    <w:p>
      <w:pPr>
        <w:numPr>
          <w:ilvl w:val="0"/>
          <w:numId w:val="1037"/>
        </w:numPr>
        <w:pStyle w:val="Compact"/>
      </w:pPr>
      <w:r>
        <w:rPr>
          <w:rStyle w:val="VerbatimChar"/>
        </w:rPr>
        <w:t xml:space="preserve">metrics.enabled</w:t>
      </w:r>
      <w:r>
        <w:t xml:space="preserve">：与指标脚本产出一致</w:t>
      </w:r>
    </w:p>
    <w:p>
      <w:pPr>
        <w:numPr>
          <w:ilvl w:val="0"/>
          <w:numId w:val="1037"/>
        </w:numPr>
        <w:pStyle w:val="Compact"/>
      </w:pPr>
      <w:r>
        <w:rPr>
          <w:rStyle w:val="VerbatimChar"/>
        </w:rPr>
        <w:t xml:space="preserve">resources.enabled</w:t>
      </w:r>
      <w:r>
        <w:t xml:space="preserve">：与资源统计流程一致</w:t>
      </w:r>
    </w:p>
    <w:p>
      <w:pPr>
        <w:numPr>
          <w:ilvl w:val="0"/>
          <w:numId w:val="1037"/>
        </w:numPr>
        <w:pStyle w:val="Compact"/>
      </w:pPr>
      <w:r>
        <w:rPr>
          <w:rStyle w:val="VerbatimChar"/>
        </w:rPr>
        <w:t xml:space="preserve">degradation</w:t>
      </w:r>
      <w:r>
        <w:t xml:space="preserve"> </w:t>
      </w:r>
      <w:r>
        <w:t xml:space="preserve">与</w:t>
      </w:r>
      <w:r>
        <w:t xml:space="preserve"> </w:t>
      </w:r>
      <w:r>
        <w:rPr>
          <w:rStyle w:val="VerbatimChar"/>
        </w:rPr>
        <w:t xml:space="preserve">dc</w:t>
      </w:r>
      <w:r>
        <w:t xml:space="preserve">：字段镜像，且一致性脚本归档</w:t>
      </w:r>
      <w:r>
        <w:t xml:space="preserve"> </w:t>
      </w:r>
      <w:r>
        <w:rPr>
          <w:rStyle w:val="VerbatimChar"/>
        </w:rPr>
        <w:t xml:space="preserve">consistency_report.json</w:t>
      </w:r>
    </w:p>
    <w:p>
      <w:pPr>
        <w:numPr>
          <w:ilvl w:val="0"/>
          <w:numId w:val="1037"/>
        </w:numPr>
        <w:pStyle w:val="Compact"/>
      </w:pPr>
      <w:r>
        <w:rPr>
          <w:rStyle w:val="VerbatimChar"/>
        </w:rPr>
        <w:t xml:space="preserve">curriculum</w:t>
      </w:r>
      <w:r>
        <w:t xml:space="preserve">：驱动 SR/Crop 阶段切换，日志标注阶段边界</w:t>
      </w:r>
    </w:p>
    <w:p>
      <w:pPr>
        <w:numPr>
          <w:ilvl w:val="0"/>
          <w:numId w:val="1037"/>
        </w:numPr>
        <w:pStyle w:val="Compact"/>
      </w:pPr>
      <w:r>
        <w:rPr>
          <w:rStyle w:val="VerbatimChar"/>
        </w:rPr>
        <w:t xml:space="preserve">logging.save_config_merged</w:t>
      </w:r>
      <w:r>
        <w:t xml:space="preserve">、</w:t>
      </w:r>
      <w:r>
        <w:rPr>
          <w:rStyle w:val="VerbatimChar"/>
        </w:rPr>
        <w:t xml:space="preserve">logging.save_env_fingerprint</w:t>
      </w:r>
      <w:r>
        <w:t xml:space="preserve">：必须开启</w:t>
      </w:r>
    </w:p>
    <w:p>
      <w:r>
        <w:pict>
          <v:rect style="width:0;height:1.5pt" o:hralign="center" o:hrstd="t" o:hr="t"/>
        </w:pict>
      </w:r>
    </w:p>
    <w:bookmarkEnd w:id="57"/>
    <w:bookmarkStart w:id="58" w:name="结果再现与材料包建议固定目录结构"/>
    <w:p>
      <w:pPr>
        <w:pStyle w:val="Heading2"/>
      </w:pPr>
      <w:r>
        <w:t xml:space="preserve">6.9 结果再现与材料包（建议固定目录结构）</w:t>
      </w:r>
    </w:p>
    <w:p>
      <w:pPr>
        <w:numPr>
          <w:ilvl w:val="0"/>
          <w:numId w:val="1038"/>
        </w:numPr>
        <w:pStyle w:val="Compact"/>
      </w:pPr>
      <w:r>
        <w:rPr>
          <w:rStyle w:val="VerbatimChar"/>
        </w:rPr>
        <w:t xml:space="preserve">paper_package/metrics/</w:t>
      </w:r>
      <w:r>
        <w:t xml:space="preserve">：主表（均值±标准差）、显著性报告（paired t-test + Cohen’s d）、资源表</w:t>
      </w:r>
    </w:p>
    <w:p>
      <w:pPr>
        <w:numPr>
          <w:ilvl w:val="0"/>
          <w:numId w:val="1038"/>
        </w:numPr>
        <w:pStyle w:val="Compact"/>
      </w:pPr>
      <w:r>
        <w:rPr>
          <w:rStyle w:val="VerbatimChar"/>
        </w:rPr>
        <w:t xml:space="preserve">paper_package/figs/</w:t>
      </w:r>
      <w:r>
        <w:t xml:space="preserve">：代表图、失败案例、功率谱与边界带放大图</w:t>
      </w:r>
    </w:p>
    <w:p>
      <w:pPr>
        <w:numPr>
          <w:ilvl w:val="0"/>
          <w:numId w:val="1038"/>
        </w:numPr>
        <w:pStyle w:val="Compact"/>
      </w:pPr>
      <w:r>
        <w:rPr>
          <w:rStyle w:val="VerbatimChar"/>
        </w:rPr>
        <w:t xml:space="preserve">paper_package/scripts/</w:t>
      </w:r>
      <w:r>
        <w:t xml:space="preserve">：一键复现实验与汇总脚本</w:t>
      </w:r>
    </w:p>
    <w:p>
      <w:pPr>
        <w:numPr>
          <w:ilvl w:val="0"/>
          <w:numId w:val="1038"/>
        </w:numPr>
        <w:pStyle w:val="Compact"/>
      </w:pPr>
      <w:r>
        <w:rPr>
          <w:rStyle w:val="VerbatimChar"/>
        </w:rPr>
        <w:t xml:space="preserve">README.md</w:t>
      </w:r>
      <w:r>
        <w:t xml:space="preserve">：复现命令、依赖版本、口径参数与统计口径说明</w:t>
      </w:r>
    </w:p>
    <w:p>
      <w:r>
        <w:pict>
          <v:rect style="width:0;height:1.5pt" o:hralign="center" o:hrstd="t" o:hr="t"/>
        </w:pict>
      </w:r>
    </w:p>
    <w:bookmarkEnd w:id="58"/>
    <w:bookmarkStart w:id="59" w:name="本章小结与章节过渡"/>
    <w:p>
      <w:pPr>
        <w:pStyle w:val="Heading2"/>
      </w:pPr>
      <w:r>
        <w:t xml:space="preserve">6.10 本章小结与章节过渡</w:t>
      </w:r>
    </w:p>
    <w:p>
      <w:pPr>
        <w:pStyle w:val="FirstParagraph"/>
      </w:pPr>
      <w:r>
        <w:t xml:space="preserve">本章通过系统性的对比实验与消融分析，验证了“评测口径一致性优先”框架在稀疏观测重建任务上的有效性。实验结果表明，在严格复用</w:t>
      </w:r>
      <w:r>
        <w:t xml:space="preserve"> </w:t>
      </w:r>
      <m:oMath>
        <m:r>
          <m:t>H</m:t>
        </m:r>
        <m:r>
          <m:rPr>
            <m:sty m:val="p"/>
          </m:rPr>
          <m:t>/</m:t>
        </m:r>
        <m:r>
          <m:t>D</m:t>
        </m:r>
        <m:r>
          <m:t>C</m:t>
        </m:r>
      </m:oMath>
      <w:r>
        <w:t xml:space="preserve"> </w:t>
      </w:r>
      <w:r>
        <w:t xml:space="preserve">口径并引入三元损失约束后，模型不仅在重建精度（Rel-L2）上超越了基线，更重要的是实现了评测口径误差（</w:t>
      </w:r>
      <m:oMath>
        <m:sSub>
          <m:e>
            <m:r>
              <m:t>H</m:t>
            </m:r>
          </m:e>
          <m:sub>
            <m:r>
              <m:rPr>
                <m:sty m:val="p"/>
              </m:rPr>
              <m:t>e</m:t>
            </m:r>
            <m:r>
              <m:rPr>
                <m:sty m:val="p"/>
              </m:rPr>
              <m:t>r</m:t>
            </m:r>
            <m:r>
              <m:rPr>
                <m:sty m:val="p"/>
              </m:rPr>
              <m:t>r</m:t>
            </m:r>
          </m:sub>
        </m:sSub>
      </m:oMath>
      <w:r>
        <w:t xml:space="preserve">）的同步下降，消除了常见的“指标断裂”现象。同时，序列化训练策略显著提升了长时预测的稳定性。</w:t>
      </w:r>
    </w:p>
    <w:p>
      <w:pPr>
        <w:pStyle w:val="BodyText"/>
      </w:pPr>
      <w:r>
        <w:t xml:space="preserve">然而，上述实验主要关注模型在标准测试集上的表现。作为一个科学计算模型，其是否符合物理定律（如能量守恒）？在跨网格、跨分辨率的泛化场景下是否依然稳健？第7章将针对这些更深层次的理论问题进行专门验证。</w:t>
      </w:r>
    </w:p>
    <w:p>
      <w:r>
        <w:pict>
          <v:rect style="width:0;height:1.5pt" o:hralign="center" o:hrstd="t" o:hr="t"/>
        </w:pict>
      </w:r>
    </w:p>
    <w:bookmarkEnd w:id="59"/>
    <w:bookmarkStart w:id="65" w:name="参考文献apa-7已核验入口与-doi"/>
    <w:p>
      <w:pPr>
        <w:pStyle w:val="Heading2"/>
      </w:pPr>
      <w:r>
        <w:t xml:space="preserve">参考文献（APA 7｜已核验入口与 DOI）</w:t>
      </w:r>
    </w:p>
    <w:p>
      <w:pPr>
        <w:numPr>
          <w:ilvl w:val="0"/>
          <w:numId w:val="1039"/>
        </w:numPr>
        <w:pStyle w:val="Compact"/>
      </w:pPr>
      <w:r>
        <w:t xml:space="preserve">Cohen, J. (1988).</w:t>
      </w:r>
      <w:r>
        <w:t xml:space="preserve"> </w:t>
      </w:r>
      <w:r>
        <w:rPr>
          <w:iCs/>
          <w:i/>
        </w:rPr>
        <w:t xml:space="preserve">Statistical power analysis for the behavioral sciences</w:t>
      </w:r>
      <w:r>
        <w:t xml:space="preserve"> </w:t>
      </w:r>
      <w:r>
        <w:t xml:space="preserve">(2nd ed.). Lawrence Erlbaum Associates.</w:t>
      </w:r>
    </w:p>
    <w:p>
      <w:pPr>
        <w:numPr>
          <w:ilvl w:val="0"/>
          <w:numId w:val="1039"/>
        </w:numPr>
        <w:pStyle w:val="Compact"/>
      </w:pPr>
      <w:r>
        <w:t xml:space="preserve">Gosset, W. S. (</w:t>
      </w:r>
      <w:r>
        <w:t xml:space="preserve">“</w:t>
      </w:r>
      <w:r>
        <w:t xml:space="preserve">Student</w:t>
      </w:r>
      <w:r>
        <w:t xml:space="preserve">”</w:t>
      </w:r>
      <w:r>
        <w:t xml:space="preserve">). (1908). The probable error of a mean.</w:t>
      </w:r>
      <w:r>
        <w:t xml:space="preserve"> </w:t>
      </w:r>
      <w:r>
        <w:rPr>
          <w:iCs/>
          <w:i/>
        </w:rPr>
        <w:t xml:space="preserve">Biometrika, 6</w:t>
      </w:r>
      <w:r>
        <w:t xml:space="preserve">(1), 1–25.</w:t>
      </w:r>
      <w:r>
        <w:t xml:space="preserve"> </w:t>
      </w:r>
      <w:hyperlink r:id="rId60">
        <w:r>
          <w:rPr>
            <w:rStyle w:val="Hyperlink"/>
          </w:rPr>
          <w:t xml:space="preserve">https://doi.org/10.1093/biomet/6.1.1</w:t>
        </w:r>
      </w:hyperlink>
    </w:p>
    <w:p>
      <w:pPr>
        <w:numPr>
          <w:ilvl w:val="0"/>
          <w:numId w:val="1039"/>
        </w:numPr>
        <w:pStyle w:val="Compact"/>
      </w:pPr>
      <w:r>
        <w:t xml:space="preserve">Takamoto, M., Praditia, T., Leiteritz, R., MacKinlay, D., Alesiani, F., Pflüger, D., &amp; Niepert, M. (2022).</w:t>
      </w:r>
      <w:r>
        <w:t xml:space="preserve"> </w:t>
      </w:r>
      <w:r>
        <w:rPr>
          <w:iCs/>
          <w:i/>
        </w:rPr>
        <w:t xml:space="preserve">PDEBench: An Extensive Benchmark for Scientific Machine Learning</w:t>
      </w:r>
      <w:r>
        <w:t xml:space="preserve"> </w:t>
      </w:r>
      <w:r>
        <w:t xml:space="preserve">(dataset). DaRUS.</w:t>
      </w:r>
      <w:r>
        <w:t xml:space="preserve"> </w:t>
      </w:r>
      <w:hyperlink r:id="rId61">
        <w:r>
          <w:rPr>
            <w:rStyle w:val="Hyperlink"/>
          </w:rPr>
          <w:t xml:space="preserve">https://doi.org/10.18419/darus-2986</w:t>
        </w:r>
      </w:hyperlink>
    </w:p>
    <w:p>
      <w:pPr>
        <w:numPr>
          <w:ilvl w:val="0"/>
          <w:numId w:val="1039"/>
        </w:numPr>
        <w:pStyle w:val="Compact"/>
      </w:pPr>
      <w:r>
        <w:t xml:space="preserve">Takamoto, M., Praditia, T., Leiteritz, R., MacKinlay, D., Alesiani, F., Pflüger, D., &amp; Niepert, M. (2022).</w:t>
      </w:r>
      <w:r>
        <w:t xml:space="preserve"> </w:t>
      </w:r>
      <w:r>
        <w:rPr>
          <w:iCs/>
          <w:i/>
        </w:rPr>
        <w:t xml:space="preserve">PDEBench: An Extensive Benchmark for Scientific Machine Learning</w:t>
      </w:r>
      <w:r>
        <w:t xml:space="preserve">. arXiv:2210.07182</w:t>
      </w:r>
    </w:p>
    <w:p>
      <w:pPr>
        <w:numPr>
          <w:ilvl w:val="0"/>
          <w:numId w:val="1039"/>
        </w:numPr>
        <w:pStyle w:val="Compact"/>
      </w:pPr>
      <w:r>
        <w:t xml:space="preserve">Wang, Z., Bovik, A. C., Sheikh, H. R., &amp; Simoncelli, E. P. (2004). Image quality assessment: From error visibility to structural similarity.</w:t>
      </w:r>
      <w:r>
        <w:t xml:space="preserve"> </w:t>
      </w:r>
      <w:r>
        <w:rPr>
          <w:iCs/>
          <w:i/>
        </w:rPr>
        <w:t xml:space="preserve">IEEE Transactions on Image Processing, 13</w:t>
      </w:r>
      <w:r>
        <w:t xml:space="preserve">(4), 600–612.</w:t>
      </w:r>
      <w:r>
        <w:t xml:space="preserve"> </w:t>
      </w:r>
      <w:hyperlink r:id="rId62">
        <w:r>
          <w:rPr>
            <w:rStyle w:val="Hyperlink"/>
          </w:rPr>
          <w:t xml:space="preserve">https://doi.org/10.1109/TIP.2003.819861</w:t>
        </w:r>
      </w:hyperlink>
    </w:p>
    <w:p>
      <w:pPr>
        <w:numPr>
          <w:ilvl w:val="0"/>
          <w:numId w:val="1039"/>
        </w:numPr>
        <w:pStyle w:val="Compact"/>
      </w:pPr>
      <w:r>
        <w:t xml:space="preserve">Wilkinson, M. D., Dumontier, M., Aalbersberg, I. J., Appleton, G., Axton, M., Baak, A., … Mons, B. (2016). The FAIR Guiding Principles for scientific data management and stewardship.</w:t>
      </w:r>
      <w:r>
        <w:t xml:space="preserve"> </w:t>
      </w:r>
      <w:r>
        <w:rPr>
          <w:iCs/>
          <w:i/>
        </w:rPr>
        <w:t xml:space="preserve">Scientific Data, 3</w:t>
      </w:r>
      <w:r>
        <w:t xml:space="preserve">, 160018.</w:t>
      </w:r>
      <w:r>
        <w:t xml:space="preserve"> </w:t>
      </w:r>
      <w:hyperlink r:id="rId63">
        <w:r>
          <w:rPr>
            <w:rStyle w:val="Hyperlink"/>
          </w:rPr>
          <w:t xml:space="preserve">https://doi.org/10.1038/sdata.2016.18</w:t>
        </w:r>
      </w:hyperlink>
    </w:p>
    <w:p>
      <w:pPr>
        <w:numPr>
          <w:ilvl w:val="0"/>
          <w:numId w:val="1039"/>
        </w:numPr>
        <w:pStyle w:val="Compact"/>
      </w:pPr>
      <w:r>
        <w:t xml:space="preserve">PyTorch Contributors. (2025).</w:t>
      </w:r>
      <w:r>
        <w:t xml:space="preserve"> </w:t>
      </w:r>
      <w:r>
        <w:rPr>
          <w:iCs/>
          <w:i/>
        </w:rPr>
        <w:t xml:space="preserve">torch.use_deterministic_algorithms — PyTorch documentation</w:t>
      </w:r>
      <w:r>
        <w:t xml:space="preserve">.</w:t>
      </w:r>
      <w:r>
        <w:t xml:space="preserve"> </w:t>
      </w:r>
      <w:hyperlink r:id="rId64">
        <w:r>
          <w:rPr>
            <w:rStyle w:val="Hyperlink"/>
          </w:rPr>
          <w:t xml:space="preserve">https://docs.pytorch.org/docs/stable/generated/torch.use_deterministic_algorithms.html</w:t>
        </w:r>
      </w:hyperlink>
    </w:p>
    <w:p>
      <w:pPr>
        <w:pStyle w:val="BlockText"/>
      </w:pPr>
      <w:r>
        <w:t xml:space="preserve">注：如果你在正文中还要引用 PyTorch 的“随机性/可复现性说明页”（randomness notes），建议在你最终定稿时统一写成“访问日期 + 版本号”，因为该页面会随版本更新而变动。</w:t>
      </w:r>
    </w:p>
    <w:p>
      <w:r>
        <w:pict>
          <v:rect style="width:0;height:1.5pt" o:hralign="center" o:hrstd="t" o:hr="t"/>
        </w:pict>
      </w:r>
    </w:p>
    <w:bookmarkEnd w:id="65"/>
    <w:bookmarkStart w:id="67" w:name="核验与纠错记录可不复制进论文"/>
    <w:p>
      <w:pPr>
        <w:pStyle w:val="Heading2"/>
      </w:pPr>
      <w:r>
        <w:t xml:space="preserve">核验与纠错记录（可不复制进论文）</w:t>
      </w:r>
    </w:p>
    <w:p>
      <w:pPr>
        <w:numPr>
          <w:ilvl w:val="0"/>
          <w:numId w:val="1040"/>
        </w:numPr>
        <w:pStyle w:val="Compact"/>
      </w:pPr>
      <w:r>
        <w:t xml:space="preserve">PDEBench 的数据集 DOI 与作者信息可在 DaRUS 数据发布页面核验。 (</w:t>
      </w:r>
      <w:hyperlink r:id="rId66">
        <w:r>
          <w:rPr>
            <w:rStyle w:val="Hyperlink"/>
          </w:rPr>
          <w:t xml:space="preserve">SCIRP</w:t>
        </w:r>
      </w:hyperlink>
      <w:r>
        <w:t xml:space="preserve">)</w:t>
      </w:r>
    </w:p>
    <w:p>
      <w:pPr>
        <w:numPr>
          <w:ilvl w:val="0"/>
          <w:numId w:val="1040"/>
        </w:numPr>
        <w:pStyle w:val="Compact"/>
      </w:pPr>
      <w:r>
        <w:t xml:space="preserve">Student(1908) 的论文 DOI 为</w:t>
      </w:r>
      <w:r>
        <w:t xml:space="preserve"> </w:t>
      </w:r>
      <w:r>
        <w:rPr>
          <w:rStyle w:val="VerbatimChar"/>
        </w:rPr>
        <w:t xml:space="preserve">10.1093/biomet/6.1.1</w:t>
      </w:r>
      <w:r>
        <w:t xml:space="preserve">。 ([OUP Academic][2])</w:t>
      </w:r>
    </w:p>
    <w:p>
      <w:pPr>
        <w:numPr>
          <w:ilvl w:val="0"/>
          <w:numId w:val="1040"/>
        </w:numPr>
        <w:pStyle w:val="Compact"/>
      </w:pPr>
      <w:r>
        <w:t xml:space="preserve">SSIM 论文题名、期刊卷期页码与 DOI 可核验。 ([华 Waterloo 电气与计算机工程][3])</w:t>
      </w:r>
    </w:p>
    <w:p>
      <w:pPr>
        <w:numPr>
          <w:ilvl w:val="0"/>
          <w:numId w:val="1040"/>
        </w:numPr>
        <w:pStyle w:val="Compact"/>
      </w:pPr>
      <w:r>
        <w:t xml:space="preserve">FAIR 原则论文 DOI 可核验。 ([华 Waterloo 电气与计算机工程][3])</w:t>
      </w:r>
    </w:p>
    <w:p>
      <w:pPr>
        <w:numPr>
          <w:ilvl w:val="0"/>
          <w:numId w:val="1040"/>
        </w:numPr>
        <w:pStyle w:val="Compact"/>
      </w:pPr>
      <w:r>
        <w:rPr>
          <w:rStyle w:val="VerbatimChar"/>
        </w:rPr>
        <w:t xml:space="preserve">torch.use_deterministic_algorithms</w:t>
      </w:r>
      <w:r>
        <w:t xml:space="preserve"> </w:t>
      </w:r>
      <w:r>
        <w:t xml:space="preserve">的 PyTorch 官方文档入口可核验。 ([PyTorch 文档][4])</w:t>
      </w:r>
    </w:p>
    <w:p>
      <w:r>
        <w:pict>
          <v:rect style="width:0;height:1.5pt" o:hralign="center" o:hrstd="t" o:hr="t"/>
        </w:pict>
      </w:r>
    </w:p>
    <w:p>
      <w:pPr>
        <w:pStyle w:val="FirstParagraph"/>
      </w:pPr>
      <w:r>
        <w:t xml:space="preserve">如果你愿意，我也可以按同样标准，把你第6章里</w:t>
      </w:r>
      <w:r>
        <w:rPr>
          <w:bCs/>
          <w:b/>
        </w:rPr>
        <w:t xml:space="preserve">“</w:t>
      </w:r>
      <w:r>
        <w:rPr>
          <w:bCs/>
          <w:b/>
        </w:rPr>
        <w:t xml:space="preserve">主结果表/消融表/资源表</w:t>
      </w:r>
      <w:r>
        <w:rPr>
          <w:bCs/>
          <w:b/>
        </w:rPr>
        <w:t xml:space="preserve">”</w:t>
      </w:r>
      <w:r>
        <w:t xml:space="preserve">直接扩展成完整三张表（含表注、口径声明、以及你现在代码目录下的字段对齐方式），你只需要把最终跑出来的 csv/summary（或截图）贴我就能无缝填进去。</w:t>
      </w:r>
    </w:p>
    <w:p>
      <w:pPr>
        <w:pStyle w:val="SourceCode"/>
      </w:pPr>
      <w:r>
        <w:rPr>
          <w:rStyle w:val="VerbatimChar"/>
        </w:rPr>
        <w:t xml:space="preserve">Student (1908) The Probable Error of a Mean. Biometrika, 6, 1-25.  - References - Scientific Research Publishing</w:t>
      </w:r>
    </w:p>
    <w:p>
      <w:pPr>
        <w:pStyle w:val="FirstParagraph"/>
      </w:pPr>
      <w:r>
        <w:t xml:space="preserve">”</w:t>
      </w:r>
      <w:r>
        <w:t xml:space="preserve"> </w:t>
      </w:r>
      <w:r>
        <w:t xml:space="preserve">[2]: https://academic.oup.com/biomet/article-abstract/6/1/1/225634?utm_source=chatgpt.com</w:t>
      </w:r>
      <w:r>
        <w:t xml:space="preserve"> </w:t>
      </w:r>
      <w:r>
        <w:t xml:space="preserve">“</w:t>
      </w:r>
      <w:r>
        <w:t xml:space="preserve">THE PROBABLE ERROR OF A MEAN | Biometrika</w:t>
      </w:r>
      <w:r>
        <w:t xml:space="preserve">”</w:t>
      </w:r>
      <w:r>
        <w:t xml:space="preserve"> </w:t>
      </w:r>
      <w:r>
        <w:t xml:space="preserve">[3]: https://ece.uwaterloo.ca/~z70wang/publications.htm</w:t>
      </w:r>
      <w:r>
        <w:t xml:space="preserve"> </w:t>
      </w:r>
      <w:r>
        <w:t xml:space="preserve">“</w:t>
      </w:r>
      <w:r>
        <w:t xml:space="preserve">Zhou Wang’s Publications</w:t>
      </w:r>
      <w:r>
        <w:t xml:space="preserve">”</w:t>
      </w:r>
      <w:r>
        <w:t xml:space="preserve"> </w:t>
      </w:r>
      <w:r>
        <w:t xml:space="preserve">[4]: https://docs.pytorch.org/docs/stable/generated/torch.use_deterministic_algorithms.html</w:t>
      </w:r>
      <w:r>
        <w:t xml:space="preserve"> </w:t>
      </w:r>
      <w:r>
        <w:t xml:space="preserve">“</w:t>
      </w:r>
      <w:r>
        <w:t xml:space="preserve">torch.use_deterministic_algorithms — PyTorch 2.9 documentation</w:t>
      </w:r>
      <w:r>
        <w:t xml:space="preserve">”</w:t>
      </w:r>
    </w:p>
    <w:bookmarkEnd w:id="67"/>
    <w:bookmarkEnd w:id="68"/>
    <w:sectPr w:rsidR="00FC693F" w:rsidRPr="0006063C" w:rsidSect="00034616">
      <w:pgSz w:h="16838" w:w="11906"/>
      <w:pgMar w:bottom="1417" w:footer="1134" w:gutter="0" w:header="1417" w:left="1417" w:right="1417" w:top="198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00" w:lineRule="auto"/>
      <w:ind w:firstLine="480"/>
      <w:jc w:val="both"/>
    </w:pPr>
    <w:rPr>
      <w:rFonts w:ascii="Times New Roman" w:eastAsia="宋体" w:hAnsi="Times New Roman"/>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00" w:before="0" w:line="360" w:lineRule="auto"/>
      <w:ind w:firstLine="0"/>
      <w:jc w:val="left"/>
      <w:outlineLvl w:val="0"/>
    </w:pPr>
    <w:rPr>
      <w:rFonts w:ascii="Times New Roman" w:asciiTheme="majorHAnsi" w:cstheme="majorBidi" w:eastAsia="黑体" w:eastAsiaTheme="majorEastAsia" w:hAnsi="Times New Roman"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0" w:before="140" w:line="360" w:lineRule="auto"/>
      <w:ind w:firstLine="0"/>
      <w:jc w:val="left"/>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before="120" w:line="360" w:lineRule="auto"/>
      <w:ind w:firstLine="0"/>
      <w:jc w:val="left"/>
      <w:outlineLvl w:val="2"/>
    </w:pPr>
    <w:rPr>
      <w:rFonts w:ascii="Times New Roman" w:asciiTheme="majorHAnsi" w:cstheme="majorBidi" w:eastAsia="黑体"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0" w:before="0" w:line="300" w:lineRule="auto"/>
      <w:ind w:firstLine="0"/>
      <w:jc w:val="center"/>
    </w:pPr>
    <w:rPr>
      <w:rFonts w:ascii="Times New Roman" w:eastAsia="宋体" w:hAnsi="Times New Roman"/>
      <w:b w:val="0"/>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enteredHeading" w:type="paragraph">
    <w:name w:val="CenteredHeading"/>
    <w:pPr>
      <w:spacing w:after="300" w:before="0" w:line="360" w:lineRule="auto"/>
      <w:ind w:firstLine="0"/>
      <w:jc w:val="center"/>
    </w:pPr>
    <w:rPr>
      <w:rFonts w:ascii="Times New Roman" w:eastAsia="黑体" w:hAnsi="Times New Roman"/>
      <w:b/>
      <w:color w:val="000000"/>
      <w:sz w:val="30"/>
    </w:rPr>
  </w:style>
  <w:style w:customStyle="1" w:styleId="AbstractTitle" w:type="paragraph">
    <w:name w:val="AbstractTitle"/>
    <w:pPr>
      <w:spacing w:after="300" w:before="0" w:line="360" w:lineRule="auto"/>
      <w:ind w:firstLine="0"/>
      <w:jc w:val="center"/>
    </w:pPr>
    <w:rPr>
      <w:rFonts w:ascii="Times New Roman" w:eastAsia="黑体" w:hAnsi="Times New Roman"/>
      <w:b/>
      <w:color w:val="000000"/>
      <w:sz w:val="30"/>
    </w:rPr>
  </w:style>
  <w:style w:customStyle="1" w:styleId="AbstractBody" w:type="paragraph">
    <w:name w:val="AbstractBody"/>
    <w:pPr>
      <w:spacing w:after="0" w:before="0" w:line="300" w:lineRule="auto"/>
      <w:ind w:firstLine="480"/>
      <w:jc w:val="both"/>
    </w:pPr>
    <w:rPr>
      <w:rFonts w:ascii="Times New Roman" w:eastAsia="宋体" w:hAnsi="Times New Roman"/>
      <w:b w:val="0"/>
      <w:color w:val="000000"/>
      <w:sz w:val="24"/>
    </w:rPr>
  </w:style>
  <w:style w:customStyle="1" w:styleId="ReferencesBody" w:type="paragraph">
    <w:name w:val="ReferencesBody"/>
    <w:pPr>
      <w:spacing w:after="0" w:before="0" w:line="300" w:lineRule="auto"/>
      <w:ind w:firstLine="0"/>
      <w:jc w:val="left"/>
    </w:pPr>
    <w:rPr>
      <w:rFonts w:ascii="Times New Roman" w:eastAsia="宋体" w:hAnsi="Times New Roman"/>
      <w:b w:val="0"/>
      <w:color w:val="000000"/>
      <w:sz w:val="21"/>
    </w:rPr>
  </w:style>
  <w:style w:customStyle="1" w:styleId="KeywordsLabel" w:type="character">
    <w:name w:val="KeywordsLabel"/>
    <w:rPr>
      <w:rFonts w:ascii="Times New Roman" w:eastAsia="黑体" w:hAnsi="Times New Roman"/>
      <w:b/>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cs.pytorch.org/docs/stable/generated/torch.use_deterministic_algorithms.html" TargetMode="External" /><Relationship Type="http://schemas.openxmlformats.org/officeDocument/2006/relationships/hyperlink" Id="rId63" Target="https://doi.org/10.1038/sdata.2016.18" TargetMode="External" /><Relationship Type="http://schemas.openxmlformats.org/officeDocument/2006/relationships/hyperlink" Id="rId60" Target="https://doi.org/10.1093/biomet/6.1.1" TargetMode="External" /><Relationship Type="http://schemas.openxmlformats.org/officeDocument/2006/relationships/hyperlink" Id="rId62" Target="https://doi.org/10.1109/TIP.2003.819861" TargetMode="External" /><Relationship Type="http://schemas.openxmlformats.org/officeDocument/2006/relationships/hyperlink" Id="rId61" Target="https://doi.org/10.18419/darus-2986" TargetMode="External" /><Relationship Type="http://schemas.openxmlformats.org/officeDocument/2006/relationships/hyperlink" Id="rId66" Target="https://www.scirp.org/reference/referencespapers?referenceid=1684433%20%22" TargetMode="External" /></Relationships>
</file>

<file path=word/_rels/footnotes.xml.rels><?xml version="1.0" encoding="UTF-8"?><Relationships xmlns="http://schemas.openxmlformats.org/package/2006/relationships"><Relationship Type="http://schemas.openxmlformats.org/officeDocument/2006/relationships/hyperlink" Id="rId64" Target="https://docs.pytorch.org/docs/stable/generated/torch.use_deterministic_algorithms.html" TargetMode="External" /><Relationship Type="http://schemas.openxmlformats.org/officeDocument/2006/relationships/hyperlink" Id="rId63" Target="https://doi.org/10.1038/sdata.2016.18" TargetMode="External" /><Relationship Type="http://schemas.openxmlformats.org/officeDocument/2006/relationships/hyperlink" Id="rId60" Target="https://doi.org/10.1093/biomet/6.1.1" TargetMode="External" /><Relationship Type="http://schemas.openxmlformats.org/officeDocument/2006/relationships/hyperlink" Id="rId62" Target="https://doi.org/10.1109/TIP.2003.819861" TargetMode="External" /><Relationship Type="http://schemas.openxmlformats.org/officeDocument/2006/relationships/hyperlink" Id="rId61" Target="https://doi.org/10.18419/darus-2986" TargetMode="External" /><Relationship Type="http://schemas.openxmlformats.org/officeDocument/2006/relationships/hyperlink" Id="rId66" Target="https://www.scirp.org/reference/referencespapers?referenceid=1684433%20%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2026-01-17T17:20:19Z</dcterms:created>
  <dcterms:modified xsi:type="dcterms:W3CDTF">2026-01-17T17:20:19Z</dcterms:modified>
</cp:coreProperties>
</file>

<file path=docProps/custom.xml><?xml version="1.0" encoding="utf-8"?>
<Properties xmlns="http://schemas.openxmlformats.org/officeDocument/2006/custom-properties" xmlns:vt="http://schemas.openxmlformats.org/officeDocument/2006/docPropsVTypes"/>
</file>