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7章-理论验证扩写版命题脚本阈值统计材料闭环"/>
    <w:p>
      <w:pPr>
        <w:pStyle w:val="Heading1"/>
      </w:pPr>
      <w:r>
        <w:t xml:space="preserve">第7章 理论验证（扩写版：命题—脚本—阈值—统计—材料闭环）</w:t>
      </w:r>
    </w:p>
    <w:bookmarkStart w:id="20" w:name="引言"/>
    <w:p>
      <w:pPr>
        <w:pStyle w:val="Heading2"/>
      </w:pPr>
      <w:r>
        <w:t xml:space="preserve">7.0 引言</w:t>
      </w:r>
    </w:p>
    <w:p>
      <w:pPr>
        <w:pStyle w:val="FirstParagraph"/>
      </w:pPr>
      <w:r>
        <w:t xml:space="preserve">承接第6章的实验结果，虽然模型在标准测试集上表现优异，但科学计算模型的可靠性不仅取决于单一数据集上的精度，更取决于其是否符合理论预期、是否具备物理一致性以及在非标准工况下的鲁棒性。</w:t>
      </w:r>
    </w:p>
    <w:p>
      <w:pPr>
        <w:pStyle w:val="BodyText"/>
      </w:pPr>
      <w:r>
        <w:t xml:space="preserve">第4章从“欠定逆问题”的角度提出了三条理论命题，并在第5–6章给出了工程化实现。本章面向研究生论文的可核验要求，将这三条命题进一步</w:t>
      </w:r>
      <w:r>
        <w:rPr>
          <w:bCs/>
          <w:b/>
        </w:rPr>
        <w:t xml:space="preserve">制度化为可运行脚本 + 明确验收阈值 + 统计检验 + 材料归档</w:t>
      </w:r>
      <w:r>
        <w:t xml:space="preserve">的验证闭环，并将全部产出固化到</w:t>
      </w:r>
      <w:r>
        <w:t xml:space="preserve"> </w:t>
      </w:r>
      <w:r>
        <w:rPr>
          <w:rStyle w:val="VerbatimChar"/>
        </w:rPr>
        <w:t xml:space="preserve">runs/&lt;exp&gt;/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paper_package/</w:t>
      </w:r>
      <w:r>
        <w:t xml:space="preserve">。</w:t>
      </w:r>
    </w:p>
    <w:p>
      <w:pPr>
        <w:pStyle w:val="BodyText"/>
      </w:pPr>
      <w:r>
        <w:t xml:space="preserve">为避免符号漂移，沿用第3–6章口径。对任意时刻（或任意测试样本）真值场记为 (u)，网络输出（z-score 域）记为 (</w:t>
      </w:r>
      <w:r>
        <w:t xml:space="preserve">u^{(z)})，回到原值域后的预测记为</w:t>
      </w:r>
      <w:r>
        <w:t xml:space="preserve"> </w:t>
      </w:r>
      <w:r>
        <w:t xml:space="preserve">[</w:t>
      </w:r>
      <w:r>
        <w:t xml:space="preserve"> </w:t>
      </w:r>
      <w:r>
        <w:t xml:space="preserve">u =</w:t>
      </w:r>
      <w:r>
        <w:t xml:space="preserve"> </w:t>
      </w:r>
      <w:r>
        <w:rPr>
          <w:iCs/>
          <w:i/>
        </w:rPr>
        <w:t xml:space="preserve">z</w:t>
      </w:r>
      <w:r>
        <w:rPr>
          <w:iCs/>
          <w:i/>
        </w:rPr>
        <w:t xml:space="preserve"> </w:t>
      </w:r>
      <w:r>
        <w:rPr>
          <w:iCs/>
          <w:i/>
        </w:rPr>
        <w:t xml:space="preserve">u^{(z)} +</w:t>
      </w:r>
      <w:r>
        <w:rPr>
          <w:iCs/>
          <w:i/>
        </w:rPr>
        <w:t xml:space="preserve"> 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]</w:t>
      </w:r>
      <w:r>
        <w:rPr>
          <w:iCs/>
          <w:i/>
        </w:rPr>
        <w:t xml:space="preserve"> </w:t>
      </w:r>
      <w:r>
        <w:rPr>
          <w:iCs/>
          <w:i/>
        </w:rPr>
        <w:t xml:space="preserve">数据观测由统一观测算子 (H) 给出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iCs/>
          <w:i/>
        </w:rPr>
        <w:t xml:space="preserve"> </w:t>
      </w:r>
      <w:r>
        <w:rPr>
          <w:iCs/>
          <w:i/>
        </w:rPr>
        <w:t xml:space="preserve">y = H(u) + n,</w:t>
      </w:r>
      <w:r>
        <w:rPr>
          <w:iCs/>
          <w:i/>
        </w:rPr>
        <w:t xml:space="preserve"> </w:t>
      </w:r>
      <w:r>
        <w:rPr>
          <w:iCs/>
          <w:i/>
        </w:rPr>
        <w:t xml:space="preserve">n</w:t>
      </w:r>
      <w:r>
        <w:rPr>
          <w:iCs/>
          <w:i/>
        </w:rPr>
        <w:t xml:space="preserve"> 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]</w:t>
      </w:r>
      <w:r>
        <w:rPr>
          <w:iCs/>
          <w:i/>
        </w:rPr>
        <w:t xml:space="preserve"> </w:t>
      </w:r>
      <w:r>
        <w:rPr>
          <w:iCs/>
          <w:i/>
        </w:rPr>
        <w:t xml:space="preserve">评测口径误差（与第3章一致）定义为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iCs/>
          <w:i/>
        </w:rPr>
        <w:t xml:space="preserve"> </w:t>
      </w:r>
      <w:r>
        <w:rPr>
          <w:iCs/>
          <w:i/>
        </w:rPr>
        <w:t xml:space="preserve">H</w:t>
      </w:r>
      <w:r>
        <w:t xml:space="preserve">{</w:t>
      </w:r>
      <w:r>
        <w:t xml:space="preserve">}</w:t>
      </w:r>
      <w:r>
        <w:t xml:space="preserve"> </w:t>
      </w:r>
      <w:r>
        <w:t xml:space="preserve">|H(</w:t>
      </w:r>
      <w:r>
        <w:t xml:space="preserve">u)-y|_2.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本章验证的三条命题写为：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命题1（评测一致性命题）</w:t>
      </w:r>
      <w:r>
        <w:t xml:space="preserve">：若训练端退化算子 (</w:t>
      </w:r>
      <w:r>
        <w:t xml:space="preserve">) 与数据观测算子 (H) 在实现与参数上严格一致（同源复用），则当观测一致性项收敛时，(H_{</w:t>
      </w:r>
      <w:r>
        <w:t xml:space="preserve">}) 与重建误差将呈同步变化，并且“口径断裂”（Rel-L2 下降但 (H_{</w:t>
      </w:r>
      <w:r>
        <w:t xml:space="preserve">}) 不降）显著减少。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命题2（低频约束稳健性命题）</w:t>
      </w:r>
      <w:r>
        <w:t xml:space="preserve">：在低频子空间引入一致性约束，可优先稳定大尺度结构；与观测一致性项联合时，可进一步减少评测断裂并改善跨场景稳定性。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命题3（跨网格稳定性命题）</w:t>
      </w:r>
      <w:r>
        <w:t xml:space="preserve">：在离散化口径一致、混叠得到控制的条件下，多分辨率/跨网格评测的性能差异将更可控；异常退化可通过“口径一致性—频谱阈值—别名诊断”三步定位。</w:t>
      </w:r>
    </w:p>
    <w:p>
      <w:pPr>
        <w:pStyle w:val="BlockText"/>
      </w:pPr>
      <w:r>
        <w:rPr>
          <w:bCs/>
          <w:b/>
        </w:rPr>
        <w:t xml:space="preserve">本章输出目标</w:t>
      </w:r>
      <w:r>
        <w:t xml:space="preserve">：每条命题至少给出“正例 + 负例 + 阈值 + 统计量 + 归档路径”，并在第6章主实验表格中提供可追溯链接（文件路径与配置哈希）。</w:t>
      </w:r>
    </w:p>
    <w:p>
      <w:r>
        <w:pict>
          <v:rect style="width:0;height:1.5pt" o:hralign="center" o:hrstd="t" o:hr="t"/>
        </w:pict>
      </w:r>
    </w:p>
    <w:bookmarkEnd w:id="20"/>
    <w:bookmarkStart w:id="24" w:name="一致性验证h-同源复用对应命题1"/>
    <w:p>
      <w:pPr>
        <w:pStyle w:val="Heading2"/>
      </w:pPr>
      <w:r>
        <w:t xml:space="preserve">7.1 一致性验证：(H/</w:t>
      </w:r>
      <w:r>
        <w:t xml:space="preserve">) 同源复用（对应命题1）</w:t>
      </w:r>
    </w:p>
    <w:bookmarkStart w:id="22" w:name="h-等价性测试硬门槛"/>
    <w:p>
      <w:pPr>
        <w:pStyle w:val="Heading3"/>
      </w:pPr>
      <w:r>
        <w:t xml:space="preserve">7.1.1 (H/</w:t>
      </w:r>
      <w:r>
        <w:t xml:space="preserve">) 等价性测试（硬门槛）</w:t>
      </w:r>
    </w:p>
    <w:p>
      <w:pPr>
        <w:pStyle w:val="FirstParagraph"/>
      </w:pPr>
      <w:r>
        <w:rPr>
          <w:bCs/>
          <w:b/>
        </w:rPr>
        <w:t xml:space="preserve">目的</w:t>
      </w:r>
      <w:r>
        <w:t xml:space="preserve">：在统计汇总之前，证明训练端退化算子 (</w:t>
      </w:r>
      <w:r>
        <w:t xml:space="preserve">) 与数据观测算子 (H) 满足硬约束</w:t>
      </w:r>
      <w:r>
        <w:br/>
      </w:r>
      <w:r>
        <w:t xml:space="preserve">[</w:t>
      </w:r>
      <w:r>
        <w:t xml:space="preserve"> </w:t>
      </w:r>
      <w:r>
        <w:t xml:space="preserve"> </w:t>
      </w:r>
      <w:r>
        <w:t xml:space="preserve">H</w:t>
      </w:r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脚本</w:t>
      </w:r>
      <w:r>
        <w:t xml:space="preserve">：</w:t>
      </w:r>
      <w:r>
        <w:rPr>
          <w:rStyle w:val="VerbatimChar"/>
        </w:rPr>
        <w:t xml:space="preserve">tools/check_dc_equivalence.py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：随机抽样 (N</w:t>
      </w:r>
      <w:r>
        <w:t xml:space="preserve">) 个样本 (u^{(i)})，计算数据侧观测 (y^{(i)}) 与复用算子输出 (H(u^{(i)}))，并记录</w:t>
      </w:r>
      <w:r>
        <w:t xml:space="preserve"> </w:t>
      </w:r>
      <w:r>
        <w:t xml:space="preserve">[</w:t>
      </w:r>
      <w:r>
        <w:t xml:space="preserve"> </w:t>
      </w:r>
      <w:r>
        <w:t xml:space="preserve">e</w:t>
      </w:r>
      <w:r>
        <w:rPr>
          <w:vertAlign w:val="superscript"/>
        </w:rPr>
        <w:t xml:space="preserve">{(i)}=</w:t>
      </w:r>
      <w:r>
        <w:rPr>
          <w:vertAlign w:val="superscript"/>
        </w:rPr>
        <w:t xml:space="preserve">!</w:t>
      </w:r>
      <w:r>
        <w:rPr>
          <w:vertAlign w:val="superscript"/>
        </w:rPr>
        <w:t xml:space="preserve">(H(u</w:t>
      </w:r>
      <w:r>
        <w:t xml:space="preserve">{(i)}),,y^{(i)}</w:t>
      </w:r>
      <w:r>
        <w:t xml:space="preserve">),</w:t>
      </w:r>
      <w:r>
        <w:t xml:space="preserve"> </w:t>
      </w:r>
      <w:r>
        <w:t xml:space="preserve">e=</w:t>
      </w:r>
      <w:r>
        <w:rPr>
          <w:iCs/>
          <w:i/>
        </w:rPr>
        <w:t xml:space="preserve">{i=1}^N e^{(i)},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{</w:t>
      </w:r>
      <w:r>
        <w:t xml:space="preserve">}=</w:t>
      </w:r>
      <w:r>
        <w:t xml:space="preserve">_i e^{(i)}.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验收阈值（与第5章保持一致）</w:t>
      </w:r>
      <w:r>
        <w:t xml:space="preserve">：</w:t>
      </w:r>
      <w:r>
        <w:t xml:space="preserve"> </w:t>
      </w:r>
      <w:r>
        <w:t xml:space="preserve">- (</w:t>
      </w:r>
      <w:r>
        <w:t xml:space="preserve">e &lt; 10^{-8}) 且 (e_{</w:t>
      </w:r>
      <w:r>
        <w:t xml:space="preserve">} &lt; 10^{-7}) 判定为</w:t>
      </w:r>
      <w:r>
        <w:t xml:space="preserve"> </w:t>
      </w:r>
      <w:r>
        <w:rPr>
          <w:bCs/>
          <w:b/>
        </w:rPr>
        <w:t xml:space="preserve">Pass</w:t>
      </w:r>
      <w:r>
        <w:t xml:space="preserve">；</w:t>
      </w:r>
      <w:r>
        <w:t xml:space="preserve"> </w:t>
      </w:r>
      <w:r>
        <w:t xml:space="preserve">- 否则判定为</w:t>
      </w:r>
      <w:r>
        <w:t xml:space="preserve"> </w:t>
      </w:r>
      <w:r>
        <w:rPr>
          <w:bCs/>
          <w:b/>
        </w:rPr>
        <w:t xml:space="preserve">Fail</w:t>
      </w:r>
      <w:r>
        <w:t xml:space="preserve">，直接阻断该实验进入第6章统计汇总（避免不公平横向对比）。</w:t>
      </w:r>
    </w:p>
    <w:p>
      <w:pPr>
        <w:pStyle w:val="BlockText"/>
      </w:pPr>
      <w:r>
        <w:rPr>
          <w:bCs/>
          <w:b/>
        </w:rPr>
        <w:t xml:space="preserve">工程备注（避免“误判”）</w:t>
      </w:r>
      <w:r>
        <w:t xml:space="preserve">：当 (H) 内含浮点插值、FFT、混合精度或 GPU 非确定性算子时，阈值需要与实际数值精度匹配；阈值调整必须写入</w:t>
      </w:r>
      <w:r>
        <w:t xml:space="preserve"> </w:t>
      </w:r>
      <w:r>
        <w:rPr>
          <w:rStyle w:val="VerbatimChar"/>
        </w:rPr>
        <w:t xml:space="preserve">consistency_report.json</w:t>
      </w:r>
      <w:r>
        <w:t xml:space="preserve">，并在论文中说明原因（例如从 FP32 改为 AMP 导致最小可达误差上移）。</w:t>
      </w:r>
    </w:p>
    <w:p>
      <w:pPr>
        <w:pStyle w:val="FirstParagraph"/>
      </w:pPr>
      <w:r>
        <w:rPr>
          <w:bCs/>
          <w:b/>
        </w:rPr>
        <w:t xml:space="preserve">归档</w:t>
      </w:r>
      <w:r>
        <w:t xml:space="preserve">：</w:t>
      </w:r>
      <w:r>
        <w:rPr>
          <w:rStyle w:val="VerbatimChar"/>
        </w:rPr>
        <w:t xml:space="preserve">runs/&lt;exp&gt;/consistency_report.json</w:t>
      </w:r>
      <w:r>
        <w:t xml:space="preserve">（必须包含：任务类型、参数签名、(N)、(</w:t>
      </w:r>
      <w:r>
        <w:t xml:space="preserve">e)、(e_{</w:t>
      </w:r>
      <w:r>
        <w:t xml:space="preserve">})、Pass/Fail、差异定位日志）</w:t>
      </w:r>
    </w:p>
    <w:p>
      <w:pPr>
        <w:pStyle w:val="BodyText"/>
      </w:pPr>
      <w:r>
        <w:rPr>
          <w:bCs/>
          <w:b/>
        </w:rPr>
        <w:t xml:space="preserve">论文汇总表模板</w:t>
      </w:r>
      <w:r>
        <w:t xml:space="preserve">（建议写入第6章或附录）：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参数签名（摘要）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MSE (</w:t>
            </w:r>
            <w:r>
              <w:t xml:space="preserve">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MSE (e_{</w:t>
            </w:r>
            <w:r>
              <w:t xml:space="preserve">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((s,k,</w:t>
            </w:r>
            <w:r>
              <w:t xml:space="preserve">_{</w:t>
            </w:r>
            <w:r>
              <w:t xml:space="preserve">},</w:t>
            </w:r>
            <w:r>
              <w:t xml:space="preserve">,</w:t>
            </w:r>
            <w:r>
              <w:t xml:space="preserve">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((h_c,w_c))、</w:t>
            </w:r>
            <w:r>
              <w:rPr>
                <w:rStyle w:val="VerbatimChar"/>
              </w:rPr>
              <w:t xml:space="preserve">align</w:t>
            </w:r>
            <w:r>
              <w:t xml:space="preserve">、</w:t>
            </w:r>
            <w:r>
              <w:rPr>
                <w:rStyle w:val="VerbatimChar"/>
              </w:rPr>
              <w:t xml:space="preserve">boundary</w:t>
            </w:r>
            <w:r>
              <w:t xml:space="preserve">、</w:t>
            </w:r>
            <w:r>
              <w:rPr>
                <w:rStyle w:val="VerbatimChar"/>
              </w:rPr>
              <w:t xml:space="preserve">mask_update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</w:tbl>
    <w:p>
      <w:pPr>
        <w:pStyle w:val="BlockText"/>
      </w:pPr>
      <w:r>
        <w:rPr>
          <w:bCs/>
          <w:b/>
        </w:rPr>
        <w:t xml:space="preserve">注</w:t>
      </w:r>
      <w:r>
        <w:t xml:space="preserve">：(</w:t>
      </w:r>
      <w:r>
        <w:t xml:space="preserve">) 表示具体数值需在实验中填入。Pass 判定标准为 (</w:t>
      </w:r>
      <w:r>
        <w:t xml:space="preserve">(H(u), DC(u)) &lt; 10^{-8})。</w:t>
      </w:r>
    </w:p>
    <w:bookmarkStart w:id="21" w:name="负例构造与反证法"/>
    <w:p>
      <w:pPr>
        <w:pStyle w:val="Heading4"/>
      </w:pPr>
      <w:r>
        <w:t xml:space="preserve">7.1.3 负例构造与反证法</w:t>
      </w:r>
    </w:p>
    <w:p>
      <w:pPr>
        <w:pStyle w:val="FirstParagraph"/>
      </w:pPr>
      <w:r>
        <w:t xml:space="preserve">为了证明一致性的必要性，设计若干“故意错配”的负例条件：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操作层</w:t>
      </w:r>
      <w:r>
        <w:t xml:space="preserve">：</w:t>
      </w:r>
      <w:r>
        <w:t xml:space="preserve"> </w:t>
      </w:r>
      <w:r>
        <w:t xml:space="preserve">- SR：</w:t>
      </w:r>
      <w:r>
        <w:rPr>
          <w:rStyle w:val="VerbatimChar"/>
        </w:rPr>
        <w:t xml:space="preserve">INTER_AREA → INTER_LINEAR</w:t>
      </w:r>
      <w:r>
        <w:t xml:space="preserve"> </w:t>
      </w:r>
      <w:r>
        <w:t xml:space="preserve">或 (</w:t>
      </w:r>
      <w:r>
        <w:rPr>
          <w:iCs/>
          <w:i/>
        </w:rPr>
        <w:t xml:space="preserve">{</w:t>
      </w:r>
      <w:r>
        <w:rPr>
          <w:iCs/>
          <w:i/>
        </w:rPr>
        <w:t xml:space="preserve">}</w:t>
      </w:r>
      <w:r>
        <w:rPr>
          <w:iCs/>
          <w:i/>
        </w:rPr>
        <w:t xml:space="preserve"> </w:t>
      </w:r>
      <w:r>
        <w:t xml:space="preserve">{</w:t>
      </w:r>
      <w:r>
        <w:t xml:space="preserve">}+</w:t>
      </w:r>
      <w:r>
        <w:t xml:space="preserve">_{</w:t>
      </w:r>
      <w:r>
        <w:t xml:space="preserve">})</w:t>
      </w:r>
      <w:r>
        <w:t xml:space="preserve"> </w:t>
      </w:r>
      <w:r>
        <w:t xml:space="preserve">- Crop：</w:t>
      </w:r>
      <w:r>
        <w:rPr>
          <w:rStyle w:val="VerbatimChar"/>
        </w:rPr>
        <w:t xml:space="preserve">mirror → zero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center → corner</w:t>
      </w:r>
      <w:r>
        <w:t xml:space="preserve"> </w:t>
      </w:r>
      <w:r>
        <w:t xml:space="preserve">(对齐偏移)</w:t>
      </w:r>
    </w:p>
    <w:p>
      <w:pPr>
        <w:pStyle w:val="BodyText"/>
      </w:pPr>
      <w:r>
        <w:rPr>
          <w:bCs/>
          <w:b/>
        </w:rPr>
        <w:t xml:space="preserve">统计量与可视化</w:t>
      </w:r>
      <w:r>
        <w:t xml:space="preserve">：对测试集样本 (j=1,</w:t>
      </w:r>
      <w:r>
        <w:t xml:space="preserve">,N_{</w:t>
      </w:r>
      <w:r>
        <w:t xml:space="preserve">})，计算</w:t>
      </w:r>
      <w:r>
        <w:t xml:space="preserve"> </w:t>
      </w:r>
      <w:r>
        <w:t xml:space="preserve">[</w:t>
      </w:r>
      <w:r>
        <w:t xml:space="preserve"> </w:t>
      </w:r>
      <w:r>
        <w:t xml:space="preserve">r=</w:t>
      </w:r>
      <w:r>
        <w:rPr>
          <w:iCs/>
          <w:i/>
        </w:rPr>
        <w:t xml:space="preserve">{</w:t>
      </w:r>
      <w:r>
        <w:rPr>
          <w:iCs/>
          <w:i/>
        </w:rPr>
        <w:t xml:space="preserve">}(</w:t>
      </w:r>
      <w:r>
        <w:rPr>
          <w:iCs/>
          <w:i/>
          <w:iCs/>
          <w:i/>
        </w:rPr>
        <w:t xml:space="preserve">j,,H</w:t>
      </w:r>
      <w:r>
        <w:rPr>
          <w:iCs/>
          <w:i/>
        </w:rPr>
        <w:t xml:space="preserve">{</w:t>
      </w:r>
      <w:r>
        <w:rPr>
          <w:iCs/>
          <w:i/>
        </w:rPr>
        <w:t xml:space="preserve">,j}),</w:t>
      </w:r>
      <w:r>
        <w:rPr>
          <w:iCs/>
          <w:i/>
        </w:rPr>
        <w:t xml:space="preserve"> </w:t>
      </w:r>
      <w:r>
        <w:rPr>
          <w:iCs/>
          <w:i/>
        </w:rPr>
        <w:t xml:space="preserve">=</w:t>
      </w:r>
      <w:r>
        <w:t xml:space="preserve">{</w:t>
      </w:r>
      <w:r>
        <w:t xml:space="preserve">}(</w:t>
      </w:r>
      <w:r>
        <w:rPr>
          <w:iCs/>
          <w:i/>
        </w:rPr>
        <w:t xml:space="preserve">j,,H</w:t>
      </w:r>
      <w:r>
        <w:t xml:space="preserve">{</w:t>
      </w:r>
      <w:r>
        <w:t xml:space="preserve">,j}).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并报告 Pearson 的 95% 置信区间（Fisher z 变换）及对应 p-value；Spearman 给出 p-value 与稳健结论（抗异常值）。</w:t>
      </w:r>
    </w:p>
    <w:p>
      <w:pPr>
        <w:pStyle w:val="BodyText"/>
      </w:pPr>
      <w:r>
        <w:rPr>
          <w:bCs/>
          <w:b/>
        </w:rPr>
        <w:t xml:space="preserve">图表呈现</w:t>
      </w:r>
      <w:r>
        <w:t xml:space="preserve">（写入</w:t>
      </w:r>
      <w:r>
        <w:t xml:space="preserve"> </w:t>
      </w:r>
      <w:r>
        <w:rPr>
          <w:rStyle w:val="VerbatimChar"/>
        </w:rPr>
        <w:t xml:space="preserve">paper_package/figs/theory_verif/</w:t>
      </w:r>
      <w:r>
        <w:t xml:space="preserve">）：</w:t>
      </w:r>
      <w:r>
        <w:t xml:space="preserve"> </w:t>
      </w:r>
      <w:r>
        <w:t xml:space="preserve">- 散点图：(H_{</w:t>
      </w:r>
      <w:r>
        <w:t xml:space="preserve">})–Rel-L2（正例 vs 负例并排）</w:t>
      </w:r>
      <w:r>
        <w:t xml:space="preserve"> </w:t>
      </w:r>
      <w:r>
        <w:t xml:space="preserve">- 分箱曲线：按 Rel-L2 分箱后的 (H_{</w:t>
      </w:r>
      <w:r>
        <w:t xml:space="preserve">}) 均值±置信带（更直观暴露“断裂”）</w:t>
      </w:r>
    </w:p>
    <w:p>
      <w:pPr>
        <w:pStyle w:val="BodyText"/>
      </w:pPr>
      <w:r>
        <w:rPr>
          <w:bCs/>
          <w:b/>
        </w:rPr>
        <w:t xml:space="preserve">判定准则（建议）</w:t>
      </w:r>
      <w:r>
        <w:t xml:space="preserve">：</w:t>
      </w:r>
      <w:r>
        <w:t xml:space="preserve"> </w:t>
      </w:r>
      <w:r>
        <w:t xml:space="preserve">- 正例：(|r|) 与 (|</w:t>
      </w:r>
      <w:r>
        <w:t xml:space="preserve">|) 同时显著高于负例，并且 Rel-L2 下降时 (H_{</w:t>
      </w:r>
      <w:r>
        <w:t xml:space="preserve">}) 同步下降；</w:t>
      </w:r>
      <w:r>
        <w:t xml:space="preserve"> </w:t>
      </w:r>
      <w:r>
        <w:t xml:space="preserve">- 负例：出现“Rel-L2 改善但 (H_{</w:t>
      </w:r>
      <w:r>
        <w:t xml:space="preserve">}) 无改善/变差”的样本比例显著升高（将该比例写入表格，作为“断裂率”指标）。</w:t>
      </w:r>
    </w:p>
    <w:bookmarkEnd w:id="21"/>
    <w:bookmarkEnd w:id="22"/>
    <w:bookmarkStart w:id="23" w:name="顺序训练课程有效性验证"/>
    <w:p>
      <w:pPr>
        <w:pStyle w:val="Heading3"/>
      </w:pPr>
      <w:r>
        <w:t xml:space="preserve">7.1.3 顺序训练课程有效性验证</w:t>
      </w:r>
    </w:p>
    <w:p>
      <w:pPr>
        <w:pStyle w:val="FirstParagraph"/>
      </w:pPr>
      <w:r>
        <w:t xml:space="preserve">为验证“空间 (</w:t>
      </w:r>
      <w:r>
        <w:t xml:space="preserve">) 时序 (</w:t>
      </w:r>
      <w:r>
        <w:t xml:space="preserve">) 联合”三阶段策略的必要性，本研究设计了如下消融验证实验：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课程阶段切换稳定性</w:t>
      </w:r>
      <w:r>
        <w:t xml:space="preserve"> </w:t>
      </w:r>
      <w:r>
        <w:t xml:space="preserve">记录每个阶段切换点（Transition Epoch）前后的 Loss 变化率。</w:t>
      </w:r>
      <w:r>
        <w:t xml:space="preserve"> </w:t>
      </w:r>
      <w:r>
        <w:rPr>
          <w:bCs/>
          <w:b/>
        </w:rPr>
        <w:t xml:space="preserve">验证目标</w:t>
      </w:r>
      <w:r>
        <w:t xml:space="preserve">：验证 (</w:t>
      </w:r>
      <w:r>
        <w:t xml:space="preserve">_{</w:t>
      </w:r>
      <w:r>
        <w:t xml:space="preserve">} &lt; 0)，即阶段切换未导致模型崩溃，且新阶段的训练任务（如从单帧到多步）能够平滑承接上一阶段的特征空间。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端到端 vs 顺序训练收敛对比</w:t>
      </w:r>
      <w:r>
        <w:t xml:space="preserve"> </w:t>
      </w:r>
      <w:r>
        <w:t xml:space="preserve">在同一组随机种子下，对比两种策略的验证集 Loss 收敛曲线。</w:t>
      </w:r>
      <w:r>
        <w:t xml:space="preserve"> </w:t>
      </w:r>
      <w:r>
        <w:rPr>
          <w:bCs/>
          <w:b/>
        </w:rPr>
        <w:t xml:space="preserve">验证目标</w:t>
      </w:r>
      <w:r>
        <w:t xml:space="preserve">：顺序训练策略在达到相同 Loss 水平时所需的总 Epoch 数显著少于端到端训练，或最终收敛值更优。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时序正则化贡献</w:t>
      </w:r>
      <w:r>
        <w:t xml:space="preserve"> </w:t>
      </w:r>
      <w:r>
        <w:t xml:space="preserve">对比开启与关闭时序导数/能量损失时的长时预测（20步）稳定性。</w:t>
      </w:r>
      <w:r>
        <w:t xml:space="preserve"> </w:t>
      </w:r>
      <w:r>
        <w:rPr>
          <w:bCs/>
          <w:b/>
        </w:rPr>
        <w:t xml:space="preserve">验证目标</w:t>
      </w:r>
      <w:r>
        <w:t xml:space="preserve">：开启正则化后，长时预测的能量漂移率（Energy Drift Rate）显著降低。</w:t>
      </w:r>
    </w:p>
    <w:p>
      <w:pPr>
        <w:pStyle w:val="FirstParagraph"/>
      </w:pPr>
      <w:r>
        <w:t xml:space="preserve">相关实验结果详见第 6.6 节。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低频约束稳健性验证对应命题2"/>
    <w:p>
      <w:pPr>
        <w:pStyle w:val="Heading2"/>
      </w:pPr>
      <w:r>
        <w:t xml:space="preserve">7.2 低频约束稳健性验证（对应命题2）</w:t>
      </w:r>
    </w:p>
    <w:bookmarkStart w:id="25" w:name="消融是否引入-l_-的结构稳定收益"/>
    <w:p>
      <w:pPr>
        <w:pStyle w:val="Heading3"/>
      </w:pPr>
      <w:r>
        <w:t xml:space="preserve">7.2.1 消融：是否引入 (L_{</w:t>
      </w:r>
      <w:r>
        <w:t xml:space="preserve">}) 的结构稳定收益</w:t>
      </w:r>
    </w:p>
    <w:p>
      <w:pPr>
        <w:pStyle w:val="FirstParagraph"/>
      </w:pPr>
      <w:r>
        <w:rPr>
          <w:bCs/>
          <w:b/>
        </w:rPr>
        <w:t xml:space="preserve">对照组</w:t>
      </w:r>
      <w:r>
        <w:t xml:space="preserve">（与第3章 A0–A3 对齐）：</w:t>
      </w:r>
      <w:r>
        <w:t xml:space="preserve"> </w:t>
      </w:r>
      <w:r>
        <w:t xml:space="preserve">- A0：仅 (L_{</w:t>
      </w:r>
      <w:r>
        <w:t xml:space="preserve">})</w:t>
      </w:r>
      <w:r>
        <w:t xml:space="preserve"> </w:t>
      </w:r>
      <w:r>
        <w:t xml:space="preserve">- A1：(L_{</w:t>
      </w:r>
      <w:r>
        <w:t xml:space="preserve">}+</w:t>
      </w:r>
      <w:r>
        <w:rPr>
          <w:iCs/>
          <w:i/>
        </w:rPr>
        <w:t xml:space="preserve">{dc}L</w:t>
      </w:r>
      <w:r>
        <w:t xml:space="preserve">{</w:t>
      </w:r>
      <w:r>
        <w:t xml:space="preserve">})</w:t>
      </w:r>
      <w:r>
        <w:t xml:space="preserve"> </w:t>
      </w:r>
      <w:r>
        <w:t xml:space="preserve">- A2：(L_{</w:t>
      </w:r>
      <w:r>
        <w:t xml:space="preserve">}+</w:t>
      </w:r>
      <w:r>
        <w:rPr>
          <w:iCs/>
          <w:i/>
        </w:rPr>
        <w:t xml:space="preserve">s L</w:t>
      </w:r>
      <w:r>
        <w:t xml:space="preserve">{</w:t>
      </w:r>
      <w:r>
        <w:t xml:space="preserve">})</w:t>
      </w:r>
      <w:r>
        <w:t xml:space="preserve"> </w:t>
      </w:r>
      <w:r>
        <w:t xml:space="preserve">- A3：(L_{</w:t>
      </w:r>
      <w:r>
        <w:t xml:space="preserve">}+</w:t>
      </w:r>
      <w:r>
        <w:rPr>
          <w:iCs/>
          <w:i/>
        </w:rPr>
        <w:t xml:space="preserve">s L</w:t>
      </w:r>
      <w:r>
        <w:t xml:space="preserve">{</w:t>
      </w:r>
      <w:r>
        <w:t xml:space="preserve">}+</w:t>
      </w:r>
      <w:r>
        <w:rPr>
          <w:iCs/>
          <w:i/>
        </w:rPr>
        <w:t xml:space="preserve">{dc}L</w:t>
      </w:r>
      <w:r>
        <w:t xml:space="preserve">{</w:t>
      </w:r>
      <w:r>
        <w:t xml:space="preserve">})（主方法）</w:t>
      </w:r>
    </w:p>
    <w:p>
      <w:pPr>
        <w:pStyle w:val="BodyText"/>
      </w:pPr>
      <w:r>
        <w:rPr>
          <w:bCs/>
          <w:b/>
        </w:rPr>
        <w:t xml:space="preserve">低频指标（与第6章一致）</w:t>
      </w:r>
      <w:r>
        <w:t xml:space="preserve">：将频域误差分段为 low/mid/high；以 low 段为主验证对象（大尺度结构）。例如对 2D FFT 频率索引集合 (</w:t>
      </w:r>
      <w:r>
        <w:t xml:space="preserve">K_{</w:t>
      </w:r>
      <w:r>
        <w:t xml:space="preserve">}) 定义</w:t>
      </w:r>
      <w:r>
        <w:t xml:space="preserve"> </w:t>
      </w:r>
      <w:r>
        <w:t xml:space="preserve">[</w:t>
      </w:r>
      <w:r>
        <w:t xml:space="preserve"> </w:t>
      </w:r>
      <w:r>
        <w:rPr>
          <w:iCs/>
          <w:i/>
        </w:rPr>
        <w:t xml:space="preserve">{</w:t>
      </w:r>
      <w:r>
        <w:rPr>
          <w:iCs/>
          <w:i/>
        </w:rPr>
        <w:t xml:space="preserve">}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]</w:t>
      </w:r>
      <w:r>
        <w:rPr>
          <w:iCs/>
          <w:i/>
        </w:rPr>
        <w:t xml:space="preserve"> </w:t>
      </w:r>
      <w:r>
        <w:rPr>
          <w:iCs/>
          <w:i/>
        </w:rPr>
        <w:t xml:space="preserve">并与 Rel-L2、(H</w:t>
      </w:r>
      <w:r>
        <w:t xml:space="preserve">{</w:t>
      </w:r>
      <w:r>
        <w:t xml:space="preserve">}) 同表报告。</w:t>
      </w:r>
    </w:p>
    <w:p>
      <w:pPr>
        <w:pStyle w:val="BodyText"/>
      </w:pPr>
      <w:r>
        <w:rPr>
          <w:bCs/>
          <w:b/>
        </w:rPr>
        <w:t xml:space="preserve">判定逻辑</w:t>
      </w:r>
      <w:r>
        <w:t xml:space="preserve">：</w:t>
      </w:r>
      <w:r>
        <w:t xml:space="preserve"> </w:t>
      </w:r>
      <w:r>
        <w:t xml:space="preserve">- 若 A3 相对 A1（固定 (</w:t>
      </w:r>
      <w:r>
        <w:rPr>
          <w:iCs/>
          <w:i/>
        </w:rPr>
        <w:t xml:space="preserve">{dc})）显著降低 (</w:t>
      </w:r>
      <w:r>
        <w:t xml:space="preserve">{</w:t>
      </w:r>
      <w:r>
        <w:t xml:space="preserve">}) 且带来 Rel-L2 的稳健改善，则支持“低频结构先稳”的命题；</w:t>
      </w:r>
      <w:r>
        <w:t xml:space="preserve"> </w:t>
      </w:r>
      <w:r>
        <w:t xml:space="preserve">- 若 A2 在部分任务中改善低频但 (H_{</w:t>
      </w:r>
      <w:r>
        <w:t xml:space="preserve">}) 不稳定，则提示 (L_{</w:t>
      </w:r>
      <w:r>
        <w:t xml:space="preserve">}) 在“评测口径绑定”上的必要性（与命题1衔接）。</w:t>
      </w:r>
    </w:p>
    <w:p>
      <w:r>
        <w:pict>
          <v:rect style="width:0;height:1.5pt" o:hralign="center" o:hrstd="t" o:hr="t"/>
        </w:pict>
      </w:r>
    </w:p>
    <w:bookmarkEnd w:id="25"/>
    <w:bookmarkStart w:id="26" w:name="频谱阈值-k_-扫描结构口径资源折衷"/>
    <w:p>
      <w:pPr>
        <w:pStyle w:val="Heading3"/>
      </w:pPr>
      <w:r>
        <w:t xml:space="preserve">7.2.2 频谱阈值 (k_{</w:t>
      </w:r>
      <w:r>
        <w:t xml:space="preserve">}) 扫描：结构—口径—资源折衷</w:t>
      </w:r>
    </w:p>
    <w:p>
      <w:pPr>
        <w:pStyle w:val="FirstParagraph"/>
      </w:pPr>
      <w:r>
        <w:rPr>
          <w:bCs/>
          <w:b/>
        </w:rPr>
        <w:t xml:space="preserve">扫描变量</w:t>
      </w:r>
      <w: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t xml:space="preserve">k_{</w:t>
      </w:r>
      <w:r>
        <w:t xml:space="preserve">}</w:t>
      </w:r>
      <w:r>
        <w:t xml:space="preserve"> </w:t>
      </w:r>
      <w:r>
        <w:t xml:space="preserve">{8,12,16,20,24},</w:t>
      </w:r>
      <w:r>
        <w:t xml:space="preserve">_s</w:t>
      </w:r>
      <w:r>
        <w:t xml:space="preserve"> </w:t>
      </w:r>
      <w:r>
        <w:t xml:space="preserve">{10</w:t>
      </w:r>
      <w:r>
        <w:rPr>
          <w:vertAlign w:val="superscript"/>
        </w:rPr>
        <w:t xml:space="preserve">{-4},10</w:t>
      </w:r>
      <w:r>
        <w:t xml:space="preserve">{-3},10^{-2}}.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固定变量</w:t>
      </w:r>
      <w:r>
        <w:t xml:space="preserve">：模型结构、训练步数、学习率计划、batch、数据切分、(H/</w:t>
      </w:r>
      <w:r>
        <w:t xml:space="preserve">) 口径签名全部固定。</w:t>
      </w:r>
    </w:p>
    <w:p>
      <w:pPr>
        <w:pStyle w:val="BodyText"/>
      </w:pPr>
      <w:r>
        <w:rPr>
          <w:bCs/>
          <w:b/>
        </w:rPr>
        <w:t xml:space="preserve">输出</w:t>
      </w:r>
      <w:r>
        <w:t xml:space="preserve">：</w:t>
      </w:r>
      <w:r>
        <w:t xml:space="preserve"> </w:t>
      </w:r>
      <w:r>
        <w:t xml:space="preserve">- 主表：Rel-L2、(H_{</w:t>
      </w:r>
      <w:r>
        <w:t xml:space="preserve">})、(</w:t>
      </w:r>
      <w:r>
        <w:rPr>
          <w:iCs/>
          <w:i/>
        </w:rPr>
        <w:t xml:space="preserve">{</w:t>
      </w:r>
      <w:r>
        <w:rPr>
          <w:iCs/>
          <w:i/>
        </w:rPr>
        <w:t xml:space="preserve">})、资源四项</w:t>
      </w:r>
      <w:r>
        <w:rPr>
          <w:iCs/>
          <w:i/>
        </w:rPr>
        <w:t xml:space="preserve"> </w:t>
      </w:r>
      <w:r>
        <w:rPr>
          <w:iCs/>
          <w:i/>
        </w:rPr>
        <w:t xml:space="preserve">- 曲线：((k</w:t>
      </w:r>
      <w:r>
        <w:t xml:space="preserve">{</w:t>
      </w:r>
      <w:r>
        <w:t xml:space="preserve">},</w:t>
      </w:r>
      <w:r>
        <w:t xml:space="preserve">_s)) → 指标热力图（便于呈现拐点）</w:t>
      </w:r>
    </w:p>
    <w:p>
      <w:pPr>
        <w:pStyle w:val="BodyText"/>
      </w:pPr>
      <w:r>
        <w:rPr>
          <w:bCs/>
          <w:b/>
        </w:rPr>
        <w:t xml:space="preserve">验收结论写法建议</w:t>
      </w:r>
      <w:r>
        <w:t xml:space="preserve">：不以“最好点”叙述，而以“稳定区间 + 拐点 + 资源代价”叙述，例如：</w:t>
      </w:r>
      <w:r>
        <w:t xml:space="preserve"> </w:t>
      </w:r>
      <w:r>
        <w:t xml:space="preserve">- (k_{</w:t>
      </w:r>
      <w:r>
        <w:t xml:space="preserve">}</w:t>
      </w:r>
      <w:r>
        <w:t xml:space="preserve">) 低频稳定但细节不足；</w:t>
      </w:r>
      <w:r>
        <w:t xml:space="preserve"> </w:t>
      </w:r>
      <w:r>
        <w:t xml:space="preserve">- (k_{</w:t>
      </w:r>
      <w:r>
        <w:t xml:space="preserve">}</w:t>
      </w:r>
      <w:r>
        <w:t xml:space="preserve">) 训练不稳或高频噪声上升；</w:t>
      </w:r>
      <w:r>
        <w:t xml:space="preserve"> </w:t>
      </w:r>
      <w:r>
        <w:t xml:space="preserve">- (k_{</w:t>
      </w:r>
      <w:r>
        <w:t xml:space="preserve">}=16) 出现结构与口径同步改善且资源可接受（作为默认设置）。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跨分辨率跨网格鲁棒性验证对应命题3"/>
    <w:p>
      <w:pPr>
        <w:pStyle w:val="Heading2"/>
      </w:pPr>
      <w:r>
        <w:t xml:space="preserve">7.3 跨分辨率/跨网格鲁棒性验证（对应命题3）</w:t>
      </w:r>
    </w:p>
    <w:bookmarkStart w:id="28" w:name="多分辨率外推评测img_size-128-256-512"/>
    <w:p>
      <w:pPr>
        <w:pStyle w:val="Heading3"/>
      </w:pPr>
      <w:r>
        <w:t xml:space="preserve">7.3.1 多分辨率外推评测（img_size = 128 / 256 / 512）</w:t>
      </w:r>
    </w:p>
    <w:p>
      <w:pPr>
        <w:pStyle w:val="FirstParagraph"/>
      </w:pPr>
      <w:r>
        <w:rPr>
          <w:bCs/>
          <w:b/>
        </w:rPr>
        <w:t xml:space="preserve">设计原则</w:t>
      </w:r>
      <w:r>
        <w:t xml:space="preserve">：训练分辨率固定为 256；评测阶段仅改变输出分辨率与重采样路径，并将重采样策略写入 YAML 与图注，确保可解释。</w:t>
      </w:r>
    </w:p>
    <w:p>
      <w:pPr>
        <w:pStyle w:val="BodyText"/>
      </w:pPr>
      <w:r>
        <w:rPr>
          <w:bCs/>
          <w:b/>
        </w:rPr>
        <w:t xml:space="preserve">输出表（建议）</w:t>
      </w:r>
      <w:r>
        <w:t xml:space="preserve">：</w:t>
      </w:r>
      <w:r>
        <w:t xml:space="preserve"> </w:t>
      </w:r>
      <w:r>
        <w:t xml:space="preserve">- 每个分辨率报告：Rel-L2、MAE、PSNR、SSIM、(</w:t>
      </w:r>
      <w:r>
        <w:rPr>
          <w:iCs/>
          <w:i/>
        </w:rPr>
        <w:t xml:space="preserve">{</w:t>
      </w:r>
      <w:r>
        <w:rPr>
          <w:iCs/>
          <w:i/>
        </w:rPr>
        <w:t xml:space="preserve">})、(H</w:t>
      </w:r>
      <w:r>
        <w:t xml:space="preserve">{</w:t>
      </w:r>
      <w:r>
        <w:t xml:space="preserve">})</w:t>
      </w:r>
      <w:r>
        <w:t xml:space="preserve"> </w:t>
      </w:r>
      <w:r>
        <w:t xml:space="preserve">- 同时报告资源四项：Params、FLOPs@256²、显存峰值、推理延迟（统一设备与 batch）</w:t>
      </w:r>
    </w:p>
    <w:p>
      <w:pPr>
        <w:pStyle w:val="BodyText"/>
      </w:pPr>
      <w:r>
        <w:rPr>
          <w:bCs/>
          <w:b/>
        </w:rPr>
        <w:t xml:space="preserve">判定逻辑</w:t>
      </w:r>
      <w:r>
        <w:t xml:space="preserve">：</w:t>
      </w:r>
      <w:r>
        <w:t xml:space="preserve"> </w:t>
      </w:r>
      <w:r>
        <w:t xml:space="preserve">- 若主方法在 128/512 上相对基线保持“同步下降”（Rel-L2 与 (H_{</w:t>
      </w:r>
      <w:r>
        <w:t xml:space="preserve">}) 同向改善），支持命题3；</w:t>
      </w:r>
      <w:r>
        <w:t xml:space="preserve"> </w:t>
      </w:r>
      <w:r>
        <w:t xml:space="preserve">- 若出现单一分辨率异常退化，进入 7.3.2 的诊断流程。</w:t>
      </w:r>
    </w:p>
    <w:p>
      <w:r>
        <w:pict>
          <v:rect style="width:0;height:1.5pt" o:hralign="center" o:hrstd="t" o:hr="t"/>
        </w:pict>
      </w:r>
    </w:p>
    <w:bookmarkEnd w:id="28"/>
    <w:bookmarkStart w:id="29" w:name="异常诊断流程口径-别名-阈值"/>
    <w:p>
      <w:pPr>
        <w:pStyle w:val="Heading3"/>
      </w:pPr>
      <w:r>
        <w:t xml:space="preserve">7.3.2 异常诊断流程：口径 → 别名 → 阈值</w:t>
      </w:r>
    </w:p>
    <w:p>
      <w:pPr>
        <w:pStyle w:val="FirstParagraph"/>
      </w:pPr>
      <w:r>
        <w:t xml:space="preserve">当出现“256 上好、512 上崩（或相反）”的异常，需要按以下顺序定位原因，并将诊断记录写入</w:t>
      </w:r>
      <w:r>
        <w:t xml:space="preserve"> </w:t>
      </w:r>
      <w:r>
        <w:rPr>
          <w:rStyle w:val="VerbatimChar"/>
        </w:rPr>
        <w:t xml:space="preserve">paper_package/metrics/diagnosis_log.md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口径复核</w:t>
      </w:r>
      <w:r>
        <w:t xml:space="preserve">：重新运行</w:t>
      </w:r>
      <w:r>
        <w:t xml:space="preserve"> </w:t>
      </w:r>
      <w:r>
        <w:rPr>
          <w:rStyle w:val="VerbatimChar"/>
        </w:rPr>
        <w:t xml:space="preserve">check_dc_equivalence.py</w:t>
      </w:r>
      <w:r>
        <w:t xml:space="preserve">，确认 (</w:t>
      </w:r>
      <w:r>
        <w:t xml:space="preserve">H) 仍通过（优先排除口径漂移）。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别名/混叠诊断</w:t>
      </w:r>
      <w:r>
        <w:t xml:space="preserve">：对比不同分辨率的功率谱与误差谱，检查是否出现“能量折叠”或特定频带异常尖峰。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阈值自适应</w:t>
      </w:r>
      <w:r>
        <w:t xml:space="preserve">：当分辨率改变导致“低频集合语义漂移”，需要将 (k_{</w:t>
      </w:r>
      <w:r>
        <w:t xml:space="preserve">}) 改为“按比例阈值”（例如按 Nyquist 比例），并在附录报告替代口径的影响。</w:t>
      </w:r>
    </w:p>
    <w:p>
      <w:pPr>
        <w:pStyle w:val="BlockText"/>
      </w:pPr>
      <w:r>
        <w:rPr>
          <w:bCs/>
          <w:b/>
        </w:rPr>
        <w:t xml:space="preserve">背景引用（写作定位）</w:t>
      </w:r>
      <w:r>
        <w:t xml:space="preserve">：别名无关（alias-free）的算子学习框架将“表示别名”作为跨网格不稳定的重要来源之一，可用作第4章理论背景与本章诊断流程的文献支撑。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统计显著性与效应量统一协议避免口径混用"/>
    <w:p>
      <w:pPr>
        <w:pStyle w:val="Heading2"/>
      </w:pPr>
      <w:r>
        <w:t xml:space="preserve">7.4 统计显著性与效应量（统一协议，避免口径混用）</w:t>
      </w:r>
    </w:p>
    <w:bookmarkStart w:id="31" w:name="paired-t-test以同一样本对为统计单位"/>
    <w:p>
      <w:pPr>
        <w:pStyle w:val="Heading3"/>
      </w:pPr>
      <w:r>
        <w:t xml:space="preserve">7.4.1 paired t-test：以“同一样本对”为统计单位</w:t>
      </w:r>
    </w:p>
    <w:p>
      <w:pPr>
        <w:pStyle w:val="FirstParagraph"/>
      </w:pPr>
      <w:r>
        <w:t xml:space="preserve">配对检验必须以</w:t>
      </w:r>
      <w:r>
        <w:rPr>
          <w:bCs/>
          <w:b/>
        </w:rPr>
        <w:t xml:space="preserve">同一测试样本</w:t>
      </w:r>
      <w:r>
        <w:t xml:space="preserve">为配对单位。对每个 seed 的一次完整训练—评测，记录测试集样本级指标序列：</w:t>
      </w:r>
      <w:r>
        <w:t xml:space="preserve"> </w:t>
      </w:r>
      <w:r>
        <w:t xml:space="preserve">[</w:t>
      </w:r>
      <w:r>
        <w:t xml:space="preserve"> </w:t>
      </w:r>
      <w:r>
        <w:t xml:space="preserve">a_j=</w:t>
      </w:r>
      <w:r>
        <w:t xml:space="preserve">^{(</w:t>
      </w:r>
      <w:r>
        <w:t xml:space="preserve">)}_j,</w:t>
      </w:r>
      <w:r>
        <w:t xml:space="preserve"> </w:t>
      </w:r>
      <w:r>
        <w:t xml:space="preserve">b_j=</w:t>
      </w:r>
      <w:r>
        <w:t xml:space="preserve">^{(</w:t>
      </w:r>
      <w:r>
        <w:t xml:space="preserve">)}</w:t>
      </w:r>
      <w:r>
        <w:rPr>
          <w:iCs/>
          <w:i/>
        </w:rPr>
        <w:t xml:space="preserve">j,</w:t>
      </w:r>
      <w:r>
        <w:rPr>
          <w:iCs/>
          <w:i/>
        </w:rPr>
        <w:t xml:space="preserve"> </w:t>
      </w:r>
      <w:r>
        <w:rPr>
          <w:iCs/>
          <w:i/>
        </w:rPr>
        <w:t xml:space="preserve">d_j=a_j-b_j,</w:t>
      </w:r>
      <w:r>
        <w:rPr>
          <w:iCs/>
          <w:i/>
        </w:rPr>
        <w:t xml:space="preserve">j=1,</w:t>
      </w:r>
      <w:r>
        <w:rPr>
          <w:iCs/>
          <w:i/>
        </w:rPr>
        <w:t xml:space="preserve">,N</w:t>
      </w:r>
      <w:r>
        <w:t xml:space="preserve">{</w:t>
      </w:r>
      <w:r>
        <w:t xml:space="preserve">}.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对 ({d_j}) 做 paired t-test，报告 (t)、p-value、以及 (</w:t>
      </w:r>
      <w:r>
        <w:t xml:space="preserve">d</w:t>
      </w:r>
      <w:r>
        <w:t xml:space="preserve"> </w:t>
      </w:r>
      <w:r>
        <w:t xml:space="preserve">s_d)。</w:t>
      </w:r>
    </w:p>
    <w:p>
      <w:pPr>
        <w:pStyle w:val="BodyText"/>
      </w:pPr>
      <w:r>
        <w:rPr>
          <w:bCs/>
          <w:b/>
        </w:rPr>
        <w:t xml:space="preserve">多 seed 呈现</w:t>
      </w:r>
      <w:r>
        <w:t xml:space="preserve">（建议二选一，写清楚即可）：</w:t>
      </w:r>
      <w:r>
        <w:t xml:space="preserve"> </w:t>
      </w:r>
      <w:r>
        <w:t xml:space="preserve">- 方案A：每个 seed 单独检验，报告 p-value 的分布（min/median/max）；</w:t>
      </w:r>
      <w:r>
        <w:t xml:space="preserve"> </w:t>
      </w:r>
      <w:r>
        <w:t xml:space="preserve">- 方案B：对每个样本先对 seed 求平均 (</w:t>
      </w:r>
      <w:r>
        <w:t xml:space="preserve">a_j,</w:t>
      </w:r>
      <w:r>
        <w:t xml:space="preserve">b_j)，再对 (</w:t>
      </w:r>
      <w:r>
        <w:t xml:space="preserve">d_j) 做 paired t-test（强调“跨 seed 稳健平均”）。</w:t>
      </w:r>
    </w:p>
    <w:p>
      <w:pPr>
        <w:pStyle w:val="BlockText"/>
      </w:pPr>
      <w:r>
        <w:rPr>
          <w:bCs/>
          <w:b/>
        </w:rPr>
        <w:t xml:space="preserve">多重比较声明</w:t>
      </w:r>
      <w:r>
        <w:t xml:space="preserve">：当同时比较多个 PDE 场景/多个模型，主结论仅绑定“主对照组”，其余比较放入附录并说明控制策略（FDR 或保守校正）。</w:t>
      </w:r>
    </w:p>
    <w:p>
      <w:r>
        <w:pict>
          <v:rect style="width:0;height:1.5pt" o:hralign="center" o:hrstd="t" o:hr="t"/>
        </w:pict>
      </w:r>
    </w:p>
    <w:bookmarkEnd w:id="31"/>
    <w:bookmarkStart w:id="32" w:name="配对-cohens-d-与置信区间"/>
    <w:p>
      <w:pPr>
        <w:pStyle w:val="Heading3"/>
      </w:pPr>
      <w:r>
        <w:t xml:space="preserve">7.4.2 配对 Cohen’s (d) 与置信区间</w:t>
      </w:r>
    </w:p>
    <w:p>
      <w:pPr>
        <w:pStyle w:val="FirstParagraph"/>
      </w:pPr>
      <w:r>
        <w:t xml:space="preserve">配对效应量定义为</w:t>
      </w:r>
      <w:r>
        <w:t xml:space="preserve"> </w:t>
      </w:r>
      <w:r>
        <w:t xml:space="preserve">[</w:t>
      </w:r>
      <w:r>
        <w:t xml:space="preserve"> </w:t>
      </w:r>
      <w:r>
        <w:t xml:space="preserve">d=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其中 (</w:t>
      </w:r>
      <w:r>
        <w:t xml:space="preserve">d) 与 (s_d) 来自 (7-9)。为避免正态性假设过强，置信区间建议采用 bootstrap（对样本索引 (j) 重采样）。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可复现性验证确定性快照指纹"/>
    <w:p>
      <w:pPr>
        <w:pStyle w:val="Heading2"/>
      </w:pPr>
      <w:r>
        <w:t xml:space="preserve">7.5 可复现性验证（确定性、快照、指纹）</w:t>
      </w:r>
    </w:p>
    <w:bookmarkStart w:id="34" w:name="确定性设置与方差门槛"/>
    <w:p>
      <w:pPr>
        <w:pStyle w:val="Heading3"/>
      </w:pPr>
      <w:r>
        <w:t xml:space="preserve">7.5.1 确定性设置与方差门槛</w:t>
      </w:r>
    </w:p>
    <w:p>
      <w:pPr>
        <w:pStyle w:val="FirstParagraph"/>
      </w:pPr>
      <w:r>
        <w:rPr>
          <w:bCs/>
          <w:b/>
        </w:rPr>
        <w:t xml:space="preserve">目标门槛</w:t>
      </w:r>
      <w:r>
        <w:t xml:space="preserve">：同一 YAML + 同一种子条件下，多次运行关键指标方差 (</w:t>
      </w:r>
      <w:r>
        <w:t xml:space="preserve">^{-4})（写入第6章自检清单）。</w:t>
      </w:r>
    </w:p>
    <w:p>
      <w:pPr>
        <w:pStyle w:val="BodyText"/>
      </w:pPr>
      <w:r>
        <w:rPr>
          <w:bCs/>
          <w:b/>
        </w:rPr>
        <w:t xml:space="preserve">必要记录</w:t>
      </w:r>
      <w:r>
        <w:t xml:space="preserve">（必须写入</w:t>
      </w:r>
      <w:r>
        <w:t xml:space="preserve"> </w:t>
      </w:r>
      <w:r>
        <w:rPr>
          <w:rStyle w:val="VerbatimChar"/>
        </w:rPr>
        <w:t xml:space="preserve">env_fingerprint.json</w:t>
      </w:r>
      <w:r>
        <w:t xml:space="preserve">）：</w:t>
      </w:r>
      <w:r>
        <w:t xml:space="preserve"> </w:t>
      </w:r>
      <w:r>
        <w:t xml:space="preserve">- Python / NumPy / PyTorch seed</w:t>
      </w:r>
      <w:r>
        <w:t xml:space="preserve"> </w:t>
      </w:r>
      <w:r>
        <w:t xml:space="preserve">- cuDNN deterministic / benchmark 开关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torch.use_deterministic_algorithms</w:t>
      </w:r>
      <w:r>
        <w:t xml:space="preserve"> </w:t>
      </w:r>
      <w:r>
        <w:t xml:space="preserve">与 debug mode（是否启用、告警级别）</w:t>
      </w:r>
      <w:r>
        <w:t xml:space="preserve"> </w:t>
      </w:r>
      <w:r>
        <w:t xml:space="preserve">- AMP 开关与 scaler 配置</w:t>
      </w:r>
      <w:r>
        <w:t xml:space="preserve"> </w:t>
      </w:r>
      <w:r>
        <w:t xml:space="preserve">- GPU/驱动/CUDA/torch 版本、算子后端信息</w:t>
      </w:r>
    </w:p>
    <w:bookmarkEnd w:id="34"/>
    <w:bookmarkStart w:id="35" w:name="可复现材料闭环检查强制"/>
    <w:p>
      <w:pPr>
        <w:pStyle w:val="Heading3"/>
      </w:pPr>
      <w:r>
        <w:t xml:space="preserve">7.5.2 可复现材料闭环检查（强制）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runs/&lt;exp&gt;/config_merged.yaml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runs/&lt;exp&gt;/env_fingerprint.json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runs/&lt;exp&gt;/consistency_report.json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paper_package/scripts/</w:t>
      </w:r>
      <w:r>
        <w:t xml:space="preserve">（一键复现 + 汇总 + 显著性 + 画图）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paper_package/metrics/</w:t>
      </w:r>
      <w:r>
        <w:t xml:space="preserve">（主表、显著性、资源表、诊断日志）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paper_package/figs/</w:t>
      </w:r>
      <w:r>
        <w:t xml:space="preserve">（代表案例、失败案例、功率谱、边界带放大）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章节小结命题-证据-文件"/>
    <w:p>
      <w:pPr>
        <w:pStyle w:val="Heading2"/>
      </w:pPr>
      <w:r>
        <w:t xml:space="preserve">7.6 章节小结（命题 → 证据 → 文件）</w:t>
      </w:r>
    </w:p>
    <w:p>
      <w:pPr>
        <w:pStyle w:val="FirstParagraph"/>
      </w:pPr>
      <w:r>
        <w:t xml:space="preserve">本章将第4章三条理论命题落实为可核验证据链：</w:t>
      </w:r>
    </w:p>
    <w:p>
      <w:pPr>
        <w:numPr>
          <w:ilvl w:val="0"/>
          <w:numId w:val="1005"/>
        </w:numPr>
        <w:pStyle w:val="Compact"/>
      </w:pPr>
      <w:r>
        <w:t xml:space="preserve">命题1：以</w:t>
      </w:r>
      <w:r>
        <w:t xml:space="preserve"> </w:t>
      </w:r>
      <w:r>
        <w:rPr>
          <w:rStyle w:val="VerbatimChar"/>
        </w:rPr>
        <w:t xml:space="preserve">check_dc_equivalence.py</w:t>
      </w:r>
      <w:r>
        <w:t xml:space="preserve"> </w:t>
      </w:r>
      <w:r>
        <w:t xml:space="preserve">的硬门槛 + 相关性增强 + 口径错配负例，证明“口径一致性”可显著抑制评测断裂；</w:t>
      </w:r>
    </w:p>
    <w:p>
      <w:pPr>
        <w:numPr>
          <w:ilvl w:val="0"/>
          <w:numId w:val="1005"/>
        </w:numPr>
        <w:pStyle w:val="Compact"/>
      </w:pPr>
      <w:r>
        <w:t xml:space="preserve">命题2：以 (L_{</w:t>
      </w:r>
      <w:r>
        <w:t xml:space="preserve">}) 消融与 ((k_{</w:t>
      </w:r>
      <w:r>
        <w:t xml:space="preserve">},</w:t>
      </w:r>
      <w:r>
        <w:t xml:space="preserve">_s)) 扫描，证明低频约束对大尺度结构稳定与口径同步改善具有可重复收益；</w:t>
      </w:r>
    </w:p>
    <w:p>
      <w:pPr>
        <w:numPr>
          <w:ilvl w:val="0"/>
          <w:numId w:val="1005"/>
        </w:numPr>
        <w:pStyle w:val="Compact"/>
      </w:pPr>
      <w:r>
        <w:t xml:space="preserve">命题3：以跨分辨率评测与“口径→别名→阈值”的诊断流程，证明跨网格异常可定位、可解释、可修复。</w:t>
      </w:r>
    </w:p>
    <w:p>
      <w:pPr>
        <w:pStyle w:val="FirstParagraph"/>
      </w:pPr>
      <w:r>
        <w:t xml:space="preserve">上述验证的全部中间产物均落地到</w:t>
      </w:r>
      <w:r>
        <w:t xml:space="preserve"> </w:t>
      </w:r>
      <w:r>
        <w:rPr>
          <w:rStyle w:val="VerbatimChar"/>
        </w:rPr>
        <w:t xml:space="preserve">runs/&lt;exp&gt;/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paper_package/</w:t>
      </w:r>
      <w:r>
        <w:t xml:space="preserve">，从而满足“可复现、可审计、可复核”的研究生论文要求。</w:t>
      </w:r>
    </w:p>
    <w:p>
      <w:pPr>
        <w:pStyle w:val="BodyText"/>
      </w:pPr>
      <w:r>
        <w:t xml:space="preserve">验证了方法的理论一致性与鲁棒性后，第8章将进一步跳出具体指标，从更宏观的视角讨论本研究在物理意义（如能量谱）、局限性（如极端工况失效）以及未来扩展（如三维场、大模型结合）方面的思考。</w:t>
      </w:r>
    </w:p>
    <w:p>
      <w:r>
        <w:pict>
          <v:rect style="width:0;height:1.5pt" o:hralign="center" o:hrstd="t" o:hr="t"/>
        </w:pict>
      </w:r>
    </w:p>
    <w:bookmarkEnd w:id="37"/>
    <w:bookmarkStart w:id="38" w:name="参考文献apa-7本章引用且可核验"/>
    <w:p>
      <w:pPr>
        <w:pStyle w:val="Heading2"/>
      </w:pPr>
      <w:r>
        <w:t xml:space="preserve">参考文献（APA 7；本章引用且可核验）</w:t>
      </w:r>
    </w:p>
    <w:p>
      <w:pPr>
        <w:numPr>
          <w:ilvl w:val="0"/>
          <w:numId w:val="1006"/>
        </w:numPr>
        <w:pStyle w:val="Compact"/>
      </w:pPr>
      <w:r>
        <w:t xml:space="preserve">Bartolucci, F., de Bézenac, E., Raonić, B., Molinaro, R., Mishra, S., &amp; Alaifari, R. (2023).</w:t>
      </w:r>
      <w:r>
        <w:t xml:space="preserve"> </w:t>
      </w:r>
      <w:r>
        <w:rPr>
          <w:iCs/>
          <w:i/>
        </w:rPr>
        <w:t xml:space="preserve">Representation equivalent neural operators: A framework for alias-free operator learning</w:t>
      </w:r>
      <w:r>
        <w:t xml:space="preserve"> </w:t>
      </w:r>
      <w:r>
        <w:t xml:space="preserve">(arXiv:2305.19913). arXiv.</w:t>
      </w:r>
    </w:p>
    <w:p>
      <w:pPr>
        <w:numPr>
          <w:ilvl w:val="0"/>
          <w:numId w:val="1006"/>
        </w:numPr>
        <w:pStyle w:val="Compact"/>
      </w:pPr>
      <w:r>
        <w:t xml:space="preserve">Gosset, W. S. (1908). The probable error of a mean.</w:t>
      </w:r>
      <w:r>
        <w:t xml:space="preserve"> </w:t>
      </w:r>
      <w:r>
        <w:rPr>
          <w:iCs/>
          <w:i/>
        </w:rPr>
        <w:t xml:space="preserve">Biometrika, 6</w:t>
      </w:r>
      <w:r>
        <w:t xml:space="preserve">(1), 1–25. https://doi.org/10.1093/biomet/6.1.1</w:t>
      </w:r>
    </w:p>
    <w:p>
      <w:pPr>
        <w:numPr>
          <w:ilvl w:val="0"/>
          <w:numId w:val="1006"/>
        </w:numPr>
        <w:pStyle w:val="Compact"/>
      </w:pPr>
      <w:r>
        <w:t xml:space="preserve">Takamoto, M., Praditia, T., Leiteritz, R., MacKinlay, D., Alesiani, F., Pflüger, D., &amp; Niepert, M. (2022).</w:t>
      </w:r>
      <w:r>
        <w:t xml:space="preserve"> </w:t>
      </w:r>
      <w:r>
        <w:rPr>
          <w:iCs/>
          <w:i/>
        </w:rPr>
        <w:t xml:space="preserve">PDEBench: An extensive benchmark for scientific machine learning</w:t>
      </w:r>
      <w:r>
        <w:t xml:space="preserve"> </w:t>
      </w:r>
      <w:r>
        <w:t xml:space="preserve">(arXiv:2210.07182). arXiv.</w:t>
      </w:r>
    </w:p>
    <w:p>
      <w:pPr>
        <w:numPr>
          <w:ilvl w:val="0"/>
          <w:numId w:val="1006"/>
        </w:numPr>
        <w:pStyle w:val="Compact"/>
      </w:pPr>
      <w:r>
        <w:t xml:space="preserve">Takamoto, M., Praditia, T., Leiteritz, R., MacKinlay, D., Alesiani, F., Pflüger, D., &amp; Niepert, M. (2022).</w:t>
      </w:r>
      <w:r>
        <w:t xml:space="preserve"> </w:t>
      </w:r>
      <w:r>
        <w:rPr>
          <w:iCs/>
          <w:i/>
        </w:rPr>
        <w:t xml:space="preserve">PDEBench</w:t>
      </w:r>
      <w:r>
        <w:t xml:space="preserve"> </w:t>
      </w:r>
      <w:r>
        <w:t xml:space="preserve">(Version 1.0) [Data set]. DaRUS. https://doi.org/10.18419/darus-2986</w:t>
      </w:r>
    </w:p>
    <w:p>
      <w:pPr>
        <w:numPr>
          <w:ilvl w:val="0"/>
          <w:numId w:val="1006"/>
        </w:numPr>
        <w:pStyle w:val="Compact"/>
      </w:pPr>
      <w:r>
        <w:t xml:space="preserve">Wang, S., Sankaran, S., &amp; Perdikaris, P. (2022).</w:t>
      </w:r>
      <w:r>
        <w:t xml:space="preserve"> </w:t>
      </w:r>
      <w:r>
        <w:rPr>
          <w:iCs/>
          <w:i/>
        </w:rPr>
        <w:t xml:space="preserve">Respecting causality is all you need for training physics-informed neural networks</w:t>
      </w:r>
      <w:r>
        <w:t xml:space="preserve"> </w:t>
      </w:r>
      <w:r>
        <w:t xml:space="preserve">(arXiv:2203.07404). arXiv.</w:t>
      </w:r>
    </w:p>
    <w:p>
      <w:pPr>
        <w:numPr>
          <w:ilvl w:val="0"/>
          <w:numId w:val="1006"/>
        </w:numPr>
        <w:pStyle w:val="Compact"/>
      </w:pPr>
      <w:r>
        <w:t xml:space="preserve">PyTorch Contributors. (n.d.).</w:t>
      </w:r>
      <w:r>
        <w:t xml:space="preserve"> </w:t>
      </w:r>
      <w:r>
        <w:rPr>
          <w:iCs/>
          <w:i/>
        </w:rPr>
        <w:t xml:space="preserve">Reproducibility</w:t>
      </w:r>
      <w:r>
        <w:t xml:space="preserve">. In</w:t>
      </w:r>
      <w:r>
        <w:t xml:space="preserve"> </w:t>
      </w:r>
      <w:r>
        <w:rPr>
          <w:iCs/>
          <w:i/>
        </w:rPr>
        <w:t xml:space="preserve">PyTorch documentation</w:t>
      </w:r>
      <w:r>
        <w:t xml:space="preserve">. https://docs.pytorch.org/docs/stable/notes/randomness.html</w:t>
      </w:r>
    </w:p>
    <w:p>
      <w:pPr>
        <w:numPr>
          <w:ilvl w:val="0"/>
          <w:numId w:val="1006"/>
        </w:numPr>
        <w:pStyle w:val="Compact"/>
      </w:pPr>
      <w:r>
        <w:t xml:space="preserve">PyTorch Contributors. (n.d.).</w:t>
      </w:r>
      <w:r>
        <w:t xml:space="preserve"> </w:t>
      </w:r>
      <w:r>
        <w:rPr>
          <w:iCs/>
          <w:i/>
        </w:rPr>
        <w:t xml:space="preserve">torch.use_deterministic_algorithms</w:t>
      </w:r>
      <w:r>
        <w:t xml:space="preserve">. In</w:t>
      </w:r>
      <w:r>
        <w:t xml:space="preserve"> </w:t>
      </w:r>
      <w:r>
        <w:rPr>
          <w:iCs/>
          <w:i/>
        </w:rPr>
        <w:t xml:space="preserve">PyTorch documentation</w:t>
      </w:r>
      <w:r>
        <w:t xml:space="preserve">. https://docs.pytorch.org/docs/stable/generated/torch.use_deterministic_algorithms.html</w:t>
      </w:r>
    </w:p>
    <w:p>
      <w:pPr>
        <w:numPr>
          <w:ilvl w:val="0"/>
          <w:numId w:val="1006"/>
        </w:numPr>
        <w:pStyle w:val="Compact"/>
      </w:pPr>
      <w:r>
        <w:t xml:space="preserve">PyTorch Contributors. (n.d.).</w:t>
      </w:r>
      <w:r>
        <w:t xml:space="preserve"> </w:t>
      </w:r>
      <w:r>
        <w:rPr>
          <w:iCs/>
          <w:i/>
        </w:rPr>
        <w:t xml:space="preserve">torch.set_deterministic_debug_mode</w:t>
      </w:r>
      <w:r>
        <w:t xml:space="preserve">. In</w:t>
      </w:r>
      <w:r>
        <w:t xml:space="preserve"> </w:t>
      </w:r>
      <w:r>
        <w:rPr>
          <w:iCs/>
          <w:i/>
        </w:rPr>
        <w:t xml:space="preserve">PyTorch documentation</w:t>
      </w:r>
      <w:r>
        <w:t xml:space="preserve">. https://docs.pytorch.org/docs/stable/generated/torch.set_deterministic_debug_mode.html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最后更新：2026-01-01</w:t>
      </w:r>
    </w:p>
    <w:bookmarkEnd w:id="38"/>
    <w:bookmarkEnd w:id="39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2026-01-17T17:20:19Z</dcterms:created>
  <dcterms:modified xsi:type="dcterms:W3CDTF">2026-01-17T17:20:19Z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