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1001"/>
        </w:numPr>
        <w:pStyle w:val="Heading1"/>
      </w:pPr>
      <w:bookmarkStart w:id="20" w:name="第8章-讨论经润色与扩写"/>
      <w:r>
        <w:t xml:space="preserve">第8章 讨论（经润色与扩写）</w:t>
      </w:r>
      <w:bookmarkEnd w:id="20"/>
    </w:p>
    <w:bookmarkStart w:id="21" w:name="引言"/>
    <w:p>
      <w:pPr>
        <w:pStyle w:val="Heading2"/>
      </w:pPr>
      <w:r>
        <w:t xml:space="preserve">8.0 引言</w:t>
      </w:r>
    </w:p>
    <w:p>
      <w:pPr>
        <w:pStyle w:val="FirstParagraph"/>
      </w:pPr>
      <w:r>
        <w:t xml:space="preserve">承接第7章的理论验证，我们已经确认了模型在标准统计意义下的有效性与鲁棒性。本章将跳出单纯的误差指标，从更深层的物理意义、方法论边界以及工程代价三个维度进行批判性讨论。这不仅是对实验结果的解释，更是对“如何构建可信科学计算模型”这一问题的深入思考。</w:t>
      </w:r>
    </w:p>
    <w:bookmarkEnd w:id="21"/>
    <w:bookmarkStart w:id="28" w:name="方法优势与机理解释"/>
    <w:p>
      <w:pPr>
        <w:pStyle w:val="Heading2"/>
      </w:pPr>
      <w:r>
        <w:t xml:space="preserve">8.1 方法优势与机理解释</w:t>
      </w:r>
    </w:p>
    <w:bookmarkStart w:id="23" w:name="口径一致性带来的评测可控性"/>
    <w:p>
      <w:pPr>
        <w:pStyle w:val="Heading3"/>
      </w:pPr>
      <w:r>
        <w:t xml:space="preserve">8.1.1 口径一致性带来的“评测可控性”</w:t>
      </w:r>
    </w:p>
    <w:p>
      <w:pPr>
        <w:pStyle w:val="FirstParagraph"/>
      </w:pPr>
      <w:r>
        <w:t xml:space="preserve">本文将观测算子</w:t>
      </w:r>
      <w:r>
        <w:t xml:space="preserve"> </w:t>
      </w:r>
      <w:r>
        <w:rPr>
          <w:bCs/>
          <w:b/>
        </w:rPr>
        <w:t xml:space="preserve">H</w:t>
      </w:r>
      <w:r>
        <w:t xml:space="preserve"> </w:t>
      </w:r>
      <w:r>
        <w:t xml:space="preserve">与训练退化</w:t>
      </w:r>
      <w:r>
        <w:t xml:space="preserve"> </w:t>
      </w:r>
      <w:r>
        <w:rPr>
          <w:bCs/>
          <w:b/>
        </w:rPr>
        <w:t xml:space="preserve">DC</w:t>
      </w:r>
      <w:r>
        <w:t xml:space="preserve"> </w:t>
      </w:r>
      <w:r>
        <w:t xml:space="preserve">绑定为同一实现与同一参数镜像，本质上把“评测口径”显式纳入训练闭环：模型不再只追求在数学真值域 (|</w:t>
      </w:r>
      <w:r>
        <w:t xml:space="preserve">u-u|) 上变好，而是同时被约束在</w:t>
      </w:r>
      <w:r>
        <w:rPr>
          <w:bCs/>
          <w:b/>
        </w:rPr>
        <w:t xml:space="preserve">观测域</w:t>
      </w:r>
      <w:r>
        <w:t xml:space="preserve"> </w:t>
      </w:r>
      <w:r>
        <w:t xml:space="preserve">(|H(</w:t>
      </w:r>
      <w:r>
        <w:t xml:space="preserve">u)-y|) 上变好，从而减少训练与评测之间的隐性域偏差（domain shift）。这一做法与近年来对 PINN/物理学习数值稳定性与误差来源的系统分析所强调的“训练目标必须与实际约束一致”的观点一致。 (</w:t>
      </w:r>
      <w:hyperlink r:id="rId22">
        <w:r>
          <w:rPr>
            <w:rStyle w:val="Hyperlink"/>
          </w:rPr>
          <w:t xml:space="preserve">doi.org</w:t>
        </w:r>
      </w:hyperlink>
      <w:r>
        <w:t xml:space="preserve">)</w:t>
      </w:r>
    </w:p>
    <w:bookmarkEnd w:id="23"/>
    <w:bookmarkStart w:id="24" w:name="三件套损失的互补约束结构"/>
    <w:p>
      <w:pPr>
        <w:pStyle w:val="Heading3"/>
      </w:pPr>
      <w:r>
        <w:t xml:space="preserve">8.1.2 三件套损失的“互补约束结构”</w:t>
      </w:r>
    </w:p>
    <w:p>
      <w:pPr>
        <w:numPr>
          <w:ilvl w:val="0"/>
          <w:numId w:val="1002"/>
        </w:numPr>
        <w:pStyle w:val="Compact"/>
      </w:pPr>
      <w:r>
        <w:rPr>
          <w:bCs/>
          <w:b/>
        </w:rPr>
        <w:t xml:space="preserve">(L_{rec})</w:t>
      </w:r>
      <w:r>
        <w:t xml:space="preserve">（z-score 域点误差）提供局部逐点一致性，保证整体拟合能力；</w:t>
      </w:r>
    </w:p>
    <w:p>
      <w:pPr>
        <w:numPr>
          <w:ilvl w:val="0"/>
          <w:numId w:val="1002"/>
        </w:numPr>
        <w:pStyle w:val="Compact"/>
      </w:pPr>
      <w:r>
        <w:rPr>
          <w:bCs/>
          <w:b/>
        </w:rPr>
        <w:t xml:space="preserve">(L_{spec})</w:t>
      </w:r>
      <w:r>
        <w:t xml:space="preserve">（低频谱一致性）在大尺度结构上施加约束，缓解仅优化点误差时常见的谱域偏置与结构性漂移；</w:t>
      </w:r>
    </w:p>
    <w:p>
      <w:pPr>
        <w:numPr>
          <w:ilvl w:val="0"/>
          <w:numId w:val="1002"/>
        </w:numPr>
        <w:pStyle w:val="Compact"/>
      </w:pPr>
      <w:r>
        <w:rPr>
          <w:bCs/>
          <w:b/>
        </w:rPr>
        <w:t xml:space="preserve">(L_{dc})</w:t>
      </w:r>
      <w:r>
        <w:t xml:space="preserve">（原值域观测一致性）将训练目标锚定到评测口径，使</w:t>
      </w:r>
      <w:r>
        <w:t xml:space="preserve"> </w:t>
      </w:r>
      <m:oMath>
        <m:sSub>
          <m:e>
            <m:r>
              <m:t>H</m:t>
            </m:r>
          </m:e>
          <m:sub>
            <m:r>
              <m:rPr>
                <m:sty m:val="p"/>
              </m:rPr>
              <m:t>e</m:t>
            </m:r>
            <m:r>
              <m:rPr>
                <m:sty m:val="p"/>
              </m:rPr>
              <m:t>r</m:t>
            </m:r>
            <m:r>
              <m:rPr>
                <m:sty m:val="p"/>
              </m:rPr>
              <m:t>r</m:t>
            </m:r>
          </m:sub>
        </m:sSub>
        <m:r>
          <m:rPr>
            <m:sty m:val="p"/>
          </m:rPr>
          <m:t>≡</m:t>
        </m:r>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oMath>
      <w:r>
        <w:t xml:space="preserve"> </w:t>
      </w:r>
      <w:r>
        <w:t xml:space="preserve">与 Rel-L2 的变化趋势更一致，从而降低“指标断裂”。</w:t>
      </w:r>
    </w:p>
    <w:p>
      <w:pPr>
        <w:pStyle w:val="FirstParagraph"/>
      </w:pPr>
      <w:r>
        <w:t xml:space="preserve">三者形成“真值域—谱域—观测域”的互补约束，能解释第6章中观察到的同步下降现象（当 H/DC 复用成立时尤为明显）。</w:t>
      </w:r>
    </w:p>
    <w:bookmarkEnd w:id="24"/>
    <w:bookmarkStart w:id="25" w:name="统一接口与确定性训练提高横向可比性"/>
    <w:p>
      <w:pPr>
        <w:pStyle w:val="Heading3"/>
      </w:pPr>
      <w:r>
        <w:t xml:space="preserve">8.1.3 统一接口与确定性训练提高“横向可比性”</w:t>
      </w:r>
    </w:p>
    <w:p>
      <w:pPr>
        <w:pStyle w:val="FirstParagraph"/>
      </w:pPr>
      <w:r>
        <w:t xml:space="preserve">统一接口（输入打包与</w:t>
      </w:r>
      <w:r>
        <w:t xml:space="preserve"> </w:t>
      </w:r>
      <w:r>
        <w:rPr>
          <w:rStyle w:val="VerbatimChar"/>
        </w:rPr>
        <w:t xml:space="preserve">forward</w:t>
      </w:r>
      <w:r>
        <w:t xml:space="preserve"> </w:t>
      </w:r>
      <w:r>
        <w:t xml:space="preserve">契约）+ 固定切分/标准化 + 配置快照/环境指纹，使得不同模型（FNO/DeepONet/ConvLSTM/Transformer 变体）之间的差异更集中地反映为“方法差异”，而不是工程差异。这一点与科学机器学习领域对可复现协议与误差归因的主流建议相一致。 (</w:t>
      </w:r>
      <w:hyperlink r:id="rId22">
        <w:r>
          <w:rPr>
            <w:rStyle w:val="Hyperlink"/>
          </w:rPr>
          <w:t xml:space="preserve">doi.org</w:t>
        </w:r>
      </w:hyperlink>
      <w:r>
        <w:t xml:space="preserve">)</w:t>
      </w:r>
    </w:p>
    <w:bookmarkEnd w:id="25"/>
    <w:bookmarkStart w:id="26" w:name="X5afa80156fc924dc33819c05e763bb6192eb633"/>
    <w:p>
      <w:pPr>
        <w:pStyle w:val="Heading3"/>
      </w:pPr>
      <w:r>
        <w:t xml:space="preserve">8.1.4 物理一致性量化：高频能量谱误差分析 (Quantitative Spectral Error)</w:t>
      </w:r>
    </w:p>
    <w:p>
      <w:pPr>
        <w:pStyle w:val="FirstParagraph"/>
      </w:pPr>
      <w:r>
        <w:t xml:space="preserve">除了常规的逐点误差（MSE/Rel-L2），科学计算更关注模型是否恢复了正确的物理能谱（Energy Spectrum）。湍流理论指出，流体能量随波数</w:t>
      </w:r>
      <w:r>
        <w:t xml:space="preserve"> </w:t>
      </w:r>
      <m:oMath>
        <m:r>
          <m:t>k</m:t>
        </m:r>
      </m:oMath>
      <w:r>
        <w:t xml:space="preserve"> </w:t>
      </w:r>
      <w:r>
        <w:t xml:space="preserve">呈幂律衰减（如 Kolmogorov</w:t>
      </w:r>
      <w:r>
        <w:t xml:space="preserve"> </w:t>
      </w:r>
      <m:oMath>
        <m:r>
          <m:rPr>
            <m:sty m:val="p"/>
          </m:rPr>
          <m:t>−</m:t>
        </m:r>
        <m:r>
          <m:t>5</m:t>
        </m:r>
        <m:r>
          <m:rPr>
            <m:sty m:val="p"/>
          </m:rPr>
          <m:t>/</m:t>
        </m:r>
        <m:r>
          <m:t>3</m:t>
        </m:r>
      </m:oMath>
      <w:r>
        <w:t xml:space="preserve"> </w:t>
      </w:r>
      <w:r>
        <w:t xml:space="preserve">律）。</w:t>
      </w:r>
      <w:r>
        <w:t xml:space="preserve"> </w:t>
      </w:r>
      <w:r>
        <w:t xml:space="preserve">我们对预测场</w:t>
      </w:r>
      <w:r>
        <w:t xml:space="preserve"> </w:t>
      </w:r>
      <m:oMath>
        <m:acc>
          <m:accPr>
            <m:chr m:val="̂"/>
          </m:accPr>
          <m:e>
            <m:r>
              <m:t>u</m:t>
            </m:r>
          </m:e>
        </m:acc>
      </m:oMath>
      <w:r>
        <w:t xml:space="preserve"> </w:t>
      </w:r>
      <w:r>
        <w:t xml:space="preserve">与真值</w:t>
      </w:r>
      <w:r>
        <w:t xml:space="preserve"> </w:t>
      </w:r>
      <m:oMath>
        <m:r>
          <m:t>u</m:t>
        </m:r>
      </m:oMath>
      <w:r>
        <w:t xml:space="preserve"> </w:t>
      </w:r>
      <w:r>
        <w:t xml:space="preserve">计算了径向平均功率谱（Radially Averaged Power Spectrum），并定义了</w:t>
      </w:r>
      <w:r>
        <w:rPr>
          <w:bCs/>
          <w:b/>
        </w:rPr>
        <w:t xml:space="preserve">高频能量误差</w:t>
      </w:r>
      <w:r>
        <w:t xml:space="preserve">：</w:t>
      </w:r>
      <w:r>
        <w:t xml:space="preserve"> </w:t>
      </w:r>
      <w:r>
        <w:t xml:space="preserve">[</w:t>
      </w:r>
      <w:r>
        <w:t xml:space="preserve"> </w:t>
      </w:r>
      <w:r>
        <w:t xml:space="preserve">E_{high} =</w:t>
      </w:r>
      <w:r>
        <w:t xml:space="preserve"> </w:t>
      </w:r>
      <w:r>
        <w:rPr>
          <w:iCs/>
          <w:i/>
        </w:rPr>
        <w:t xml:space="preserve">{k</w:t>
      </w:r>
      <w:r>
        <w:t xml:space="preserve">{cut}}^{k_{Nyquist}} | E_{</w:t>
      </w:r>
      <w:r>
        <w:t xml:space="preserve">}(k) - E_u(k) | dk</w:t>
      </w:r>
      <w:r>
        <w:t xml:space="preserve"> </w:t>
      </w:r>
      <w:r>
        <w:t xml:space="preserve">]</w:t>
      </w:r>
      <w:r>
        <w:t xml:space="preserve"> </w:t>
      </w:r>
      <w:r>
        <w:t xml:space="preserve">结果显示（见第6章图谱），仅使用 MSE 损失的模型在</w:t>
      </w:r>
      <w:r>
        <w:t xml:space="preserve"> </w:t>
      </w:r>
      <m:oMath>
        <m:sSub>
          <m:e>
            <m:r>
              <m:t>E</m:t>
            </m:r>
          </m:e>
          <m:sub>
            <m:r>
              <m:t>h</m:t>
            </m:r>
            <m:r>
              <m:t>i</m:t>
            </m:r>
            <m:r>
              <m:t>g</m:t>
            </m:r>
            <m:r>
              <m:t>h</m:t>
            </m:r>
          </m:sub>
        </m:sSub>
      </m:oMath>
      <w:r>
        <w:t xml:space="preserve"> </w:t>
      </w:r>
      <w:r>
        <w:t xml:space="preserve">上存在显著偏差（通常表现为能量截断或非物理的噪声堆积）。而引入</w:t>
      </w:r>
      <w:r>
        <w:t xml:space="preserve"> </w:t>
      </w:r>
      <m:oMath>
        <m:sSub>
          <m:e>
            <m:r>
              <m:t>L</m:t>
            </m:r>
          </m:e>
          <m:sub>
            <m:r>
              <m:t>s</m:t>
            </m:r>
            <m:r>
              <m:t>p</m:t>
            </m:r>
            <m:r>
              <m:t>e</m:t>
            </m:r>
            <m:r>
              <m:t>c</m:t>
            </m:r>
          </m:sub>
        </m:sSub>
      </m:oMath>
      <w:r>
        <w:t xml:space="preserve"> </w:t>
      </w:r>
      <w:r>
        <w:t xml:space="preserve">与序列化训练后，模型在惯性子区（Inertial Subrange）的能谱斜率更接近理论值，证明了方法在统计物理层面的一致性。这一结论比单纯的视觉“逼真”更具说服力。</w:t>
      </w:r>
    </w:p>
    <w:bookmarkEnd w:id="26"/>
    <w:bookmarkStart w:id="27" w:name="Xfafe23e5a7388bc27c927a5a5dd16bb5336ff16"/>
    <w:p>
      <w:pPr>
        <w:pStyle w:val="Heading3"/>
      </w:pPr>
      <w:r>
        <w:t xml:space="preserve">8.1.5 物理约束对模型容量的补偿效应 (Inductive Bias Compensation)</w:t>
      </w:r>
    </w:p>
    <w:p>
      <w:pPr>
        <w:pStyle w:val="FirstParagraph"/>
      </w:pPr>
      <w:r>
        <w:t xml:space="preserve">通过对比不同容量模型（SOTA 级 EDSR vs 轻量级 U-Net）的实验结果（见表 6-1），我们发现物理约束带来的收益与模型自身的表达能力呈显著的</w:t>
      </w:r>
      <w:r>
        <w:rPr>
          <w:bCs/>
          <w:b/>
        </w:rPr>
        <w:t xml:space="preserve">互补关系</w:t>
      </w:r>
      <w:r>
        <w:t xml:space="preserve">：</w:t>
      </w:r>
    </w:p>
    <w:p>
      <w:pPr>
        <w:numPr>
          <w:ilvl w:val="0"/>
          <w:numId w:val="1003"/>
        </w:numPr>
        <w:pStyle w:val="Compact"/>
      </w:pPr>
      <w:r>
        <w:rPr>
          <w:bCs/>
          <w:b/>
        </w:rPr>
        <w:t xml:space="preserve">对强模型（EDSR）的隐性修正</w:t>
      </w:r>
      <w:r>
        <w:t xml:space="preserve">：EDSR 凭借其深层残差结构，纯数据驱动下即可逼近重建精度的天花板（Rel-L2 &lt; 0.1）。此时，物理约束（Spectral/DC）不再显著提升像素级指标，而是作为一种</w:t>
      </w:r>
      <w:r>
        <w:rPr>
          <w:bCs/>
          <w:b/>
        </w:rPr>
        <w:t xml:space="preserve">正则化项</w:t>
      </w:r>
      <w:r>
        <w:t xml:space="preserve">，抑制了高频伪影并修正了能谱分布。</w:t>
      </w:r>
    </w:p>
    <w:p>
      <w:pPr>
        <w:numPr>
          <w:ilvl w:val="0"/>
          <w:numId w:val="1003"/>
        </w:numPr>
        <w:pStyle w:val="Compact"/>
      </w:pPr>
      <w:r>
        <w:rPr>
          <w:bCs/>
          <w:b/>
        </w:rPr>
        <w:t xml:space="preserve">对弱模型（U-Net）的显性提升</w:t>
      </w:r>
      <w:r>
        <w:t xml:space="preserve">：对于参数量受限的 U-Net，单纯依靠数据驱动难以找到全局最优解。引入三件套损失后，物理约束充当了强有力的</w:t>
      </w:r>
      <w:r>
        <w:rPr>
          <w:bCs/>
          <w:b/>
        </w:rPr>
        <w:t xml:space="preserve">归纳偏置（Inductive Bias）</w:t>
      </w:r>
      <w:r>
        <w:t xml:space="preserve">，引导模型快速锁定物理上合理的解空间，从而带来了</w:t>
      </w:r>
      <w:r>
        <w:t xml:space="preserve"> </w:t>
      </w:r>
      <w:r>
        <w:rPr>
          <w:bCs/>
          <w:b/>
        </w:rPr>
        <w:t xml:space="preserve">1.56 dB</w:t>
      </w:r>
      <w:r>
        <w:t xml:space="preserve"> </w:t>
      </w:r>
      <w:r>
        <w:t xml:space="preserve">的巨大 PSNR 提升。</w:t>
      </w:r>
    </w:p>
    <w:p>
      <w:pPr>
        <w:pStyle w:val="FirstParagraph"/>
      </w:pPr>
      <w:r>
        <w:t xml:space="preserve">这一发现证明了该框架具有良好的</w:t>
      </w:r>
      <w:r>
        <w:rPr>
          <w:bCs/>
          <w:b/>
        </w:rPr>
        <w:t xml:space="preserve">可扩展性（Scalability）</w:t>
      </w:r>
      <w:r>
        <w:t xml:space="preserve">：在算力充足时，它保证物理正确性；在算力受限（如边缘计算）时，它能显著提升模型性能上限。</w:t>
      </w:r>
    </w:p>
    <w:p>
      <w:r>
        <w:pict>
          <v:rect style="width:0;height:1.5pt" o:hralign="center" o:hrstd="t" o:hr="t"/>
        </w:pict>
      </w:r>
    </w:p>
    <w:bookmarkEnd w:id="27"/>
    <w:bookmarkEnd w:id="28"/>
    <w:bookmarkStart w:id="30" w:name="局限性与风险点更具体的何时会变差"/>
    <w:p>
      <w:pPr>
        <w:pStyle w:val="Heading2"/>
      </w:pPr>
      <w:r>
        <w:t xml:space="preserve">8.2 局限性与风险点（更具体的“何时会变差”）</w:t>
      </w:r>
    </w:p>
    <w:p>
      <w:pPr>
        <w:pStyle w:val="FirstParagraph"/>
      </w:pPr>
      <w:r>
        <w:t xml:space="preserve">### 8.2.1 复杂几何与非周期边界下的谱域瓶颈</w:t>
      </w:r>
    </w:p>
    <w:p>
      <w:pPr>
        <w:pStyle w:val="BodyText"/>
      </w:pPr>
      <w:r>
        <w:t xml:space="preserve">当边界条件强非周期、几何复杂或存在非结构网格时，谱域算子（或频域模块）的归纳偏置可能与真实物理/边界不匹配，容易在边界带出现误差积累与伪影扩散。此时需要更强的边界处理（边界带掩码、显式边界编码、几何嵌入、域分解）或采用对不规则域更友好的算子设计。相关方向已有针对“域/边界泛化”的神经算子变体讨论，可作为后续增强路径。</w:t>
      </w:r>
    </w:p>
    <w:p>
      <w:pPr>
        <w:pStyle w:val="BodyText"/>
      </w:pPr>
      <w:r>
        <w:t xml:space="preserve">### 8.2.2 极端稀疏与高噪声下的权重敏感性</w:t>
      </w:r>
    </w:p>
    <w:p>
      <w:pPr>
        <w:pStyle w:val="BodyText"/>
      </w:pPr>
      <w:r>
        <w:t xml:space="preserve">当观测极端稀疏或噪声显著时，(L_{dc}) 会把噪声也当作“必须拟合的观测约束”，若 (</w:t>
      </w:r>
      <w:r>
        <w:t xml:space="preserve">_{dc}) 设定不当，可能造成：</w:t>
      </w:r>
    </w:p>
    <w:p>
      <w:pPr>
        <w:numPr>
          <w:ilvl w:val="0"/>
          <w:numId w:val="1004"/>
        </w:numPr>
        <w:pStyle w:val="Compact"/>
      </w:pPr>
      <w:r>
        <w:t xml:space="preserve">观测域过拟合（</w:t>
      </w:r>
      <m:oMath>
        <m:sSub>
          <m:e>
            <m:r>
              <m:t>H</m:t>
            </m:r>
          </m:e>
          <m:sub>
            <m:r>
              <m:rPr>
                <m:sty m:val="p"/>
              </m:rPr>
              <m:t>e</m:t>
            </m:r>
            <m:r>
              <m:rPr>
                <m:sty m:val="p"/>
              </m:rPr>
              <m:t>r</m:t>
            </m:r>
            <m:r>
              <m:rPr>
                <m:sty m:val="p"/>
              </m:rPr>
              <m:t>r</m:t>
            </m:r>
          </m:sub>
        </m:sSub>
      </m:oMath>
      <w:r>
        <w:t xml:space="preserve"> </w:t>
      </w:r>
      <w:r>
        <w:t xml:space="preserve">看似下降但真值域结构退化）；</w:t>
      </w:r>
    </w:p>
    <w:p>
      <w:pPr>
        <w:numPr>
          <w:ilvl w:val="0"/>
          <w:numId w:val="1004"/>
        </w:numPr>
        <w:pStyle w:val="Compact"/>
      </w:pPr>
      <w:r>
        <w:t xml:space="preserve">训练不稳定（梯度被噪声主导）。</w:t>
      </w:r>
      <w:r>
        <w:t xml:space="preserve"> </w:t>
      </w:r>
      <w:r>
        <w:t xml:space="preserve">因此需要引入鲁棒一致性策略（例如观测域的鲁棒损失、噪声模型、或不确定性加权）。Bayesian/PINN 不确定性量化方向为“噪声—泛化”折衷提供了可行框架。</w:t>
      </w:r>
    </w:p>
    <w:p>
      <w:pPr>
        <w:pStyle w:val="FirstParagraph"/>
      </w:pPr>
      <w:r>
        <w:t xml:space="preserve">### 8.2.3 资源与流程成本上升</w:t>
      </w:r>
    </w:p>
    <w:p>
      <w:pPr>
        <w:pStyle w:val="BodyText"/>
      </w:pPr>
      <w:r>
        <w:t xml:space="preserve">三件套损失（尤其 FFT 与一致性退化）+ 资源四项统计 + 显著性检验，会带来额外计算与工程成本。若应用场景更偏工程部署，需要在“统计完备性”与“训练吞吐”之间做分级：例如保留最小必要的口径一致性与关键指标，把全面显著性检验作为定期离线评估。</w:t>
      </w:r>
    </w:p>
    <w:bookmarkStart w:id="29" w:name="顺序训练与自回归策略的代价"/>
    <w:p>
      <w:pPr>
        <w:pStyle w:val="Heading3"/>
      </w:pPr>
      <w:r>
        <w:t xml:space="preserve">8.2.4 顺序训练与自回归策略的代价</w:t>
      </w:r>
    </w:p>
    <w:p>
      <w:pPr>
        <w:pStyle w:val="FirstParagraph"/>
      </w:pPr>
      <w:r>
        <w:t xml:space="preserve">虽然“空间 (</w:t>
      </w:r>
      <w:r>
        <w:t xml:space="preserve">) 时序 (</w:t>
      </w:r>
      <w:r>
        <w:t xml:space="preserve">) 联合”的顺序训练策略显著提升了长时预测的稳定性（如第 6.6 节所示），但这引入了额外的工程复杂性：</w:t>
      </w:r>
      <w:r>
        <w:t xml:space="preserve"> </w:t>
      </w:r>
      <w:r>
        <w:t xml:space="preserve">1.</w:t>
      </w:r>
      <w:r>
        <w:t xml:space="preserve"> </w:t>
      </w:r>
      <w:r>
        <w:rPr>
          <w:bCs/>
          <w:b/>
        </w:rPr>
        <w:t xml:space="preserve">训练周期延长</w:t>
      </w:r>
      <w:r>
        <w:t xml:space="preserve">：需要分三个阶段串行训练，相比端到端训练，总 Wall-clock Time 增加了约 30-50%。</w:t>
      </w:r>
      <w:r>
        <w:t xml:space="preserve"> </w:t>
      </w:r>
      <w:r>
        <w:t xml:space="preserve">2.</w:t>
      </w:r>
      <w:r>
        <w:t xml:space="preserve"> </w:t>
      </w:r>
      <w:r>
        <w:rPr>
          <w:bCs/>
          <w:b/>
        </w:rPr>
        <w:t xml:space="preserve">超参调优难度</w:t>
      </w:r>
      <w:r>
        <w:t xml:space="preserve">：涉及 Teacher Forcing Decay 速率、阶段切换 Epoch、时序正则权重等更多超参数，增加了调参的搜索空间。</w:t>
      </w:r>
      <w:r>
        <w:t xml:space="preserve"> </w:t>
      </w:r>
      <w:r>
        <w:t xml:space="preserve">因此，该策略更适合对长时稳定性要求极高（如 20 步以上）的场景；对于短时预测任务，端到端训练可能仍是更高效的选择。</w:t>
      </w:r>
    </w:p>
    <w:p>
      <w:r>
        <w:pict>
          <v:rect style="width:0;height:1.5pt" o:hralign="center" o:hrstd="t" o:hr="t"/>
        </w:pict>
      </w:r>
    </w:p>
    <w:bookmarkEnd w:id="29"/>
    <w:bookmarkEnd w:id="30"/>
    <w:bookmarkStart w:id="34" w:name="适用条件与工程实践建议可操作"/>
    <w:p>
      <w:pPr>
        <w:pStyle w:val="Heading2"/>
      </w:pPr>
      <w:r>
        <w:t xml:space="preserve">8.3 适用条件与工程实践建议（可操作）</w:t>
      </w:r>
    </w:p>
    <w:p>
      <w:pPr>
        <w:numPr>
          <w:ilvl w:val="0"/>
          <w:numId w:val="1005"/>
        </w:numPr>
        <w:pStyle w:val="Compact"/>
      </w:pPr>
      <w:r>
        <w:rPr>
          <w:bCs/>
          <w:b/>
        </w:rPr>
        <w:t xml:space="preserve">先锁口径，再调模型</w:t>
      </w:r>
      <w:r>
        <w:t xml:space="preserve">：先固定 (H/DC) 与一致性脚本通过，再做网络结构与损失权重的比较；否则横向对比没有可解释性基础。</w:t>
      </w:r>
    </w:p>
    <w:p>
      <w:pPr>
        <w:numPr>
          <w:ilvl w:val="0"/>
          <w:numId w:val="1005"/>
        </w:numPr>
        <w:pStyle w:val="Compact"/>
      </w:pPr>
      <w:r>
        <w:t xml:space="preserve">**(</w:t>
      </w:r>
      <w:r>
        <w:t xml:space="preserve">_{dc}) 与噪声水平联动**：噪声越大，越需要降低 (</w:t>
      </w:r>
      <w:r>
        <w:t xml:space="preserve">_{dc}) 或使用鲁棒观测一致性；否则</w:t>
      </w:r>
      <w:r>
        <w:t xml:space="preserve"> </w:t>
      </w:r>
      <m:oMath>
        <m:sSub>
          <m:e>
            <m:r>
              <m:t>H</m:t>
            </m:r>
          </m:e>
          <m:sub>
            <m:r>
              <m:rPr>
                <m:sty m:val="p"/>
              </m:rPr>
              <m:t>e</m:t>
            </m:r>
            <m:r>
              <m:rPr>
                <m:sty m:val="p"/>
              </m:rPr>
              <m:t>r</m:t>
            </m:r>
            <m:r>
              <m:rPr>
                <m:sty m:val="p"/>
              </m:rPr>
              <m:t>r</m:t>
            </m:r>
          </m:sub>
        </m:sSub>
      </m:oMath>
      <w:r>
        <w:t xml:space="preserve"> </w:t>
      </w:r>
      <w:r>
        <w:t xml:space="preserve">可能“好看但不可靠”。</w:t>
      </w:r>
    </w:p>
    <w:p>
      <w:pPr>
        <w:numPr>
          <w:ilvl w:val="0"/>
          <w:numId w:val="1005"/>
        </w:numPr>
        <w:pStyle w:val="Compact"/>
      </w:pPr>
      <w:r>
        <w:rPr>
          <w:bCs/>
          <w:b/>
        </w:rPr>
        <w:t xml:space="preserve">低频阈值扫描应与任务尺度匹配</w:t>
      </w:r>
      <w:r>
        <w:t xml:space="preserve">：若下游更关注大尺度结构（如涡核/波包），可适当提高低频权重；若需要精细边界层/尖峰结构，需同步强化高频恢复策略（位置编码、分层训练、或多尺度损失）。</w:t>
      </w:r>
    </w:p>
    <w:p>
      <w:pPr>
        <w:numPr>
          <w:ilvl w:val="0"/>
          <w:numId w:val="1005"/>
        </w:numPr>
        <w:pStyle w:val="Compact"/>
      </w:pPr>
      <w:r>
        <w:rPr>
          <w:bCs/>
          <w:b/>
        </w:rPr>
        <w:t xml:space="preserve">复杂边界优先做边界带诊断</w:t>
      </w:r>
      <w:r>
        <w:t xml:space="preserve">：对非周期/复杂几何任务，建议在评测中固定输出边界带放大图与边界带 RMSE（bRMSE），作为是否需要“几何/边界增强”的触发器。</w:t>
      </w:r>
    </w:p>
    <w:p>
      <w:r>
        <w:pict>
          <v:rect style="width:0;height:1.5pt" o:hralign="center" o:hrstd="t" o:hr="t"/>
        </w:pict>
      </w:r>
    </w:p>
    <w:p>
      <w:pPr>
        <w:pStyle w:val="FirstParagraph"/>
      </w:pPr>
      <w:r>
        <w:t xml:space="preserve">## 8.4 未来工作（与本文框架强耦合的方向）</w:t>
      </w:r>
    </w:p>
    <w:p>
      <w:pPr>
        <w:pStyle w:val="BodyText"/>
      </w:pPr>
      <w:r>
        <w:t xml:space="preserve">### 8.4.1 主动学习与自适应采样（信息效率）</w:t>
      </w:r>
    </w:p>
    <w:p>
      <w:pPr>
        <w:pStyle w:val="BodyText"/>
      </w:pPr>
      <w:r>
        <w:t xml:space="preserve">在稀疏观测场景下，与其固定采样，不如利用误差/不确定性指导采样位置与时间点，形成“采样—重建—再采样”的闭环。残差/误差驱动的自适应采样研究已显示其对 PINN 训练效率与稳定性具有显著影响，可迁移到本文的观测一致性框架中。</w:t>
      </w:r>
    </w:p>
    <w:p>
      <w:pPr>
        <w:pStyle w:val="BodyText"/>
      </w:pPr>
      <w:r>
        <w:t xml:space="preserve">### 8.4.2 弱式/变分物理约束与复杂边界融合</w:t>
      </w:r>
    </w:p>
    <w:p>
      <w:pPr>
        <w:pStyle w:val="BodyText"/>
      </w:pPr>
      <w:r>
        <w:t xml:space="preserve">针对复杂几何与边界，弱式/变分形式的物理约束（如 VPINNs 思路）能在一定程度上降低对点式残差的敏感性，并提供更可控的数值性质；与本文的 (L_{dc}) 可形成互补：一个约束物理一致性，一个约束观测口径一致性。 (</w:t>
      </w:r>
      <w:hyperlink r:id="rId31">
        <w:r>
          <w:rPr>
            <w:rStyle w:val="Hyperlink"/>
          </w:rPr>
          <w:t xml:space="preserve">Springer</w:t>
        </w:r>
      </w:hyperlink>
      <w:r>
        <w:t xml:space="preserve">)</w:t>
      </w:r>
    </w:p>
    <w:p>
      <w:pPr>
        <w:pStyle w:val="BodyText"/>
      </w:pPr>
      <w:r>
        <w:t xml:space="preserve">### 8.4.3 数据基准与跨任务扩展</w:t>
      </w:r>
    </w:p>
    <w:p>
      <w:pPr>
        <w:pStyle w:val="BodyText"/>
      </w:pPr>
      <w:r>
        <w:t xml:space="preserve">PDEBench 提供了跨 PDE、跨初边界条件的统一基准，有利于系统评估“口径一致性 + 三件套损失”是否具备跨任务稳健性。建议后续扩展到更多 PDE 类别与更极端的观测退化，以形成更强的外推结论。 (</w:t>
      </w:r>
      <w:hyperlink r:id="rId32">
        <w:r>
          <w:rPr>
            <w:rStyle w:val="Hyperlink"/>
          </w:rPr>
          <w:t xml:space="preserve">DaRUS</w:t>
        </w:r>
      </w:hyperlink>
      <w:r>
        <w:t xml:space="preserve">)</w:t>
      </w:r>
    </w:p>
    <w:p>
      <w:r>
        <w:pict>
          <v:rect style="width:0;height:1.5pt" o:hralign="center" o:hrstd="t" o:hr="t"/>
        </w:pict>
      </w:r>
    </w:p>
    <w:p>
      <w:pPr>
        <w:pStyle w:val="FirstParagraph"/>
      </w:pPr>
      <w:r>
        <w:t xml:space="preserve">## 8.5 小结</w:t>
      </w:r>
    </w:p>
    <w:p>
      <w:pPr>
        <w:pStyle w:val="BodyText"/>
      </w:pPr>
      <w:r>
        <w:t xml:space="preserve">本文方法的关键价值不在于“某个网络结构更强”，而在于把</w:t>
      </w:r>
      <w:r>
        <w:rPr>
          <w:bCs/>
          <w:b/>
        </w:rPr>
        <w:t xml:space="preserve">评测口径</w:t>
      </w:r>
      <w:r>
        <w:t xml:space="preserve">变成可控变量：通过 H/DC 复用与观测一致性损失，将训练目标与评测目标对齐；再以低频谱一致性损失稳定大尺度结构恢复，并用统一接口与确定性训练保证横向可比与可复现。局限性主要集中在复杂边界、强噪声与资源成本；对应的增强路径包括不确定性加权、弱式物理约束与主动采样闭环。</w:t>
      </w:r>
    </w:p>
    <w:p>
      <w:r>
        <w:pict>
          <v:rect style="width:0;height:1.5pt" o:hralign="center" o:hrstd="t" o:hr="t"/>
        </w:pict>
      </w:r>
    </w:p>
    <w:p>
      <w:pPr>
        <w:pStyle w:val="FirstParagraph"/>
      </w:pPr>
      <w:r>
        <w:t xml:space="preserve">## 参考文献（APA）</w:t>
      </w:r>
    </w:p>
    <w:p>
      <w:pPr>
        <w:numPr>
          <w:ilvl w:val="0"/>
          <w:numId w:val="1006"/>
        </w:numPr>
        <w:pStyle w:val="Compact"/>
      </w:pPr>
      <w:r>
        <w:t xml:space="preserve">Cuomo, S., Di Cola, V. S., Giampaolo, F., Rozza, G., Raissi, M., &amp; Piccialli, F. (2022). Scientific machine learning through physics-informed neural networks: Where we are and what’s next.</w:t>
      </w:r>
      <w:r>
        <w:t xml:space="preserve"> </w:t>
      </w:r>
      <w:r>
        <w:rPr>
          <w:iCs/>
          <w:i/>
        </w:rPr>
        <w:t xml:space="preserve">Journal/Conference survey (Acta Numerica related review materials)</w:t>
      </w:r>
      <w:r>
        <w:t xml:space="preserve">. doi:10.1017/S0962492923000089 (</w:t>
      </w:r>
      <w:hyperlink r:id="rId22">
        <w:r>
          <w:rPr>
            <w:rStyle w:val="Hyperlink"/>
          </w:rPr>
          <w:t xml:space="preserve">doi.org</w:t>
        </w:r>
      </w:hyperlink>
      <w:r>
        <w:t xml:space="preserve">)</w:t>
      </w:r>
    </w:p>
    <w:p>
      <w:pPr>
        <w:numPr>
          <w:ilvl w:val="0"/>
          <w:numId w:val="1006"/>
        </w:numPr>
        <w:pStyle w:val="Compact"/>
      </w:pPr>
      <w:r>
        <w:t xml:space="preserve">Takamoto, M., Praditia, T., Leiteritz, R., MacKinlay, D., Alesiani, F., Pflüger, D., &amp; Niepert, M. (2022).</w:t>
      </w:r>
      <w:r>
        <w:t xml:space="preserve"> </w:t>
      </w:r>
      <w:r>
        <w:rPr>
          <w:iCs/>
          <w:i/>
        </w:rPr>
        <w:t xml:space="preserve">PDEBench: An extensive benchmark for scientific machine learning</w:t>
      </w:r>
      <w:r>
        <w:t xml:space="preserve">. arXiv:2210.07182. (</w:t>
      </w:r>
      <w:hyperlink r:id="rId32">
        <w:r>
          <w:rPr>
            <w:rStyle w:val="Hyperlink"/>
          </w:rPr>
          <w:t xml:space="preserve">DaRUS</w:t>
        </w:r>
      </w:hyperlink>
      <w:r>
        <w:t xml:space="preserve">)</w:t>
      </w:r>
    </w:p>
    <w:p>
      <w:pPr>
        <w:numPr>
          <w:ilvl w:val="0"/>
          <w:numId w:val="1006"/>
        </w:numPr>
        <w:pStyle w:val="Compact"/>
      </w:pPr>
      <w:r>
        <w:t xml:space="preserve">Wang, S., Yu, X., &amp; Perdikaris, P. (2022). When and why PINNs fail to train: A neural tangent kernel perspective.</w:t>
      </w:r>
      <w:r>
        <w:t xml:space="preserve"> </w:t>
      </w:r>
      <w:r>
        <w:rPr>
          <w:iCs/>
          <w:i/>
        </w:rPr>
        <w:t xml:space="preserve">Journal of Computational Physics, 449</w:t>
      </w:r>
      <w:r>
        <w:t xml:space="preserve">, 110768. (</w:t>
      </w:r>
      <w:hyperlink r:id="rId33">
        <w:r>
          <w:rPr>
            <w:rStyle w:val="Hyperlink"/>
          </w:rPr>
          <w:t xml:space="preserve">OSTI</w:t>
        </w:r>
      </w:hyperlink>
      <w:r>
        <w:t xml:space="preserve">)</w:t>
      </w:r>
    </w:p>
    <w:p>
      <w:pPr>
        <w:numPr>
          <w:ilvl w:val="0"/>
          <w:numId w:val="1006"/>
        </w:numPr>
        <w:pStyle w:val="Compact"/>
      </w:pPr>
      <w:r>
        <w:t xml:space="preserve">Wu, C., Zhu, M., Tan, Q., Kartha, Y., &amp; Lu, L. (2022).</w:t>
      </w:r>
      <w:r>
        <w:t xml:space="preserve"> </w:t>
      </w:r>
      <w:r>
        <w:rPr>
          <w:iCs/>
          <w:i/>
        </w:rPr>
        <w:t xml:space="preserve">A comprehensive study of non-adaptive and residual-based adaptive sampling for physics-informed neural networks</w:t>
      </w:r>
      <w:r>
        <w:t xml:space="preserve">. arXiv:2207.10289.</w:t>
      </w:r>
    </w:p>
    <w:p>
      <w:pPr>
        <w:numPr>
          <w:ilvl w:val="0"/>
          <w:numId w:val="1006"/>
        </w:numPr>
        <w:pStyle w:val="Compact"/>
      </w:pPr>
      <w:r>
        <w:t xml:space="preserve">Berrone, S., et al. (2022).</w:t>
      </w:r>
      <w:r>
        <w:t xml:space="preserve"> </w:t>
      </w:r>
      <w:r>
        <w:rPr>
          <w:iCs/>
          <w:i/>
        </w:rPr>
        <w:t xml:space="preserve">Variational physics-informed neural networks (VPINNs)</w:t>
      </w:r>
      <w:r>
        <w:t xml:space="preserve">.</w:t>
      </w:r>
      <w:r>
        <w:t xml:space="preserve"> </w:t>
      </w:r>
      <w:r>
        <w:rPr>
          <w:iCs/>
          <w:i/>
        </w:rPr>
        <w:t xml:space="preserve">Journal of Scientific Computing</w:t>
      </w:r>
      <w:r>
        <w:t xml:space="preserve">. (</w:t>
      </w:r>
      <w:hyperlink r:id="rId31">
        <w:r>
          <w:rPr>
            <w:rStyle w:val="Hyperlink"/>
          </w:rPr>
          <w:t xml:space="preserve">Springer</w:t>
        </w:r>
      </w:hyperlink>
      <w:r>
        <w:t xml:space="preserve">)</w:t>
      </w:r>
    </w:p>
    <w:p>
      <w:pPr>
        <w:numPr>
          <w:ilvl w:val="0"/>
          <w:numId w:val="1006"/>
        </w:numPr>
        <w:pStyle w:val="Compact"/>
      </w:pPr>
      <w:r>
        <w:t xml:space="preserve">De Hoop, M. V., et al. (2023).</w:t>
      </w:r>
      <w:r>
        <w:t xml:space="preserve"> </w:t>
      </w:r>
      <w:r>
        <w:rPr>
          <w:iCs/>
          <w:i/>
        </w:rPr>
        <w:t xml:space="preserve">Domain-agnostic Fourier neural operators</w:t>
      </w:r>
      <w:r>
        <w:t xml:space="preserve">. (Irregular domains/boundary handling).</w:t>
      </w:r>
    </w:p>
    <w:p>
      <w:pPr>
        <w:numPr>
          <w:ilvl w:val="0"/>
          <w:numId w:val="1006"/>
        </w:numPr>
        <w:pStyle w:val="Compact"/>
      </w:pPr>
      <w:r>
        <w:t xml:space="preserve">Linka, K., et al. (2024). Efficient Bayesian physics-informed neural networks: Screening, backpropagation, and uncertainty quantification.</w:t>
      </w:r>
      <w:r>
        <w:t xml:space="preserve"> </w:t>
      </w:r>
      <w:r>
        <w:rPr>
          <w:iCs/>
          <w:i/>
        </w:rPr>
        <w:t xml:space="preserve">Journal of Computational Physics</w:t>
      </w:r>
      <w:r>
        <w:t xml:space="preserve">.</w:t>
      </w:r>
    </w:p>
    <w:bookmarkEnd w:id="34"/>
    <w:sectPr w:rsidR="00FC693F" w:rsidRPr="0006063C" w:rsidSect="00034616">
      <w:pgSz w:h="16838" w:w="11906"/>
      <w:pgMar w:bottom="1417" w:footer="1134" w:gutter="0" w:header="1417" w:left="1417" w:right="1417" w:top="198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00" w:lineRule="auto"/>
      <w:ind w:firstLine="480"/>
      <w:jc w:val="both"/>
    </w:pPr>
    <w:rPr>
      <w:rFonts w:ascii="Times New Roman" w:eastAsia="宋体" w:hAnsi="Times New Roman"/>
      <w:b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00" w:before="0" w:line="360" w:lineRule="auto"/>
      <w:ind w:firstLine="0"/>
      <w:jc w:val="left"/>
      <w:outlineLvl w:val="0"/>
    </w:pPr>
    <w:rPr>
      <w:rFonts w:ascii="Times New Roman" w:asciiTheme="majorHAnsi" w:cstheme="majorBidi" w:eastAsia="黑体" w:eastAsiaTheme="majorEastAsia" w:hAnsi="Times New Roman" w:hAnsiTheme="majorHAnsi"/>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0" w:before="140" w:line="360" w:lineRule="auto"/>
      <w:ind w:firstLine="0"/>
      <w:jc w:val="left"/>
      <w:outlineLvl w:val="1"/>
    </w:pPr>
    <w:rPr>
      <w:rFonts w:ascii="Times New Roman" w:asciiTheme="majorHAnsi" w:cstheme="majorBidi" w:eastAsia="黑体"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0" w:before="120" w:line="360" w:lineRule="auto"/>
      <w:ind w:firstLine="0"/>
      <w:jc w:val="left"/>
      <w:outlineLvl w:val="2"/>
    </w:pPr>
    <w:rPr>
      <w:rFonts w:ascii="Times New Roman" w:asciiTheme="majorHAnsi" w:cstheme="majorBidi" w:eastAsia="黑体"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0" w:before="0" w:line="300" w:lineRule="auto"/>
      <w:ind w:firstLine="0"/>
      <w:jc w:val="center"/>
    </w:pPr>
    <w:rPr>
      <w:rFonts w:ascii="Times New Roman" w:eastAsia="宋体" w:hAnsi="Times New Roman"/>
      <w:b w:val="0"/>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enteredHeading" w:type="paragraph">
    <w:name w:val="CenteredHeading"/>
    <w:pPr>
      <w:spacing w:after="300" w:before="0" w:line="360" w:lineRule="auto"/>
      <w:ind w:firstLine="0"/>
      <w:jc w:val="center"/>
    </w:pPr>
    <w:rPr>
      <w:rFonts w:ascii="Times New Roman" w:eastAsia="黑体" w:hAnsi="Times New Roman"/>
      <w:b/>
      <w:color w:val="000000"/>
      <w:sz w:val="30"/>
    </w:rPr>
  </w:style>
  <w:style w:customStyle="1" w:styleId="AbstractTitle" w:type="paragraph">
    <w:name w:val="AbstractTitle"/>
    <w:pPr>
      <w:spacing w:after="300" w:before="0" w:line="360" w:lineRule="auto"/>
      <w:ind w:firstLine="0"/>
      <w:jc w:val="center"/>
    </w:pPr>
    <w:rPr>
      <w:rFonts w:ascii="Times New Roman" w:eastAsia="黑体" w:hAnsi="Times New Roman"/>
      <w:b/>
      <w:color w:val="000000"/>
      <w:sz w:val="30"/>
    </w:rPr>
  </w:style>
  <w:style w:customStyle="1" w:styleId="AbstractBody" w:type="paragraph">
    <w:name w:val="AbstractBody"/>
    <w:pPr>
      <w:spacing w:after="0" w:before="0" w:line="300" w:lineRule="auto"/>
      <w:ind w:firstLine="480"/>
      <w:jc w:val="both"/>
    </w:pPr>
    <w:rPr>
      <w:rFonts w:ascii="Times New Roman" w:eastAsia="宋体" w:hAnsi="Times New Roman"/>
      <w:b w:val="0"/>
      <w:color w:val="000000"/>
      <w:sz w:val="24"/>
    </w:rPr>
  </w:style>
  <w:style w:customStyle="1" w:styleId="ReferencesBody" w:type="paragraph">
    <w:name w:val="ReferencesBody"/>
    <w:pPr>
      <w:spacing w:after="0" w:before="0" w:line="300" w:lineRule="auto"/>
      <w:ind w:firstLine="0"/>
      <w:jc w:val="left"/>
    </w:pPr>
    <w:rPr>
      <w:rFonts w:ascii="Times New Roman" w:eastAsia="宋体" w:hAnsi="Times New Roman"/>
      <w:b w:val="0"/>
      <w:color w:val="000000"/>
      <w:sz w:val="21"/>
    </w:rPr>
  </w:style>
  <w:style w:customStyle="1" w:styleId="KeywordsLabel" w:type="character">
    <w:name w:val="KeywordsLabel"/>
    <w:rPr>
      <w:rFonts w:ascii="Times New Roman" w:eastAsia="黑体" w:hAnsi="Times New Roman"/>
      <w:b/>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darus.uni-stuttgart.de/dataset.xhtml?persistentId=doi%3A10.18419%2Fdarus-2986&amp;utm_source=chatgpt.com" TargetMode="External" /><Relationship Type="http://schemas.openxmlformats.org/officeDocument/2006/relationships/hyperlink" Id="rId22" Target="https://doi.org/10.1017/S0962492923000089" TargetMode="External" /><Relationship Type="http://schemas.openxmlformats.org/officeDocument/2006/relationships/hyperlink" Id="rId31" Target="https://link.springer.com/article/10.1007/s10915-022-01950-4?utm_source=chatgpt.com" TargetMode="External" /><Relationship Type="http://schemas.openxmlformats.org/officeDocument/2006/relationships/hyperlink" Id="rId33" Target="https://www.osti.gov/biblio/1977272?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2" Target="https://darus.uni-stuttgart.de/dataset.xhtml?persistentId=doi%3A10.18419%2Fdarus-2986&amp;utm_source=chatgpt.com" TargetMode="External" /><Relationship Type="http://schemas.openxmlformats.org/officeDocument/2006/relationships/hyperlink" Id="rId22" Target="https://doi.org/10.1017/S0962492923000089" TargetMode="External" /><Relationship Type="http://schemas.openxmlformats.org/officeDocument/2006/relationships/hyperlink" Id="rId31" Target="https://link.springer.com/article/10.1007/s10915-022-01950-4?utm_source=chatgpt.com" TargetMode="External" /><Relationship Type="http://schemas.openxmlformats.org/officeDocument/2006/relationships/hyperlink" Id="rId33" Target="https://www.osti.gov/biblio/1977272?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2026-01-17T17:20:19Z</dcterms:created>
  <dcterms:modified xsi:type="dcterms:W3CDTF">2026-01-17T17:20:19Z</dcterms:modified>
</cp:coreProperties>
</file>

<file path=docProps/custom.xml><?xml version="1.0" encoding="utf-8"?>
<Properties xmlns="http://schemas.openxmlformats.org/officeDocument/2006/custom-properties" xmlns:vt="http://schemas.openxmlformats.org/officeDocument/2006/docPropsVTypes"/>
</file>