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ea53d174ee8797460764b604458367d5f6ff96"/>
    <w:p>
      <w:pPr>
        <w:pStyle w:val="Heading1"/>
      </w:pPr>
      <w:r>
        <w:t xml:space="preserve">附录A（或第3章末）统一口径卡：符号、域与评测口径（Observational Protocol Card）</w:t>
      </w:r>
    </w:p>
    <w:p>
      <w:pPr>
        <w:pStyle w:val="BlockText"/>
      </w:pPr>
      <w:r>
        <w:t xml:space="preserve">目标：</w:t>
      </w:r>
      <w:r>
        <w:rPr>
          <w:bCs/>
          <w:b/>
        </w:rPr>
        <w:t xml:space="preserve">全书统一符号、统一变量所在域、统一观测算子 (H) 与一致性指标 (H_{</w:t>
      </w:r>
      <w:r>
        <w:rPr>
          <w:bCs/>
          <w:b/>
        </w:rPr>
        <w:t xml:space="preserve">}) 的定义，并彻底消除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歧义。</w:t>
      </w:r>
      <w:r>
        <w:br/>
      </w:r>
      <w:r>
        <w:t xml:space="preserve">本口径卡一经采用，正文与附录中出现与其冲突的表述应以本口径卡为准。</w:t>
      </w:r>
    </w:p>
    <w:p>
      <w:r>
        <w:pict>
          <v:rect style="width:0;height:1.5pt" o:hralign="center" o:hrstd="t" o:hr="t"/>
        </w:pict>
      </w:r>
    </w:p>
    <w:bookmarkStart w:id="20" w:name="a.1-变量域与符号约定全书统一"/>
    <w:p>
      <w:pPr>
        <w:pStyle w:val="Heading2"/>
      </w:pPr>
      <w:r>
        <w:t xml:space="preserve">A.1 变量域与符号约定（全书统一）</w:t>
      </w:r>
    </w:p>
    <w:p>
      <w:pPr>
        <w:pStyle w:val="FirstParagraph"/>
      </w:pPr>
      <w:r>
        <w:t xml:space="preserve">设空间域 (</w:t>
      </w:r>
      <w:r>
        <w:t xml:space="preserve">^2)，离散网格分辨率为 (H</w:t>
      </w:r>
      <w:r>
        <w:t xml:space="preserve">W)，时间索引为 (t=1,</w:t>
      </w:r>
      <w:r>
        <w:t xml:space="preserve">,T)。本文考虑的物理量场为</w:t>
      </w:r>
      <w:r>
        <w:t xml:space="preserve"> </w:t>
      </w:r>
      <w:r>
        <w:t xml:space="preserve">[</w:t>
      </w:r>
      <w:r>
        <w:t xml:space="preserve"> </w:t>
      </w:r>
      <w:r>
        <w:t xml:space="preserve">u_t:</w:t>
      </w:r>
      <w:r>
        <w:t xml:space="preserve">^{C},</w:t>
      </w:r>
      <w:r>
        <w:t xml:space="preserve"> </w:t>
      </w:r>
      <w:r>
        <w:t xml:space="preserve">]</w:t>
      </w:r>
      <w:r>
        <w:t xml:space="preserve"> </w:t>
      </w:r>
      <w:r>
        <w:t xml:space="preserve">其中 (C) 为通道数（例如压力、速度分量等）。</w:t>
      </w:r>
    </w:p>
    <w:p>
      <w:pPr>
        <w:pStyle w:val="BodyText"/>
      </w:pPr>
      <w:r>
        <w:t xml:space="preserve">为避免“归一化域”与“原值域”混用导致的口径漂移，本文对所有训练与评测变量采用如下</w:t>
      </w:r>
      <w:r>
        <w:rPr>
          <w:bCs/>
          <w:b/>
        </w:rPr>
        <w:t xml:space="preserve">严格域约定</w:t>
      </w:r>
      <w:r>
        <w:t xml:space="preserve">：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原值域（physical/raw domain）</w:t>
      </w:r>
      <w:r>
        <w:t xml:space="preserve">：</w:t>
      </w:r>
      <w:r>
        <w:t xml:space="preserve"> </w:t>
      </w:r>
      <w:r>
        <w:t xml:space="preserve">[</w:t>
      </w:r>
      <w:r>
        <w:t xml:space="preserve"> </w:t>
      </w:r>
      <w:r>
        <w:t xml:space="preserve">u_t</w:t>
      </w:r>
      <w:r>
        <w:t xml:space="preserve"> </w:t>
      </w:r>
      <w:r>
        <w:t xml:space="preserve">^{C</w:t>
      </w:r>
      <w:r>
        <w:t xml:space="preserve">H</w:t>
      </w:r>
      <w:r>
        <w:t xml:space="preserve">W},</w:t>
      </w:r>
      <w:r>
        <w:t xml:space="preserve">_t</w:t>
      </w:r>
      <w:r>
        <w:t xml:space="preserve"> </w:t>
      </w:r>
      <w:r>
        <w:t xml:space="preserve">^{C</w:t>
      </w:r>
      <w:r>
        <w:t xml:space="preserve">H</w:t>
      </w:r>
      <w:r>
        <w:t xml:space="preserve">W}.</w:t>
      </w:r>
      <w:r>
        <w:t xml:space="preserve"> </w:t>
      </w:r>
      <w:r>
        <w:t xml:space="preserve">]</w:t>
      </w:r>
      <w:r>
        <w:t xml:space="preserve"> </w:t>
      </w:r>
      <w:r>
        <w:t xml:space="preserve">其中 (u_t) 为真值（GT），(</w:t>
      </w:r>
      <w:r>
        <w:t xml:space="preserve">_t) 为模型预测在原值域下的重建结果。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z-score 域（normalized domain）</w:t>
      </w:r>
      <w:r>
        <w:t xml:space="preserve">：</w:t>
      </w:r>
      <w:r>
        <w:br/>
      </w:r>
      <w:r>
        <w:t xml:space="preserve">逐通道统计量 (</w:t>
      </w:r>
      <w:r>
        <w:t xml:space="preserve">^{C})、(</w:t>
      </w:r>
      <w:r>
        <w:t xml:space="preserve">_z</w:t>
      </w:r>
      <w:r>
        <w:t xml:space="preserve">^{C}) 来自训练集并固定保存为</w:t>
      </w:r>
      <w:r>
        <w:t xml:space="preserve"> </w:t>
      </w:r>
      <w:r>
        <w:rPr>
          <w:rStyle w:val="VerbatimChar"/>
        </w:rPr>
        <w:t xml:space="preserve">norm_stat.npz</w:t>
      </w:r>
      <w:r>
        <w:t xml:space="preserve">。定义</w:t>
      </w:r>
      <w:r>
        <w:t xml:space="preserve"> </w:t>
      </w:r>
      <w:r>
        <w:t xml:space="preserve">[</w:t>
      </w:r>
      <w:r>
        <w:t xml:space="preserve"> </w:t>
      </w:r>
      <w:r>
        <w:t xml:space="preserve">u^{(z)}_t =</w:t>
      </w:r>
      <w:r>
        <w:t xml:space="preserve"> </w:t>
      </w:r>
      <w:r>
        <w:t xml:space="preserve">,</w:t>
      </w:r>
      <w:r>
        <w:t xml:space="preserve">^{(z)}_t =</w:t>
      </w:r>
      <w:r>
        <w:t xml:space="preserve"> </w:t>
      </w:r>
      <w:r>
        <w:t xml:space="preserve">(</w:t>
      </w:r>
      <w:r>
        <w:t xml:space="preserve">),</w:t>
      </w:r>
      <w:r>
        <w:t xml:space="preserve"> </w:t>
      </w:r>
      <w:r>
        <w:t xml:space="preserve">]</w:t>
      </w:r>
      <w:r>
        <w:t xml:space="preserve"> </w:t>
      </w:r>
      <w:r>
        <w:t xml:space="preserve">其中 (</w:t>
      </w:r>
      <w:r>
        <w:t xml:space="preserve">) 为网络映射，输出 (</w:t>
      </w:r>
      <w:r>
        <w:t xml:space="preserve">^{(z)}_t) 处于 z-score 域。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反归一化（从 z-score 域回到原值域）</w:t>
      </w:r>
      <w:r>
        <w:t xml:space="preserve">：</w:t>
      </w:r>
      <w:r>
        <w:t xml:space="preserve"> </w:t>
      </w:r>
      <w:r>
        <w:t xml:space="preserve">[</w:t>
      </w:r>
      <w:r>
        <w:t xml:space="preserve"> </w:t>
      </w:r>
      <w:r>
        <w:t xml:space="preserve">_t =</w:t>
      </w:r>
      <w:r>
        <w:t xml:space="preserve"> </w:t>
      </w:r>
      <w:r>
        <w:t xml:space="preserve">_z</w:t>
      </w:r>
      <w:r>
        <w:t xml:space="preserve"> </w:t>
      </w:r>
      <w:r>
        <w:t xml:space="preserve">^{(z)}_t +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  <w:r>
        <w:t xml:space="preserve"> </w:t>
      </w:r>
      <w:r>
        <w:t xml:space="preserve">其中 (</w:t>
      </w:r>
      <w:r>
        <w:t xml:space="preserve">) 表示逐通道广播乘法。</w:t>
      </w:r>
    </w:p>
    <w:p>
      <w:pPr>
        <w:pStyle w:val="BlockText"/>
      </w:pPr>
      <w:r>
        <w:rPr>
          <w:bCs/>
          <w:b/>
        </w:rPr>
        <w:t xml:space="preserve">强制约定 1（全书不变）</w:t>
      </w:r>
      <w:r>
        <w:t xml:space="preserve">：观测算子 (H(</w:t>
      </w:r>
      <w:r>
        <w:t xml:space="preserve">))</w:t>
      </w:r>
      <w:r>
        <w:t xml:space="preserve"> </w:t>
      </w:r>
      <w:r>
        <w:rPr>
          <w:bCs/>
          <w:b/>
        </w:rPr>
        <w:t xml:space="preserve">只作用于原值域变量</w:t>
      </w:r>
      <w:r>
        <w:t xml:space="preserve">（如 (u_t)、(</w:t>
      </w:r>
      <w:r>
        <w:t xml:space="preserve">_t)），不得直接对 (u^{(z)}_t)、(</w:t>
      </w:r>
      <w:r>
        <w:t xml:space="preserve">^{(z)}_t) 施加 (H)。</w:t>
      </w:r>
    </w:p>
    <w:p>
      <w:r>
        <w:pict>
          <v:rect style="width:0;height:1.5pt" o:hralign="center" o:hrstd="t" o:hr="t"/>
        </w:pict>
      </w:r>
    </w:p>
    <w:bookmarkEnd w:id="20"/>
    <w:bookmarkStart w:id="24" w:name="a.2-观测生成口径统一观测算子-h数据侧与退化算子-dc训练侧"/>
    <w:p>
      <w:pPr>
        <w:pStyle w:val="Heading2"/>
      </w:pPr>
      <w:r>
        <w:t xml:space="preserve">A.2 观测生成口径：统一观测算子 (H)（数据侧）与退化算子 DC（训练侧）</w:t>
      </w:r>
    </w:p>
    <w:p>
      <w:pPr>
        <w:pStyle w:val="FirstParagraph"/>
      </w:pPr>
      <w:r>
        <w:t xml:space="preserve">给定观测算子</w:t>
      </w:r>
      <w:r>
        <w:t xml:space="preserve"> </w:t>
      </w:r>
      <w:r>
        <w:t xml:space="preserve">[</w:t>
      </w:r>
      <w:r>
        <w:t xml:space="preserve"> </w:t>
      </w:r>
      <w:r>
        <w:t xml:space="preserve">H:</w:t>
      </w:r>
      <w:r>
        <w:rPr>
          <w:vertAlign w:val="superscript"/>
        </w:rPr>
        <w:t xml:space="preserve">{C</w:t>
      </w:r>
      <w:r>
        <w:rPr>
          <w:vertAlign w:val="superscript"/>
        </w:rPr>
        <w:t xml:space="preserve">H</w:t>
      </w:r>
      <w:r>
        <w:rPr>
          <w:vertAlign w:val="superscript"/>
        </w:rPr>
        <w:t xml:space="preserve">W}</w:t>
      </w:r>
      <w:r>
        <w:t xml:space="preserve">{C</w:t>
      </w:r>
      <w:r>
        <w:t xml:space="preserve">h</w:t>
      </w:r>
      <w:r>
        <w:t xml:space="preserve">w},</w:t>
      </w:r>
      <w:r>
        <w:t xml:space="preserve"> </w:t>
      </w:r>
      <w:r>
        <w:t xml:space="preserve">]</w:t>
      </w:r>
      <w:r>
        <w:t xml:space="preserve"> </w:t>
      </w:r>
      <w:r>
        <w:t xml:space="preserve">观测由原值域真值产生：</w:t>
      </w:r>
      <w:r>
        <w:t xml:space="preserve"> </w:t>
      </w:r>
      <w:r>
        <w:t xml:space="preserve">[</w:t>
      </w:r>
      <w:r>
        <w:t xml:space="preserve"> </w:t>
      </w:r>
      <w:r>
        <w:t xml:space="preserve">y_t = H(u_t) + n_t,</w:t>
      </w:r>
      <w:r>
        <w:t xml:space="preserve"> </w:t>
      </w:r>
      <w:r>
        <w:t xml:space="preserve">]</w:t>
      </w:r>
      <w:r>
        <w:t xml:space="preserve"> </w:t>
      </w:r>
      <w:r>
        <w:t xml:space="preserve">其中 (y_t) 为观测输入，(n_t) 为噪声（可为零或测量噪声）。</w:t>
      </w:r>
    </w:p>
    <w:p>
      <w:pPr>
        <w:pStyle w:val="BodyText"/>
      </w:pPr>
      <w:r>
        <w:t xml:space="preserve">本文包含两类任务口径如下。</w:t>
      </w:r>
    </w:p>
    <w:bookmarkStart w:id="21" w:name="a.2.1-超分辨sr口径anti-aliasing-downsample"/>
    <w:p>
      <w:pPr>
        <w:pStyle w:val="Heading3"/>
      </w:pPr>
      <w:r>
        <w:t xml:space="preserve">A.2.1 超分辨（SR）口径（Anti-aliasing + Downsample）</w:t>
      </w:r>
    </w:p>
    <w:p>
      <w:pPr>
        <w:pStyle w:val="FirstParagraph"/>
      </w:pPr>
      <w:r>
        <w:t xml:space="preserve">SR 观测算子定义为：</w:t>
      </w:r>
      <w:r>
        <w:t xml:space="preserve"> </w:t>
      </w:r>
      <w:r>
        <w:t xml:space="preserve">[</w:t>
      </w:r>
      <w:r>
        <w:t xml:space="preserve"> </w:t>
      </w:r>
      <w:r>
        <w:t xml:space="preserve">H_{</w:t>
      </w:r>
      <w:r>
        <w:t xml:space="preserve">}(u) </w:t>
      </w:r>
      <w:r>
        <w:t xml:space="preserve"> D_s!</w:t>
      </w:r>
      <w:r>
        <w:t xml:space="preserve">(G_{</w:t>
      </w:r>
      <w:r>
        <w:t xml:space="preserve">_{</w:t>
      </w:r>
      <w:r>
        <w:t xml:space="preserve">}} * u</w:t>
      </w:r>
      <w:r>
        <w:t xml:space="preserve">),</w:t>
      </w:r>
      <w:r>
        <w:t xml:space="preserve"> </w:t>
      </w:r>
      <w:r>
        <w:t xml:space="preserve">]</w:t>
      </w:r>
      <w:r>
        <w:t xml:space="preserve"> </w:t>
      </w:r>
      <w:r>
        <w:t xml:space="preserve">其中：</w:t>
      </w:r>
    </w:p>
    <w:p>
      <w:pPr>
        <w:numPr>
          <w:ilvl w:val="0"/>
          <w:numId w:val="1002"/>
        </w:numPr>
        <w:pStyle w:val="Compact"/>
      </w:pPr>
      <w:r>
        <w:t xml:space="preserve">(G_{</w:t>
      </w:r>
      <w:r>
        <w:t xml:space="preserve">_{</w:t>
      </w:r>
      <w:r>
        <w:t xml:space="preserve">}}) 为二维高斯核（核大小记为 (k)，例如固定 (k=5)，并在配置中显式记录）；</w:t>
      </w:r>
    </w:p>
    <w:p>
      <w:pPr>
        <w:numPr>
          <w:ilvl w:val="0"/>
          <w:numId w:val="1002"/>
        </w:numPr>
        <w:pStyle w:val="Compact"/>
      </w:pPr>
      <w:r>
        <w:t xml:space="preserve">(</w:t>
      </w:r>
      <w:r>
        <w:t xml:space="preserve">_{</w:t>
      </w:r>
      <w:r>
        <w:t xml:space="preserve">}) 为高斯模糊标准差（</w:t>
      </w:r>
      <w:r>
        <w:rPr>
          <w:bCs/>
          <w:b/>
        </w:rPr>
        <w:t xml:space="preserve">仅用于观测算子</w:t>
      </w:r>
      <w:r>
        <w:t xml:space="preserve">，不得与 z-score 标准差混淆）；</w:t>
      </w:r>
    </w:p>
    <w:p>
      <w:pPr>
        <w:numPr>
          <w:ilvl w:val="0"/>
          <w:numId w:val="1002"/>
        </w:numPr>
        <w:pStyle w:val="Compact"/>
      </w:pPr>
      <w:r>
        <w:t xml:space="preserve">(D_s(</w:t>
      </w:r>
      <w:r>
        <w:t xml:space="preserve">)) 表示下采样因子 (s) 的降采样算子；</w:t>
      </w:r>
    </w:p>
    <w:p>
      <w:pPr>
        <w:numPr>
          <w:ilvl w:val="0"/>
          <w:numId w:val="1002"/>
        </w:numPr>
        <w:pStyle w:val="Compact"/>
      </w:pPr>
      <w:r>
        <w:t xml:space="preserve">下采样插值方式固定为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（面积重采样），并在配置中显式记录。</w:t>
      </w:r>
    </w:p>
    <w:bookmarkEnd w:id="21"/>
    <w:bookmarkStart w:id="22" w:name="Xe1feb2a4b529b55ac1ce7720978e951bd24739a"/>
    <w:p>
      <w:pPr>
        <w:pStyle w:val="Heading3"/>
      </w:pPr>
      <w:r>
        <w:t xml:space="preserve">A.2.2 裁剪（Crop）口径（Centered Crop + Boundary Mode）</w:t>
      </w:r>
    </w:p>
    <w:p>
      <w:pPr>
        <w:pStyle w:val="FirstParagraph"/>
      </w:pPr>
      <w:r>
        <w:t xml:space="preserve">Crop 观测算子定义为：</w:t>
      </w:r>
      <w:r>
        <w:t xml:space="preserve"> </w:t>
      </w:r>
      <w:r>
        <w:t xml:space="preserve">[</w:t>
      </w:r>
      <w:r>
        <w:t xml:space="preserve"> </w:t>
      </w:r>
      <w:r>
        <w:t xml:space="preserve">H_{</w:t>
      </w:r>
      <w:r>
        <w:t xml:space="preserve">}(u) </w:t>
      </w:r>
      <w:r>
        <w:t xml:space="preserve"> C_{h_c,w_c}^{(</w:t>
      </w:r>
      <w:r>
        <w:t xml:space="preserve">)}(u),</w:t>
      </w:r>
      <w:r>
        <w:t xml:space="preserve"> </w:t>
      </w:r>
      <w:r>
        <w:t xml:space="preserve">]</w:t>
      </w:r>
      <w:r>
        <w:t xml:space="preserve"> </w:t>
      </w:r>
      <w:r>
        <w:t xml:space="preserve">其中 (C_{h_c,w_c}^{(</w:t>
      </w:r>
      <w:r>
        <w:t xml:space="preserve">)}) 为中心对齐裁剪窗口算子，输出大小为 ((h_c,w_c))。边界处理策略 (</w:t>
      </w:r>
      <w:r>
        <w:t xml:space="preserve">{</w:t>
      </w:r>
      <w:r>
        <w:t xml:space="preserve">,</w:t>
      </w:r>
      <w:r>
        <w:t xml:space="preserve">,</w:t>
      </w:r>
      <w:r>
        <w:t xml:space="preserve">}) 必须在配置中显式声明。窗口 ((h_c,w_c)) 需与</w:t>
      </w:r>
      <w:r>
        <w:t xml:space="preserve"> </w:t>
      </w:r>
      <w:r>
        <w:rPr>
          <w:rStyle w:val="VerbatimChar"/>
        </w:rPr>
        <w:t xml:space="preserve">patch_size</w:t>
      </w:r>
      <w:r>
        <w:t xml:space="preserve"> </w:t>
      </w:r>
      <w:r>
        <w:t xml:space="preserve">对齐（为其整数倍），以避免额外 padding 或对齐偏差导致的隐性口径漂移。</w:t>
      </w:r>
    </w:p>
    <w:bookmarkEnd w:id="22"/>
    <w:bookmarkStart w:id="23" w:name="a.2.3-hdc-复用原则single-source-of-truth"/>
    <w:p>
      <w:pPr>
        <w:pStyle w:val="Heading3"/>
      </w:pPr>
      <w:r>
        <w:t xml:space="preserve">A.2.3 H/DC 复用原则（Single Source of Truth）</w:t>
      </w:r>
    </w:p>
    <w:p>
      <w:pPr>
        <w:pStyle w:val="FirstParagraph"/>
      </w:pPr>
      <w:r>
        <w:t xml:space="preserve">训练侧退化算子 DC</w:t>
      </w:r>
      <w:r>
        <w:t xml:space="preserve"> </w:t>
      </w:r>
      <w:r>
        <w:rPr>
          <w:bCs/>
          <w:b/>
        </w:rPr>
        <w:t xml:space="preserve">必须</w:t>
      </w:r>
      <w:r>
        <w:t xml:space="preserve">与数据侧观测算子 (H) 完全一致：</w:t>
      </w:r>
      <w:r>
        <w:t xml:space="preserve"> </w:t>
      </w:r>
      <w:r>
        <w:t xml:space="preserve">[</w:t>
      </w:r>
      <w:r>
        <w:t xml:space="preserve"> </w:t>
      </w:r>
      <w:r>
        <w:t xml:space="preserve"> </w:t>
      </w:r>
      <w:r>
        <w:t xml:space="preserve"> H,</w:t>
      </w:r>
      <w:r>
        <w:t xml:space="preserve"> </w:t>
      </w:r>
      <w:r>
        <w:t xml:space="preserve">]</w:t>
      </w:r>
      <w:r>
        <w:t xml:space="preserve"> </w:t>
      </w:r>
      <w:r>
        <w:t xml:space="preserve">即核大小、(</w:t>
      </w:r>
      <w:r>
        <w:t xml:space="preserve">_{</w:t>
      </w:r>
      <w:r>
        <w:t xml:space="preserve">})、插值方式、对齐方式、边界策略等参数均来自同一入口、同一实例或同一配置派生结果。</w:t>
      </w:r>
    </w:p>
    <w:p>
      <w:pPr>
        <w:pStyle w:val="BlockText"/>
      </w:pPr>
      <w:r>
        <w:rPr>
          <w:bCs/>
          <w:b/>
        </w:rPr>
        <w:t xml:space="preserve">强制约定 2（全书不变）</w:t>
      </w:r>
      <w:r>
        <w:t xml:space="preserve">：任何实验若出现 (H</w:t>
      </w:r>
      <w:r>
        <w:t xml:space="preserve">)（实现或参数不一致），应被标注为“</w:t>
      </w:r>
      <w:r>
        <w:rPr>
          <w:bCs/>
          <w:b/>
        </w:rPr>
        <w:t xml:space="preserve">口径不一致负例</w:t>
      </w:r>
      <w:r>
        <w:t xml:space="preserve">”，不得与主结果并列比较（仅可用于断裂示例或反例论证）。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.3-评测口径指标h_-的严格定义"/>
    <w:p>
      <w:pPr>
        <w:pStyle w:val="Heading2"/>
      </w:pPr>
      <w:r>
        <w:t xml:space="preserve">A.3 评测口径指标：(H_{</w:t>
      </w:r>
      <w:r>
        <w:t xml:space="preserve">}) 的严格定义</w:t>
      </w:r>
    </w:p>
    <w:p>
      <w:pPr>
        <w:pStyle w:val="FirstParagraph"/>
      </w:pPr>
      <w:r>
        <w:t xml:space="preserve">为将“数学重建误差”与“评测口径误差”区分并统一，本文定义：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重建误差（示例：Rel-L2）</w:t>
      </w:r>
      <w:r>
        <w:br/>
      </w:r>
      <w:r>
        <w:t xml:space="preserve">若在原值域上报告：</w:t>
      </w:r>
      <w:r>
        <w:t xml:space="preserve"> </w:t>
      </w:r>
      <w:r>
        <w:t xml:space="preserve">[</w:t>
      </w:r>
      <w:r>
        <w:t xml:space="preserve"> </w:t>
      </w:r>
      <w:r>
        <w:t xml:space="preserve">(</w:t>
      </w:r>
      <w:r>
        <w:t xml:space="preserve">,u) 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  <w:r>
        <w:t xml:space="preserve"> </w:t>
      </w:r>
      <w:r>
        <w:t xml:space="preserve">（若在 z-score 域上报告必须显式写为 (</w:t>
      </w:r>
      <w:r>
        <w:t xml:space="preserve">(</w:t>
      </w:r>
      <w:r>
        <w:rPr>
          <w:vertAlign w:val="superscript"/>
        </w:rPr>
        <w:t xml:space="preserve">{(z)},u</w:t>
      </w:r>
      <w:r>
        <w:t xml:space="preserve">{(z)}))。本文默认主表报告原值域版本。）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评测口径误差（观测一致性误差）</w:t>
      </w:r>
      <w:r>
        <w:br/>
      </w:r>
      <w:r>
        <w:t xml:space="preserve">[</w:t>
      </w:r>
      <w:r>
        <w:t xml:space="preserve"> </w:t>
      </w:r>
      <w:r>
        <w:t xml:space="preserve">H_{</w:t>
      </w:r>
      <w:r>
        <w:t xml:space="preserve">} </w:t>
      </w:r>
      <w:r>
        <w:t xml:space="preserve"> |H(</w:t>
      </w:r>
      <w:r>
        <w:t xml:space="preserve">)-y|</w:t>
      </w:r>
      <w:r>
        <w:rPr>
          <w:iCs/>
          <w:i/>
        </w:rPr>
        <w:t xml:space="preserve">2,</w:t>
      </w:r>
      <w:r>
        <w:rPr>
          <w:iCs/>
          <w:i/>
        </w:rPr>
        <w:t xml:space="preserve"> </w:t>
      </w:r>
      <w:r>
        <w:rPr>
          <w:iCs/>
          <w:i/>
        </w:rPr>
        <w:t xml:space="preserve">]</w:t>
      </w:r>
      <w:r>
        <w:rPr>
          <w:iCs/>
          <w:i/>
        </w:rPr>
        <w:t xml:space="preserve"> </w:t>
      </w:r>
      <w:r>
        <w:rPr>
          <w:iCs/>
          <w:i/>
        </w:rPr>
        <w:t xml:space="preserve">或使用归一化形式：</w:t>
      </w:r>
      <w:r>
        <w:rPr>
          <w:iCs/>
          <w:i/>
        </w:rPr>
        <w:t xml:space="preserve"> </w:t>
      </w:r>
      <w:r>
        <w:rPr>
          <w:iCs/>
          <w:i/>
        </w:rPr>
        <w:t xml:space="preserve">[</w:t>
      </w:r>
      <w:r>
        <w:rPr>
          <w:iCs/>
          <w:i/>
        </w:rPr>
        <w:t xml:space="preserve"> </w:t>
      </w:r>
      <w:r>
        <w:rPr>
          <w:iCs/>
          <w:i/>
        </w:rPr>
        <w:t xml:space="preserve">H</w:t>
      </w:r>
      <w:r>
        <w:t xml:space="preserve">{</w:t>
      </w:r>
      <w:r>
        <w:t xml:space="preserve">}^{(</w:t>
      </w:r>
      <w:r>
        <w:t xml:space="preserve">)} </w:t>
      </w:r>
      <w:r>
        <w:t xml:space="preserve"> 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lockText"/>
      </w:pPr>
      <w:r>
        <w:rPr>
          <w:bCs/>
          <w:b/>
        </w:rPr>
        <w:t xml:space="preserve">强制约定 3（全书不变）</w:t>
      </w:r>
      <w:r>
        <w:t xml:space="preserve">：(H_{</w:t>
      </w:r>
      <w:r>
        <w:t xml:space="preserve">}) 中的 (H(</w:t>
      </w:r>
      <w:r>
        <w:t xml:space="preserve">)) 输入必须是</w:t>
      </w:r>
      <w: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)</w:t>
      </w:r>
      <w:r>
        <w:t xml:space="preserve">（反归一化后的原值域预测），不得直接对 (</w:t>
      </w:r>
      <w:r>
        <w:t xml:space="preserve">^{(z)}) 计算。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fRMSE (Frequency RMSE)</w:t>
      </w:r>
      <w:r>
        <w:t xml:space="preserve"> </w:t>
      </w:r>
      <w:r>
        <w:t xml:space="preserve">[</w:t>
      </w:r>
      <w:r>
        <w:t xml:space="preserve"> </w:t>
      </w:r>
      <w:r>
        <w:t xml:space="preserve">(</w:t>
      </w:r>
      <w:r>
        <w:t xml:space="preserve">) =</w:t>
      </w:r>
      <w:r>
        <w:t xml:space="preserve"> </w:t>
      </w:r>
      <w:r>
        <w:t xml:space="preserve"> </w:t>
      </w:r>
      <w:r>
        <w:t xml:space="preserve">]</w:t>
      </w:r>
      <w:r>
        <w:t xml:space="preserve"> </w:t>
      </w:r>
      <w:r>
        <w:t xml:space="preserve">其中 (</w:t>
      </w:r>
      <w:r>
        <w:t xml:space="preserve">) 分为 low/mid/high 三段（详见第6章定义），(|</w:t>
      </w:r>
      <w:r>
        <w:t xml:space="preserve">|) 表示取模（关注能量谱误差）。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DC Error (Data Consistency Error)</w:t>
      </w:r>
      <w:r>
        <w:t xml:space="preserve"> </w:t>
      </w:r>
      <w:r>
        <w:t xml:space="preserve">同 (H_{</w:t>
      </w:r>
      <w:r>
        <w:t xml:space="preserve">})，即 (|H(</w:t>
      </w:r>
      <w:r>
        <w:t xml:space="preserve">)-y|_2)。</w:t>
      </w:r>
    </w:p>
    <w:p>
      <w:r>
        <w:pict>
          <v:rect style="width:0;height:1.5pt" o:hralign="center" o:hrstd="t" o:hr="t"/>
        </w:pict>
      </w:r>
    </w:p>
    <w:bookmarkEnd w:id="25"/>
    <w:bookmarkStart w:id="26" w:name="a.4-三件套损失的域一致性训练目标口径"/>
    <w:p>
      <w:pPr>
        <w:pStyle w:val="Heading2"/>
      </w:pPr>
      <w:r>
        <w:t xml:space="preserve">A.4 三件套损失的域一致性（训练目标口径）</w:t>
      </w:r>
    </w:p>
    <w:p>
      <w:pPr>
        <w:pStyle w:val="FirstParagraph"/>
      </w:pPr>
      <w:r>
        <w:t xml:space="preserve">训练阶段，网络输出为 (</w:t>
      </w:r>
      <w:r>
        <w:t xml:space="preserve">^{(z)})，反归一化得到 (</w:t>
      </w:r>
      <w:r>
        <w:t xml:space="preserve">)。本文损失统一写为：</w:t>
      </w:r>
      <w:r>
        <w:t xml:space="preserve"> </w:t>
      </w:r>
      <w:r>
        <w:t xml:space="preserve">[</w:t>
      </w:r>
      <w:r>
        <w:t xml:space="preserve"> </w:t>
      </w:r>
      <w:r>
        <w:t xml:space="preserve">L = L_{</w:t>
      </w:r>
      <w:r>
        <w:t xml:space="preserve">} +</w:t>
      </w:r>
      <w:r>
        <w:t xml:space="preserve"> </w:t>
      </w:r>
      <w:r>
        <w:rPr>
          <w:iCs/>
          <w:i/>
        </w:rPr>
        <w:t xml:space="preserve">s L</w:t>
      </w:r>
      <w:r>
        <w:t xml:space="preserve">{</w:t>
      </w:r>
      <w:r>
        <w:t xml:space="preserve">} +</w:t>
      </w:r>
      <w:r>
        <w:t xml:space="preserve"> </w:t>
      </w:r>
      <w:r>
        <w:rPr>
          <w:iCs/>
          <w:i/>
        </w:rPr>
        <w:t xml:space="preserve">{dc}L</w:t>
      </w:r>
      <w:r>
        <w:t xml:space="preserve">{dc}.</w:t>
      </w:r>
      <w:r>
        <w:t xml:space="preserve"> </w:t>
      </w:r>
      <w:r>
        <w:t xml:space="preserve">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重建损失（z-score 域）</w:t>
      </w:r>
      <w:r>
        <w:t xml:space="preserve">：</w:t>
      </w:r>
      <w:r>
        <w:t xml:space="preserve"> </w:t>
      </w:r>
      <w:r>
        <w:t xml:space="preserve">[</w:t>
      </w:r>
      <w:r>
        <w:t xml:space="preserve"> </w:t>
      </w:r>
      <w:r>
        <w:t xml:space="preserve">L_{</w:t>
      </w:r>
      <w:r>
        <w:t xml:space="preserve">} = |</w:t>
      </w:r>
      <w:r>
        <w:rPr>
          <w:vertAlign w:val="superscript"/>
        </w:rPr>
        <w:t xml:space="preserve">{(z)}-u</w:t>
      </w:r>
      <w:r>
        <w:t xml:space="preserve">{(z)}|_2^2.</w:t>
      </w:r>
      <w:r>
        <w:t xml:space="preserve"> </w:t>
      </w:r>
      <w:r>
        <w:t xml:space="preserve">]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低频谱一致性损失（z-score 域）</w:t>
      </w:r>
      <w:r>
        <w:t xml:space="preserve">：设二维傅里叶变换为 (</w:t>
      </w:r>
      <w:r>
        <w:rPr>
          <w:iCs/>
          <w:i/>
        </w:rPr>
        <w:t xml:space="preserve">{2D}(</w:t>
      </w:r>
      <w:r>
        <w:rPr>
          <w:iCs/>
          <w:i/>
        </w:rPr>
        <w:t xml:space="preserve">))，低频索引集合为 (</w:t>
      </w:r>
      <w:r>
        <w:t xml:space="preserve">{</w:t>
      </w:r>
      <w:r>
        <w:t xml:space="preserve">})。定义</w:t>
      </w:r>
      <w:r>
        <w:t xml:space="preserve"> </w:t>
      </w:r>
      <w:r>
        <w:t xml:space="preserve">[</w:t>
      </w:r>
      <w:r>
        <w:t xml:space="preserve"> </w:t>
      </w:r>
      <w:r>
        <w:t xml:space="preserve">L_{</w:t>
      </w:r>
      <w:r>
        <w:t xml:space="preserve">} =</w:t>
      </w:r>
      <w:r>
        <w:t xml:space="preserve"> </w:t>
      </w:r>
      <w:r>
        <w:rPr>
          <w:iCs/>
          <w:i/>
        </w:rPr>
        <w:t xml:space="preserve">{(k_x,k_y)</w:t>
      </w:r>
      <w:r>
        <w:t xml:space="preserve">{</w:t>
      </w:r>
      <w:r>
        <w:t xml:space="preserve">}}</w:t>
      </w:r>
      <w:r>
        <w:t xml:space="preserve"> </w:t>
      </w:r>
      <w:r>
        <w:t xml:space="preserve">|</w:t>
      </w:r>
      <w:r>
        <w:rPr>
          <w:iCs/>
          <w:i/>
        </w:rPr>
        <w:t xml:space="preserve">{2D}(</w:t>
      </w:r>
      <w:r>
        <w:rPr>
          <w:vertAlign w:val="superscript"/>
          <w:iCs/>
          <w:i/>
        </w:rPr>
        <w:t xml:space="preserve">{(z)})</w:t>
      </w:r>
      <w:r>
        <w:rPr>
          <w:iCs/>
          <w:i/>
          <w:vertAlign w:val="superscript"/>
          <w:iCs/>
          <w:i/>
        </w:rPr>
        <w:t xml:space="preserve">{k_x,k_y}-</w:t>
      </w:r>
      <w:r>
        <w:rPr>
          <w:vertAlign w:val="superscript"/>
          <w:iCs/>
          <w:i/>
        </w:rPr>
        <w:t xml:space="preserve">{2D}(u</w:t>
      </w:r>
      <w:r>
        <w:rPr>
          <w:iCs/>
          <w:i/>
        </w:rPr>
        <w:t xml:space="preserve">{(z)})</w:t>
      </w:r>
      <w:r>
        <w:t xml:space="preserve">{k_x,k_y}</w:t>
      </w:r>
      <w:r>
        <w:t xml:space="preserve">|</w:t>
      </w:r>
      <w:r>
        <w:rPr>
          <w:iCs/>
          <w:i/>
        </w:rPr>
        <w:t xml:space="preserve">2^2.</w:t>
      </w:r>
      <w:r>
        <w:rPr>
          <w:iCs/>
          <w:i/>
        </w:rPr>
        <w:t xml:space="preserve"> </w:t>
      </w:r>
      <w:r>
        <w:rPr>
          <w:iCs/>
          <w:i/>
        </w:rPr>
        <w:t xml:space="preserve">]</w:t>
      </w:r>
      <w:r>
        <w:rPr>
          <w:iCs/>
          <w:i/>
        </w:rPr>
        <w:t xml:space="preserve"> </w:t>
      </w:r>
      <w:r>
        <w:rPr>
          <w:iCs/>
          <w:i/>
        </w:rPr>
        <w:t xml:space="preserve">默认可采用</w:t>
      </w:r>
      <w:r>
        <w:rPr>
          <w:iCs/>
          <w:i/>
        </w:rPr>
        <w:t xml:space="preserve"> </w:t>
      </w:r>
      <w:r>
        <w:rPr>
          <w:iCs/>
          <w:i/>
        </w:rPr>
        <w:t xml:space="preserve">[</w:t>
      </w:r>
      <w:r>
        <w:rPr>
          <w:iCs/>
          <w:i/>
        </w:rPr>
        <w:t xml:space="preserve"> </w:t>
      </w:r>
      <w:r>
        <w:t xml:space="preserve">{</w:t>
      </w:r>
      <w:r>
        <w:t xml:space="preserve">}={(k_x,k_y),:,k_x</w:t>
      </w:r>
      <w:r>
        <w:t xml:space="preserve">, k_y</w:t>
      </w:r>
      <w:r>
        <w:t xml:space="preserve">},</w:t>
      </w:r>
      <w:r>
        <w:t xml:space="preserve"> </w:t>
      </w:r>
      <w:r>
        <w:t xml:space="preserve">]</w:t>
      </w:r>
      <w:r>
        <w:t xml:space="preserve"> </w:t>
      </w:r>
      <w:r>
        <w:t xml:space="preserve">但若跨分辨率评测，应在配置中声明是否按比例缩放 (</w:t>
      </w:r>
      <w:r>
        <w:t xml:space="preserve">_{</w:t>
      </w:r>
      <w:r>
        <w:t xml:space="preserve">})（避免“低频”含义随分辨率漂移）。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原值域观测一致性损失（原值域）</w:t>
      </w:r>
      <w:r>
        <w:t xml:space="preserve">：</w:t>
      </w:r>
      <w:r>
        <w:t xml:space="preserve"> </w:t>
      </w:r>
      <w:r>
        <w:t xml:space="preserve">[</w:t>
      </w:r>
      <w:r>
        <w:t xml:space="preserve"> </w:t>
      </w:r>
      <w:r>
        <w:t xml:space="preserve">L_{dc} = |H(</w:t>
      </w:r>
      <w:r>
        <w:t xml:space="preserve">)-y|_2^2.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6"/>
    <w:bookmarkStart w:id="27" w:name="a.5-符号消歧义全书统一写法"/>
    <w:p>
      <w:pPr>
        <w:pStyle w:val="Heading2"/>
      </w:pPr>
      <w:r>
        <w:t xml:space="preserve">A.5</w:t>
      </w:r>
      <w:r>
        <w:t xml:space="preserve"> </w:t>
      </w:r>
      <w:r>
        <w:t xml:space="preserve">“</w:t>
      </w:r>
      <w:r>
        <w:t xml:space="preserve">(</w:t>
      </w:r>
      <w:r>
        <w:t xml:space="preserve">)</w:t>
      </w:r>
      <w:r>
        <w:t xml:space="preserve">”</w:t>
      </w:r>
      <w:r>
        <w:t xml:space="preserve"> </w:t>
      </w:r>
      <w:r>
        <w:t xml:space="preserve">符号消歧义（全书统一写法）</w:t>
      </w:r>
    </w:p>
    <w:p>
      <w:pPr>
        <w:pStyle w:val="FirstParagraph"/>
      </w:pPr>
      <w:r>
        <w:t xml:space="preserve">为避免歧义，本文规定：</w:t>
      </w:r>
    </w:p>
    <w:p>
      <w:pPr>
        <w:numPr>
          <w:ilvl w:val="0"/>
          <w:numId w:val="1006"/>
        </w:numPr>
        <w:pStyle w:val="Compact"/>
      </w:pPr>
      <w:r>
        <w:t xml:space="preserve">(</w:t>
      </w:r>
      <w:r>
        <w:rPr>
          <w:iCs/>
          <w:i/>
        </w:rPr>
        <w:t xml:space="preserve">{</w:t>
      </w:r>
      <w:r>
        <w:rPr>
          <w:iCs/>
          <w:i/>
        </w:rPr>
        <w:t xml:space="preserve">})：观测算子 (H</w:t>
      </w:r>
      <w:r>
        <w:t xml:space="preserve">{</w:t>
      </w:r>
      <w:r>
        <w:t xml:space="preserve">}) 中的高斯模糊标准差；</w:t>
      </w:r>
    </w:p>
    <w:p>
      <w:pPr>
        <w:numPr>
          <w:ilvl w:val="0"/>
          <w:numId w:val="1006"/>
        </w:numPr>
        <w:pStyle w:val="Compact"/>
      </w:pPr>
      <w:r>
        <w:t xml:space="preserve">(</w:t>
      </w:r>
      <w:r>
        <w:t xml:space="preserve">_z)：z-score 标准化的逐通道标准差（来自</w:t>
      </w:r>
      <w:r>
        <w:t xml:space="preserve"> </w:t>
      </w:r>
      <w:r>
        <w:rPr>
          <w:rStyle w:val="VerbatimChar"/>
        </w:rPr>
        <w:t xml:space="preserve">norm_stat.npz</w:t>
      </w:r>
      <w:r>
        <w:t xml:space="preserve">）。</w:t>
      </w:r>
    </w:p>
    <w:p>
      <w:pPr>
        <w:pStyle w:val="BlockText"/>
      </w:pPr>
      <w:r>
        <w:rPr>
          <w:bCs/>
          <w:b/>
        </w:rPr>
        <w:t xml:space="preserve">强制约定 4（全书不变）</w:t>
      </w:r>
      <w:r>
        <w:t xml:space="preserve">：正文中单独写</w:t>
      </w:r>
      <w:r>
        <w:t xml:space="preserve"> </w:t>
      </w:r>
      <w:r>
        <w:t xml:space="preserve">“</w:t>
      </w:r>
      <w:r>
        <w:t xml:space="preserve">(</w:t>
      </w:r>
      <w:r>
        <w:t xml:space="preserve">)</w:t>
      </w:r>
      <w:r>
        <w:t xml:space="preserve">”</w:t>
      </w:r>
      <w:r>
        <w:t xml:space="preserve"> </w:t>
      </w:r>
      <w:r>
        <w:t xml:space="preserve">视为不合格表述，必须写为 (</w:t>
      </w:r>
      <w:r>
        <w:t xml:space="preserve">_{</w:t>
      </w:r>
      <w:r>
        <w:t xml:space="preserve">}) 或 (</w:t>
      </w:r>
      <w:r>
        <w:t xml:space="preserve">_z)。</w:t>
      </w:r>
    </w:p>
    <w:p>
      <w:r>
        <w:pict>
          <v:rect style="width:0;height:1.5pt" o:hralign="center" o:hrstd="t" o:hr="t"/>
        </w:pict>
      </w:r>
    </w:p>
    <w:bookmarkEnd w:id="27"/>
    <w:bookmarkStart w:id="28" w:name="a.6-一致性脚本与验收阈值工程与统计口径"/>
    <w:p>
      <w:pPr>
        <w:pStyle w:val="Heading2"/>
      </w:pPr>
      <w:r>
        <w:t xml:space="preserve">A.6 一致性脚本与验收阈值（工程与统计口径）</w:t>
      </w:r>
    </w:p>
    <w:p>
      <w:pPr>
        <w:pStyle w:val="FirstParagraph"/>
      </w:pPr>
      <w:r>
        <w:t xml:space="preserve">运行一致性脚本</w:t>
      </w:r>
      <w:r>
        <w:t xml:space="preserve"> </w:t>
      </w:r>
      <w:r>
        <w:rPr>
          <w:rStyle w:val="VerbatimChar"/>
        </w:rPr>
        <w:t xml:space="preserve">tools/check_dc_equivalence.py</w:t>
      </w:r>
      <w:r>
        <w:t xml:space="preserve">，随机抽样不少于 (N</w:t>
      </w:r>
      <w:r>
        <w:t xml:space="preserve">) 个样本，计算</w:t>
      </w:r>
      <w:r>
        <w:t xml:space="preserve"> </w:t>
      </w:r>
      <w:r>
        <w:t xml:space="preserve">[</w:t>
      </w:r>
      <w:r>
        <w:t xml:space="preserve"> </w:t>
      </w:r>
      <w:r>
        <w:t xml:space="preserve">e</w:t>
      </w:r>
      <w:r>
        <w:rPr>
          <w:vertAlign w:val="superscript"/>
        </w:rPr>
        <w:t xml:space="preserve">{(i)}=</w:t>
      </w:r>
      <w:r>
        <w:rPr>
          <w:vertAlign w:val="superscript"/>
        </w:rPr>
        <w:t xml:space="preserve">!</w:t>
      </w:r>
      <w:r>
        <w:rPr>
          <w:vertAlign w:val="superscript"/>
        </w:rPr>
        <w:t xml:space="preserve">(H(u</w:t>
      </w:r>
      <w:r>
        <w:t xml:space="preserve">{(i)}),,y^{(i)}</w:t>
      </w:r>
      <w:r>
        <w:t xml:space="preserve">),</w:t>
      </w:r>
      <w:r>
        <w:t xml:space="preserve"> </w:t>
      </w:r>
      <w:r>
        <w:t xml:space="preserve">{e}=</w:t>
      </w:r>
      <w:r>
        <w:rPr>
          <w:iCs/>
          <w:i/>
        </w:rPr>
        <w:t xml:space="preserve">{i=1}^{N} e^{(i)},</w:t>
      </w:r>
      <w:r>
        <w:rPr>
          <w:iCs/>
          <w:i/>
        </w:rPr>
        <w:t xml:space="preserve">e</w:t>
      </w:r>
      <w:r>
        <w:t xml:space="preserve">{</w:t>
      </w:r>
      <w:r>
        <w:t xml:space="preserve">}=</w:t>
      </w:r>
      <w:r>
        <w:t xml:space="preserve">_i e^{(i)}.</w:t>
      </w:r>
      <w:r>
        <w:t xml:space="preserve"> </w:t>
      </w:r>
      <w:r>
        <w:t xml:space="preserve">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无噪声情形（(n_t=0)）建议阈值</w:t>
      </w:r>
      <w:r>
        <w:t xml:space="preserve">：</w:t>
      </w:r>
      <w:r>
        <w:br/>
      </w:r>
      <w:r>
        <w:t xml:space="preserve">[</w:t>
      </w:r>
      <w:r>
        <w:t xml:space="preserve"> </w:t>
      </w:r>
      <w:r>
        <w:t xml:space="preserve">{e}&lt;10</w:t>
      </w:r>
      <w:r>
        <w:rPr>
          <w:vertAlign w:val="superscript"/>
        </w:rPr>
        <w:t xml:space="preserve">{-8},</w:t>
      </w:r>
      <w:r>
        <w:rPr>
          <w:vertAlign w:val="superscript"/>
        </w:rPr>
        <w:t xml:space="preserve">e_{</w:t>
      </w:r>
      <w:r>
        <w:rPr>
          <w:vertAlign w:val="superscript"/>
        </w:rPr>
        <w:t xml:space="preserve">}&lt;10</w:t>
      </w:r>
      <w:r>
        <w:t xml:space="preserve">{-7}.</w:t>
      </w:r>
      <w:r>
        <w:t xml:space="preserve"> </w:t>
      </w:r>
      <w:r>
        <w:t xml:space="preserve">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有噪声情形</w:t>
      </w:r>
      <w:r>
        <w:t xml:space="preserve">：阈值需与噪声尺度绑定（例如按 (</w:t>
      </w:r>
      <w:r>
        <w:t xml:space="preserve">|n|^2) 或观测域方差设定），并在报告中记录。</w:t>
      </w:r>
    </w:p>
    <w:p>
      <w:pPr>
        <w:pStyle w:val="BlockText"/>
      </w:pPr>
      <w:r>
        <w:rPr>
          <w:bCs/>
          <w:b/>
        </w:rPr>
        <w:t xml:space="preserve">验收原则</w:t>
      </w:r>
      <w:r>
        <w:t xml:space="preserve">：若未通过一致性阈值，则该实验不进入主结果汇总（仅可作为口径不一致负例）。</w:t>
      </w:r>
    </w:p>
    <w:p>
      <w:r>
        <w:pict>
          <v:rect style="width:0;height:1.5pt" o:hralign="center" o:hrstd="t" o:hr="t"/>
        </w:pict>
      </w:r>
    </w:p>
    <w:bookmarkEnd w:id="28"/>
    <w:bookmarkStart w:id="29" w:name="a.7-口径卡使用规则写作与汇总的硬约束"/>
    <w:p>
      <w:pPr>
        <w:pStyle w:val="Heading2"/>
      </w:pPr>
      <w:r>
        <w:t xml:space="preserve">A.7 口径卡使用规则（写作与汇总的硬约束）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口径先行</w:t>
      </w:r>
      <w:r>
        <w:t xml:space="preserve">：任何消融、对比、SOTA 复现必须先通过 A.6 一致性脚本。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域清晰</w:t>
      </w:r>
      <w:r>
        <w:t xml:space="preserve">：凡出现 (</w:t>
      </w:r>
      <w:r>
        <w:rPr>
          <w:vertAlign w:val="superscript"/>
        </w:rPr>
        <w:t xml:space="preserve">{(z)})、(u</w:t>
      </w:r>
      <w:r>
        <w:t xml:space="preserve">{(z)})、(</w:t>
      </w:r>
      <w:r>
        <w:t xml:space="preserve">)、(u) 的指标或损失，必须明确其所在域。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指标一致</w:t>
      </w:r>
      <w:r>
        <w:t xml:space="preserve">：主表默认报告原值域 Rel-L2 与 (H_{</w:t>
      </w:r>
      <w:r>
        <w:t xml:space="preserve">})；如需报告 z-score 域版本，必须额外标注</w:t>
      </w:r>
      <w:r>
        <w:t xml:space="preserve"> </w:t>
      </w:r>
      <w:r>
        <w:t xml:space="preserve">“</w:t>
      </w:r>
      <w:r>
        <w:t xml:space="preserve">(z-score)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End w:id="30"/>
    <w:sectPr w:rsidR="00FC693F" w:rsidRPr="0006063C" w:rsidSect="00034616">
      <w:pgSz w:h="16838" w:w="11906"/>
      <w:pgMar w:bottom="1417" w:footer="1134" w:gutter="0" w:header="1417" w:left="1417" w:right="1417" w:top="198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300" w:before="0" w:line="360" w:lineRule="auto"/>
      <w:ind w:firstLine="0"/>
      <w:jc w:val="left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140" w:line="360" w:lineRule="auto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120" w:line="360" w:lineRule="auto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0" w:before="0" w:line="300" w:lineRule="auto"/>
      <w:ind w:firstLine="0"/>
      <w:jc w:val="center"/>
    </w:pPr>
    <w:rPr>
      <w:rFonts w:ascii="Times New Roman" w:eastAsia="宋体" w:hAnsi="Times New Roman"/>
      <w:b w:val="0"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enteredHeading" w:type="paragraph">
    <w:name w:val="CenteredHeading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Title" w:type="paragraph">
    <w:name w:val="AbstractTitle"/>
    <w:pPr>
      <w:spacing w:after="300" w:before="0" w:line="360" w:lineRule="auto"/>
      <w:ind w:firstLine="0"/>
      <w:jc w:val="center"/>
    </w:pPr>
    <w:rPr>
      <w:rFonts w:ascii="Times New Roman" w:eastAsia="黑体" w:hAnsi="Times New Roman"/>
      <w:b/>
      <w:color w:val="000000"/>
      <w:sz w:val="30"/>
    </w:rPr>
  </w:style>
  <w:style w:customStyle="1" w:styleId="AbstractBody" w:type="paragraph">
    <w:name w:val="AbstractBody"/>
    <w:pPr>
      <w:spacing w:after="0" w:before="0" w:line="300" w:lineRule="auto"/>
      <w:ind w:firstLine="480"/>
      <w:jc w:val="both"/>
    </w:pPr>
    <w:rPr>
      <w:rFonts w:ascii="Times New Roman" w:eastAsia="宋体" w:hAnsi="Times New Roman"/>
      <w:b w:val="0"/>
      <w:color w:val="000000"/>
      <w:sz w:val="24"/>
    </w:rPr>
  </w:style>
  <w:style w:customStyle="1" w:styleId="ReferencesBody" w:type="paragraph">
    <w:name w:val="ReferencesBody"/>
    <w:pPr>
      <w:spacing w:after="0" w:before="0" w:line="300" w:lineRule="auto"/>
      <w:ind w:firstLine="0"/>
      <w:jc w:val="left"/>
    </w:pPr>
    <w:rPr>
      <w:rFonts w:ascii="Times New Roman" w:eastAsia="宋体" w:hAnsi="Times New Roman"/>
      <w:b w:val="0"/>
      <w:color w:val="000000"/>
      <w:sz w:val="21"/>
    </w:rPr>
  </w:style>
  <w:style w:customStyle="1" w:styleId="KeywordsLabel" w:type="character">
    <w:name w:val="KeywordsLabel"/>
    <w:rPr>
      <w:rFonts w:ascii="Times New Roman" w:eastAsia="黑体" w:hAnsi="Times New Roman"/>
      <w:b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2026-01-17T17:20:20Z</dcterms:created>
  <dcterms:modified xsi:type="dcterms:W3CDTF">2026-01-17T17:20:20Z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