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论文写作检查清单"/>
    <w:p>
      <w:pPr>
        <w:pStyle w:val="Heading1"/>
      </w:pPr>
      <w:r>
        <w:t xml:space="preserve">论文写作检查清单</w:t>
      </w:r>
    </w:p>
    <w:bookmarkStart w:id="20" w:name="写作前准备"/>
    <w:p>
      <w:pPr>
        <w:pStyle w:val="Heading2"/>
      </w:pPr>
      <w:r>
        <w:t xml:space="preserve">写作前准备</w:t>
      </w:r>
    </w:p>
    <w:p>
      <w:pPr>
        <w:numPr>
          <w:ilvl w:val="0"/>
          <w:numId w:val="1001"/>
        </w:numPr>
        <w:pStyle w:val="Compact"/>
      </w:pPr>
      <w:r>
        <w:t xml:space="preserve">☐ 确定论文结构和大纲</w:t>
      </w:r>
    </w:p>
    <w:p>
      <w:pPr>
        <w:numPr>
          <w:ilvl w:val="0"/>
          <w:numId w:val="1001"/>
        </w:numPr>
        <w:pStyle w:val="Compact"/>
      </w:pPr>
      <w:r>
        <w:t xml:space="preserve">☐ 收集所有实验数据和结果</w:t>
      </w:r>
    </w:p>
    <w:p>
      <w:pPr>
        <w:numPr>
          <w:ilvl w:val="0"/>
          <w:numId w:val="1001"/>
        </w:numPr>
        <w:pStyle w:val="Compact"/>
      </w:pPr>
      <w:r>
        <w:t xml:space="preserve">☐ 准备图表和可视化材料</w:t>
      </w:r>
    </w:p>
    <w:p>
      <w:pPr>
        <w:numPr>
          <w:ilvl w:val="0"/>
          <w:numId w:val="1001"/>
        </w:numPr>
        <w:pStyle w:val="Compact"/>
      </w:pPr>
      <w:r>
        <w:t xml:space="preserve">☐ 整理参考文献</w:t>
      </w:r>
    </w:p>
    <w:bookmarkEnd w:id="20"/>
    <w:bookmarkStart w:id="31" w:name="各章节写作检查"/>
    <w:p>
      <w:pPr>
        <w:pStyle w:val="Heading2"/>
      </w:pPr>
      <w:r>
        <w:t xml:space="preserve">各章节写作检查</w:t>
      </w:r>
    </w:p>
    <w:bookmarkStart w:id="21" w:name="摘要-abstract"/>
    <w:p>
      <w:pPr>
        <w:pStyle w:val="Heading3"/>
      </w:pPr>
      <w:r>
        <w:t xml:space="preserve">摘要 (Abstract)</w:t>
      </w:r>
    </w:p>
    <w:p>
      <w:pPr>
        <w:numPr>
          <w:ilvl w:val="0"/>
          <w:numId w:val="1002"/>
        </w:numPr>
        <w:pStyle w:val="Compact"/>
      </w:pPr>
      <w:r>
        <w:t xml:space="preserve">☐ 研究背景介绍清晰</w:t>
      </w:r>
    </w:p>
    <w:p>
      <w:pPr>
        <w:numPr>
          <w:ilvl w:val="0"/>
          <w:numId w:val="1002"/>
        </w:numPr>
        <w:pStyle w:val="Compact"/>
      </w:pPr>
      <w:r>
        <w:t xml:space="preserve">☐ 主要贡献突出</w:t>
      </w:r>
    </w:p>
    <w:p>
      <w:pPr>
        <w:numPr>
          <w:ilvl w:val="0"/>
          <w:numId w:val="1002"/>
        </w:numPr>
        <w:pStyle w:val="Compact"/>
      </w:pPr>
      <w:r>
        <w:t xml:space="preserve">☐ 关键结果数据完整</w:t>
      </w:r>
    </w:p>
    <w:p>
      <w:pPr>
        <w:numPr>
          <w:ilvl w:val="0"/>
          <w:numId w:val="1002"/>
        </w:numPr>
        <w:pStyle w:val="Compact"/>
      </w:pPr>
      <w:r>
        <w:t xml:space="preserve">☐ 创新点明确</w:t>
      </w:r>
    </w:p>
    <w:p>
      <w:pPr>
        <w:numPr>
          <w:ilvl w:val="0"/>
          <w:numId w:val="1002"/>
        </w:numPr>
        <w:pStyle w:val="Compact"/>
      </w:pPr>
      <w:r>
        <w:t xml:space="preserve">☐ 语言简洁准确</w:t>
      </w:r>
    </w:p>
    <w:bookmarkEnd w:id="21"/>
    <w:bookmarkStart w:id="22" w:name="第1章-绪论"/>
    <w:p>
      <w:pPr>
        <w:pStyle w:val="Heading3"/>
      </w:pPr>
      <w:r>
        <w:t xml:space="preserve">第1章 绪论</w:t>
      </w:r>
    </w:p>
    <w:p>
      <w:pPr>
        <w:numPr>
          <w:ilvl w:val="0"/>
          <w:numId w:val="1003"/>
        </w:numPr>
        <w:pStyle w:val="Compact"/>
      </w:pPr>
      <w:r>
        <w:t xml:space="preserve">☐ 研究背景充分</w:t>
      </w:r>
    </w:p>
    <w:p>
      <w:pPr>
        <w:numPr>
          <w:ilvl w:val="0"/>
          <w:numId w:val="1003"/>
        </w:numPr>
        <w:pStyle w:val="Compact"/>
      </w:pPr>
      <w:r>
        <w:t xml:space="preserve">☐ 问题定义明确</w:t>
      </w:r>
    </w:p>
    <w:p>
      <w:pPr>
        <w:numPr>
          <w:ilvl w:val="0"/>
          <w:numId w:val="1003"/>
        </w:numPr>
        <w:pStyle w:val="Compact"/>
      </w:pPr>
      <w:r>
        <w:t xml:space="preserve">☐ 研究意义阐述清楚</w:t>
      </w:r>
    </w:p>
    <w:p>
      <w:pPr>
        <w:numPr>
          <w:ilvl w:val="0"/>
          <w:numId w:val="1003"/>
        </w:numPr>
        <w:pStyle w:val="Compact"/>
      </w:pPr>
      <w:r>
        <w:t xml:space="preserve">☐ 国内外研究现状</w:t>
      </w:r>
    </w:p>
    <w:p>
      <w:pPr>
        <w:numPr>
          <w:ilvl w:val="0"/>
          <w:numId w:val="1003"/>
        </w:numPr>
        <w:pStyle w:val="Compact"/>
      </w:pPr>
      <w:r>
        <w:t xml:space="preserve">☐ 论文主要内容</w:t>
      </w:r>
    </w:p>
    <w:p>
      <w:pPr>
        <w:numPr>
          <w:ilvl w:val="0"/>
          <w:numId w:val="1003"/>
        </w:numPr>
        <w:pStyle w:val="Compact"/>
      </w:pPr>
      <w:r>
        <w:t xml:space="preserve">☐ 创新点总结</w:t>
      </w:r>
    </w:p>
    <w:p>
      <w:pPr>
        <w:numPr>
          <w:ilvl w:val="0"/>
          <w:numId w:val="1003"/>
        </w:numPr>
        <w:pStyle w:val="Compact"/>
      </w:pPr>
      <w:r>
        <w:t xml:space="preserve">☐ 论文结构安排</w:t>
      </w:r>
    </w:p>
    <w:bookmarkEnd w:id="22"/>
    <w:bookmarkStart w:id="23" w:name="第2章-相关工作"/>
    <w:p>
      <w:pPr>
        <w:pStyle w:val="Heading3"/>
      </w:pPr>
      <w:r>
        <w:t xml:space="preserve">第2章 相关工作</w:t>
      </w:r>
    </w:p>
    <w:p>
      <w:pPr>
        <w:numPr>
          <w:ilvl w:val="0"/>
          <w:numId w:val="1004"/>
        </w:numPr>
        <w:pStyle w:val="Compact"/>
      </w:pPr>
      <w:r>
        <w:t xml:space="preserve">☐ 流场重建方法综述完整</w:t>
      </w:r>
    </w:p>
    <w:p>
      <w:pPr>
        <w:numPr>
          <w:ilvl w:val="0"/>
          <w:numId w:val="1004"/>
        </w:numPr>
        <w:pStyle w:val="Compact"/>
      </w:pPr>
      <w:r>
        <w:t xml:space="preserve">☐ 稀疏观测技术综述</w:t>
      </w:r>
    </w:p>
    <w:p>
      <w:pPr>
        <w:numPr>
          <w:ilvl w:val="0"/>
          <w:numId w:val="1004"/>
        </w:numPr>
        <w:pStyle w:val="Compact"/>
      </w:pPr>
      <w:r>
        <w:t xml:space="preserve">☐ 时空建模方法综述</w:t>
      </w:r>
    </w:p>
    <w:p>
      <w:pPr>
        <w:numPr>
          <w:ilvl w:val="0"/>
          <w:numId w:val="1004"/>
        </w:numPr>
        <w:pStyle w:val="Compact"/>
      </w:pPr>
      <w:r>
        <w:t xml:space="preserve">☐ 现有方法对比分析</w:t>
      </w:r>
    </w:p>
    <w:p>
      <w:pPr>
        <w:numPr>
          <w:ilvl w:val="0"/>
          <w:numId w:val="1004"/>
        </w:numPr>
        <w:pStyle w:val="Compact"/>
      </w:pPr>
      <w:r>
        <w:t xml:space="preserve">☐ 研究空白识别</w:t>
      </w:r>
    </w:p>
    <w:p>
      <w:pPr>
        <w:numPr>
          <w:ilvl w:val="0"/>
          <w:numId w:val="1004"/>
        </w:numPr>
        <w:pStyle w:val="Compact"/>
      </w:pPr>
      <w:r>
        <w:t xml:space="preserve">☐ 本文方法定位清晰</w:t>
      </w:r>
    </w:p>
    <w:bookmarkEnd w:id="23"/>
    <w:bookmarkStart w:id="24" w:name="第3章-方法论"/>
    <w:p>
      <w:pPr>
        <w:pStyle w:val="Heading3"/>
      </w:pPr>
      <w:r>
        <w:t xml:space="preserve">第3章 方法论</w:t>
      </w:r>
    </w:p>
    <w:p>
      <w:pPr>
        <w:numPr>
          <w:ilvl w:val="0"/>
          <w:numId w:val="1005"/>
        </w:numPr>
        <w:pStyle w:val="Compact"/>
      </w:pPr>
      <w:r>
        <w:t xml:space="preserve">☐ 问题数学建模准确</w:t>
      </w:r>
    </w:p>
    <w:p>
      <w:pPr>
        <w:numPr>
          <w:ilvl w:val="0"/>
          <w:numId w:val="1005"/>
        </w:numPr>
        <w:pStyle w:val="Compact"/>
      </w:pPr>
      <w:r>
        <w:t xml:space="preserve">☐ 观测算子设计合理</w:t>
      </w:r>
    </w:p>
    <w:p>
      <w:pPr>
        <w:numPr>
          <w:ilvl w:val="0"/>
          <w:numId w:val="1005"/>
        </w:numPr>
        <w:pStyle w:val="Compact"/>
      </w:pPr>
      <w:r>
        <w:t xml:space="preserve">☐ 网络架构描述清楚</w:t>
      </w:r>
    </w:p>
    <w:p>
      <w:pPr>
        <w:numPr>
          <w:ilvl w:val="0"/>
          <w:numId w:val="1005"/>
        </w:numPr>
        <w:pStyle w:val="Compact"/>
      </w:pPr>
      <w:r>
        <w:t xml:space="preserve">☐ 损失函数设计完整</w:t>
      </w:r>
    </w:p>
    <w:p>
      <w:pPr>
        <w:numPr>
          <w:ilvl w:val="0"/>
          <w:numId w:val="1005"/>
        </w:numPr>
        <w:pStyle w:val="Compact"/>
      </w:pPr>
      <w:r>
        <w:t xml:space="preserve">☐ 算法流程清晰</w:t>
      </w:r>
    </w:p>
    <w:p>
      <w:pPr>
        <w:numPr>
          <w:ilvl w:val="0"/>
          <w:numId w:val="1005"/>
        </w:numPr>
        <w:pStyle w:val="Compact"/>
      </w:pPr>
      <w:r>
        <w:t xml:space="preserve">☐ 复杂度分析</w:t>
      </w:r>
    </w:p>
    <w:bookmarkEnd w:id="24"/>
    <w:bookmarkStart w:id="25" w:name="第4章-理论分析"/>
    <w:p>
      <w:pPr>
        <w:pStyle w:val="Heading3"/>
      </w:pPr>
      <w:r>
        <w:t xml:space="preserve">第4章 理论分析</w:t>
      </w:r>
    </w:p>
    <w:p>
      <w:pPr>
        <w:numPr>
          <w:ilvl w:val="0"/>
          <w:numId w:val="1006"/>
        </w:numPr>
        <w:pStyle w:val="Compact"/>
      </w:pPr>
      <w:r>
        <w:t xml:space="preserve">☐ 收敛性证明完整</w:t>
      </w:r>
    </w:p>
    <w:p>
      <w:pPr>
        <w:numPr>
          <w:ilvl w:val="0"/>
          <w:numId w:val="1006"/>
        </w:numPr>
        <w:pStyle w:val="Compact"/>
      </w:pPr>
      <w:r>
        <w:t xml:space="preserve">☐ 泛化能力分析</w:t>
      </w:r>
    </w:p>
    <w:p>
      <w:pPr>
        <w:numPr>
          <w:ilvl w:val="0"/>
          <w:numId w:val="1006"/>
        </w:numPr>
        <w:pStyle w:val="Compact"/>
      </w:pPr>
      <w:r>
        <w:t xml:space="preserve">☐ 观测一致性理论</w:t>
      </w:r>
    </w:p>
    <w:p>
      <w:pPr>
        <w:numPr>
          <w:ilvl w:val="0"/>
          <w:numId w:val="1006"/>
        </w:numPr>
        <w:pStyle w:val="Compact"/>
      </w:pPr>
      <w:r>
        <w:t xml:space="preserve">☐ 稳定性分析</w:t>
      </w:r>
    </w:p>
    <w:p>
      <w:pPr>
        <w:numPr>
          <w:ilvl w:val="0"/>
          <w:numId w:val="1006"/>
        </w:numPr>
        <w:pStyle w:val="Compact"/>
      </w:pPr>
      <w:r>
        <w:t xml:space="preserve">☐ 计算复杂度分析</w:t>
      </w:r>
    </w:p>
    <w:p>
      <w:pPr>
        <w:numPr>
          <w:ilvl w:val="0"/>
          <w:numId w:val="1006"/>
        </w:numPr>
        <w:pStyle w:val="Compact"/>
      </w:pPr>
      <w:r>
        <w:t xml:space="preserve">☐ 理论贡献突出</w:t>
      </w:r>
    </w:p>
    <w:bookmarkEnd w:id="25"/>
    <w:bookmarkStart w:id="26" w:name="第5章-算法设计"/>
    <w:p>
      <w:pPr>
        <w:pStyle w:val="Heading3"/>
      </w:pPr>
      <w:r>
        <w:t xml:space="preserve">第5章 算法设计</w:t>
      </w:r>
    </w:p>
    <w:p>
      <w:pPr>
        <w:numPr>
          <w:ilvl w:val="0"/>
          <w:numId w:val="1007"/>
        </w:numPr>
        <w:pStyle w:val="Compact"/>
      </w:pPr>
      <w:r>
        <w:t xml:space="preserve">☐ 整体算法框架</w:t>
      </w:r>
    </w:p>
    <w:p>
      <w:pPr>
        <w:numPr>
          <w:ilvl w:val="0"/>
          <w:numId w:val="1007"/>
        </w:numPr>
        <w:pStyle w:val="Compact"/>
      </w:pPr>
      <w:r>
        <w:t xml:space="preserve">☐ 关键组件实现</w:t>
      </w:r>
    </w:p>
    <w:p>
      <w:pPr>
        <w:numPr>
          <w:ilvl w:val="0"/>
          <w:numId w:val="1007"/>
        </w:numPr>
        <w:pStyle w:val="Compact"/>
      </w:pPr>
      <w:r>
        <w:t xml:space="preserve">☐ 超参数设置</w:t>
      </w:r>
    </w:p>
    <w:p>
      <w:pPr>
        <w:numPr>
          <w:ilvl w:val="0"/>
          <w:numId w:val="1007"/>
        </w:numPr>
        <w:pStyle w:val="Compact"/>
      </w:pPr>
      <w:r>
        <w:t xml:space="preserve">☐ 优化策略</w:t>
      </w:r>
    </w:p>
    <w:p>
      <w:pPr>
        <w:numPr>
          <w:ilvl w:val="0"/>
          <w:numId w:val="1007"/>
        </w:numPr>
        <w:pStyle w:val="Compact"/>
      </w:pPr>
      <w:r>
        <w:t xml:space="preserve">☐ 伪代码清晰</w:t>
      </w:r>
    </w:p>
    <w:p>
      <w:pPr>
        <w:numPr>
          <w:ilvl w:val="0"/>
          <w:numId w:val="1007"/>
        </w:numPr>
        <w:pStyle w:val="Compact"/>
      </w:pPr>
      <w:r>
        <w:t xml:space="preserve">☐ 实现细节</w:t>
      </w:r>
    </w:p>
    <w:bookmarkEnd w:id="26"/>
    <w:bookmarkStart w:id="27" w:name="第6章-实验结果"/>
    <w:p>
      <w:pPr>
        <w:pStyle w:val="Heading3"/>
      </w:pPr>
      <w:r>
        <w:t xml:space="preserve">第6章 实验结果</w:t>
      </w:r>
    </w:p>
    <w:p>
      <w:pPr>
        <w:numPr>
          <w:ilvl w:val="0"/>
          <w:numId w:val="1008"/>
        </w:numPr>
        <w:pStyle w:val="Compact"/>
      </w:pPr>
      <w:r>
        <w:t xml:space="preserve">☐ 实验设置完整</w:t>
      </w:r>
    </w:p>
    <w:p>
      <w:pPr>
        <w:numPr>
          <w:ilvl w:val="0"/>
          <w:numId w:val="1008"/>
        </w:numPr>
        <w:pStyle w:val="Compact"/>
      </w:pPr>
      <w:r>
        <w:t xml:space="preserve">☐ 数据集介绍充分</w:t>
      </w:r>
    </w:p>
    <w:p>
      <w:pPr>
        <w:numPr>
          <w:ilvl w:val="0"/>
          <w:numId w:val="1008"/>
        </w:numPr>
        <w:pStyle w:val="Compact"/>
      </w:pPr>
      <w:r>
        <w:t xml:space="preserve">☐ 评估指标合理</w:t>
      </w:r>
    </w:p>
    <w:p>
      <w:pPr>
        <w:numPr>
          <w:ilvl w:val="0"/>
          <w:numId w:val="1008"/>
        </w:numPr>
        <w:pStyle w:val="Compact"/>
      </w:pPr>
      <w:r>
        <w:t xml:space="preserve">☐ 主实验结果完整</w:t>
      </w:r>
    </w:p>
    <w:p>
      <w:pPr>
        <w:numPr>
          <w:ilvl w:val="0"/>
          <w:numId w:val="1008"/>
        </w:numPr>
        <w:pStyle w:val="Compact"/>
      </w:pPr>
      <w:r>
        <w:t xml:space="preserve">☐ 对比实验充分</w:t>
      </w:r>
    </w:p>
    <w:p>
      <w:pPr>
        <w:numPr>
          <w:ilvl w:val="0"/>
          <w:numId w:val="1008"/>
        </w:numPr>
        <w:pStyle w:val="Compact"/>
      </w:pPr>
      <w:r>
        <w:t xml:space="preserve">☐ 消融实验详细</w:t>
      </w:r>
    </w:p>
    <w:p>
      <w:pPr>
        <w:numPr>
          <w:ilvl w:val="0"/>
          <w:numId w:val="1008"/>
        </w:numPr>
        <w:pStyle w:val="Compact"/>
      </w:pPr>
      <w:r>
        <w:t xml:space="preserve">☐ 可视化分析深入</w:t>
      </w:r>
    </w:p>
    <w:p>
      <w:pPr>
        <w:numPr>
          <w:ilvl w:val="0"/>
          <w:numId w:val="1008"/>
        </w:numPr>
        <w:pStyle w:val="Compact"/>
      </w:pPr>
      <w:r>
        <w:t xml:space="preserve">☐ 统计显著性验证</w:t>
      </w:r>
    </w:p>
    <w:p>
      <w:pPr>
        <w:numPr>
          <w:ilvl w:val="0"/>
          <w:numId w:val="1008"/>
        </w:numPr>
        <w:pStyle w:val="Compact"/>
      </w:pPr>
      <w:r>
        <w:t xml:space="preserve">☐ 报告 ≥3 种子</w:t>
      </w:r>
      <w:r>
        <w:t xml:space="preserve"> </w:t>
      </w:r>
      <w:r>
        <w:rPr>
          <w:rStyle w:val="VerbatimChar"/>
        </w:rPr>
        <w:t xml:space="preserve">均值±标准差</w:t>
      </w:r>
    </w:p>
    <w:p>
      <w:pPr>
        <w:numPr>
          <w:ilvl w:val="0"/>
          <w:numId w:val="1008"/>
        </w:numPr>
        <w:pStyle w:val="Compact"/>
      </w:pPr>
      <w:r>
        <w:t xml:space="preserve">☐ 资源成本四项：</w:t>
      </w:r>
      <w:r>
        <w:rPr>
          <w:rStyle w:val="VerbatimChar"/>
        </w:rPr>
        <w:t xml:space="preserve">Params/FLOPs(@256²)/显存峰值/推理延迟</w:t>
      </w:r>
    </w:p>
    <w:p>
      <w:pPr>
        <w:numPr>
          <w:ilvl w:val="0"/>
          <w:numId w:val="1008"/>
        </w:numPr>
        <w:pStyle w:val="Compact"/>
      </w:pPr>
      <w:r>
        <w:t xml:space="preserve">☐ 指标包含：</w:t>
      </w:r>
      <w:r>
        <w:rPr>
          <w:rStyle w:val="VerbatimChar"/>
        </w:rPr>
        <w:t xml:space="preserve">Rel-L2、MAE、PSNR、SSIM、fRMSE-low/mid/high、bRMSE、cRMSE、||H(ŷ)−y||</w:t>
      </w:r>
    </w:p>
    <w:p>
      <w:pPr>
        <w:numPr>
          <w:ilvl w:val="0"/>
          <w:numId w:val="1008"/>
        </w:numPr>
        <w:pStyle w:val="Compact"/>
      </w:pPr>
      <w:r>
        <w:t xml:space="preserve">☐ DC/H 一致性通过</w:t>
      </w:r>
      <w:r>
        <w:t xml:space="preserve"> </w:t>
      </w:r>
      <w:r>
        <w:rPr>
          <w:rStyle w:val="VerbatimChar"/>
        </w:rPr>
        <w:t xml:space="preserve">tools/check_dc_equivalence.py</w:t>
      </w:r>
    </w:p>
    <w:bookmarkEnd w:id="27"/>
    <w:bookmarkStart w:id="28" w:name="第7章-理论验证"/>
    <w:p>
      <w:pPr>
        <w:pStyle w:val="Heading3"/>
      </w:pPr>
      <w:r>
        <w:t xml:space="preserve">第7章 理论验证</w:t>
      </w:r>
    </w:p>
    <w:p>
      <w:pPr>
        <w:numPr>
          <w:ilvl w:val="0"/>
          <w:numId w:val="1009"/>
        </w:numPr>
        <w:pStyle w:val="Compact"/>
      </w:pPr>
      <w:r>
        <w:t xml:space="preserve">☐ 理论预测验证</w:t>
      </w:r>
    </w:p>
    <w:p>
      <w:pPr>
        <w:numPr>
          <w:ilvl w:val="0"/>
          <w:numId w:val="1009"/>
        </w:numPr>
        <w:pStyle w:val="Compact"/>
      </w:pPr>
      <w:r>
        <w:t xml:space="preserve">☐ 收敛性验证</w:t>
      </w:r>
    </w:p>
    <w:p>
      <w:pPr>
        <w:numPr>
          <w:ilvl w:val="0"/>
          <w:numId w:val="1009"/>
        </w:numPr>
        <w:pStyle w:val="Compact"/>
      </w:pPr>
      <w:r>
        <w:t xml:space="preserve">☐ 泛化能力验证</w:t>
      </w:r>
    </w:p>
    <w:p>
      <w:pPr>
        <w:numPr>
          <w:ilvl w:val="0"/>
          <w:numId w:val="1009"/>
        </w:numPr>
        <w:pStyle w:val="Compact"/>
      </w:pPr>
      <w:r>
        <w:t xml:space="preserve">☐ 稳定性验证</w:t>
      </w:r>
    </w:p>
    <w:p>
      <w:pPr>
        <w:numPr>
          <w:ilvl w:val="0"/>
          <w:numId w:val="1009"/>
        </w:numPr>
        <w:pStyle w:val="Compact"/>
      </w:pPr>
      <w:r>
        <w:t xml:space="preserve">☐ 计算效率验证</w:t>
      </w:r>
    </w:p>
    <w:p>
      <w:pPr>
        <w:numPr>
          <w:ilvl w:val="0"/>
          <w:numId w:val="1009"/>
        </w:numPr>
        <w:pStyle w:val="Compact"/>
      </w:pPr>
      <w:r>
        <w:t xml:space="preserve">☐ 理论实验一致性</w:t>
      </w:r>
    </w:p>
    <w:p>
      <w:pPr>
        <w:numPr>
          <w:ilvl w:val="0"/>
          <w:numId w:val="1009"/>
        </w:numPr>
        <w:pStyle w:val="Compact"/>
      </w:pPr>
      <w:r>
        <w:t xml:space="preserve">☐ 同一 YAML+种子重现实验，指标方差 ≤</w:t>
      </w:r>
      <w:r>
        <w:t xml:space="preserve"> </w:t>
      </w:r>
      <w:r>
        <w:rPr>
          <w:rStyle w:val="VerbatimChar"/>
        </w:rPr>
        <w:t xml:space="preserve">1e-4</w:t>
      </w:r>
    </w:p>
    <w:bookmarkEnd w:id="28"/>
    <w:bookmarkStart w:id="29" w:name="第8章-讨论"/>
    <w:p>
      <w:pPr>
        <w:pStyle w:val="Heading3"/>
      </w:pPr>
      <w:r>
        <w:t xml:space="preserve">第8章 讨论</w:t>
      </w:r>
    </w:p>
    <w:p>
      <w:pPr>
        <w:numPr>
          <w:ilvl w:val="0"/>
          <w:numId w:val="1010"/>
        </w:numPr>
        <w:pStyle w:val="Compact"/>
      </w:pPr>
      <w:r>
        <w:t xml:space="preserve">☐ 方法优势分析</w:t>
      </w:r>
    </w:p>
    <w:p>
      <w:pPr>
        <w:numPr>
          <w:ilvl w:val="0"/>
          <w:numId w:val="1010"/>
        </w:numPr>
        <w:pStyle w:val="Compact"/>
      </w:pPr>
      <w:r>
        <w:t xml:space="preserve">☐ 局限性讨论</w:t>
      </w:r>
    </w:p>
    <w:p>
      <w:pPr>
        <w:numPr>
          <w:ilvl w:val="0"/>
          <w:numId w:val="1010"/>
        </w:numPr>
        <w:pStyle w:val="Compact"/>
      </w:pPr>
      <w:r>
        <w:t xml:space="preserve">☐ 适用条件说明</w:t>
      </w:r>
    </w:p>
    <w:p>
      <w:pPr>
        <w:numPr>
          <w:ilvl w:val="0"/>
          <w:numId w:val="1010"/>
        </w:numPr>
        <w:pStyle w:val="Compact"/>
      </w:pPr>
      <w:r>
        <w:t xml:space="preserve">☐ 未来工作展望</w:t>
      </w:r>
    </w:p>
    <w:p>
      <w:pPr>
        <w:numPr>
          <w:ilvl w:val="0"/>
          <w:numId w:val="1010"/>
        </w:numPr>
        <w:pStyle w:val="Compact"/>
      </w:pPr>
      <w:r>
        <w:t xml:space="preserve">☐ 应用前景分析</w:t>
      </w:r>
    </w:p>
    <w:bookmarkEnd w:id="29"/>
    <w:bookmarkStart w:id="30" w:name="第9章-结论"/>
    <w:p>
      <w:pPr>
        <w:pStyle w:val="Heading3"/>
      </w:pPr>
      <w:r>
        <w:t xml:space="preserve">第9章 结论</w:t>
      </w:r>
    </w:p>
    <w:p>
      <w:pPr>
        <w:numPr>
          <w:ilvl w:val="0"/>
          <w:numId w:val="1011"/>
        </w:numPr>
        <w:pStyle w:val="Compact"/>
      </w:pPr>
      <w:r>
        <w:t xml:space="preserve">☐ 研究成果总结</w:t>
      </w:r>
    </w:p>
    <w:p>
      <w:pPr>
        <w:numPr>
          <w:ilvl w:val="0"/>
          <w:numId w:val="1011"/>
        </w:numPr>
        <w:pStyle w:val="Compact"/>
      </w:pPr>
      <w:r>
        <w:t xml:space="preserve">☐ 创新点回顾</w:t>
      </w:r>
    </w:p>
    <w:p>
      <w:pPr>
        <w:numPr>
          <w:ilvl w:val="0"/>
          <w:numId w:val="1011"/>
        </w:numPr>
        <w:pStyle w:val="Compact"/>
      </w:pPr>
      <w:r>
        <w:t xml:space="preserve">☐ 理论贡献强调</w:t>
      </w:r>
    </w:p>
    <w:p>
      <w:pPr>
        <w:numPr>
          <w:ilvl w:val="0"/>
          <w:numId w:val="1011"/>
        </w:numPr>
        <w:pStyle w:val="Compact"/>
      </w:pPr>
      <w:r>
        <w:t xml:space="preserve">☐ 实践价值阐述</w:t>
      </w:r>
    </w:p>
    <w:p>
      <w:pPr>
        <w:numPr>
          <w:ilvl w:val="0"/>
          <w:numId w:val="1011"/>
        </w:numPr>
        <w:pStyle w:val="Compact"/>
      </w:pPr>
      <w:r>
        <w:t xml:space="preserve">☐ 未来研究方向</w:t>
      </w:r>
    </w:p>
    <w:bookmarkEnd w:id="30"/>
    <w:bookmarkEnd w:id="31"/>
    <w:bookmarkStart w:id="35" w:name="格式和语言检查"/>
    <w:p>
      <w:pPr>
        <w:pStyle w:val="Heading2"/>
      </w:pPr>
      <w:r>
        <w:t xml:space="preserve">格式和语言检查</w:t>
      </w:r>
    </w:p>
    <w:bookmarkStart w:id="32" w:name="格式要求"/>
    <w:p>
      <w:pPr>
        <w:pStyle w:val="Heading3"/>
      </w:pPr>
      <w:r>
        <w:t xml:space="preserve">格式要求</w:t>
      </w:r>
    </w:p>
    <w:p>
      <w:pPr>
        <w:numPr>
          <w:ilvl w:val="0"/>
          <w:numId w:val="1012"/>
        </w:numPr>
        <w:pStyle w:val="Compact"/>
      </w:pPr>
      <w:r>
        <w:t xml:space="preserve">☐ 页边距符合要求</w:t>
      </w:r>
    </w:p>
    <w:p>
      <w:pPr>
        <w:numPr>
          <w:ilvl w:val="0"/>
          <w:numId w:val="1012"/>
        </w:numPr>
        <w:pStyle w:val="Compact"/>
      </w:pPr>
      <w:r>
        <w:t xml:space="preserve">☐ 字体大小统一</w:t>
      </w:r>
    </w:p>
    <w:p>
      <w:pPr>
        <w:numPr>
          <w:ilvl w:val="0"/>
          <w:numId w:val="1012"/>
        </w:numPr>
        <w:pStyle w:val="Compact"/>
      </w:pPr>
      <w:r>
        <w:t xml:space="preserve">☐ 行间距正确</w:t>
      </w:r>
    </w:p>
    <w:p>
      <w:pPr>
        <w:numPr>
          <w:ilvl w:val="0"/>
          <w:numId w:val="1012"/>
        </w:numPr>
        <w:pStyle w:val="Compact"/>
      </w:pPr>
      <w:r>
        <w:t xml:space="preserve">☐ 图表编号规范</w:t>
      </w:r>
    </w:p>
    <w:p>
      <w:pPr>
        <w:numPr>
          <w:ilvl w:val="0"/>
          <w:numId w:val="1012"/>
        </w:numPr>
        <w:pStyle w:val="Compact"/>
      </w:pPr>
      <w:r>
        <w:t xml:space="preserve">☐ 参考文献格式统一</w:t>
      </w:r>
    </w:p>
    <w:p>
      <w:pPr>
        <w:numPr>
          <w:ilvl w:val="0"/>
          <w:numId w:val="1012"/>
        </w:numPr>
        <w:pStyle w:val="Compact"/>
      </w:pPr>
      <w:r>
        <w:t xml:space="preserve">☐ 页码连续</w:t>
      </w:r>
    </w:p>
    <w:p>
      <w:pPr>
        <w:numPr>
          <w:ilvl w:val="0"/>
          <w:numId w:val="1012"/>
        </w:numPr>
        <w:pStyle w:val="Compact"/>
      </w:pPr>
      <w:r>
        <w:t xml:space="preserve">☐ 目录完整</w:t>
      </w:r>
    </w:p>
    <w:p>
      <w:pPr>
        <w:numPr>
          <w:ilvl w:val="0"/>
          <w:numId w:val="1012"/>
        </w:numPr>
        <w:pStyle w:val="Compact"/>
      </w:pPr>
      <w:r>
        <w:t xml:space="preserve">☐ 训练配置快照存在：</w:t>
      </w:r>
      <w:r>
        <w:rPr>
          <w:rStyle w:val="VerbatimChar"/>
        </w:rPr>
        <w:t xml:space="preserve">runs/&lt;exp&gt;/config_merged.yaml</w:t>
      </w:r>
    </w:p>
    <w:p>
      <w:pPr>
        <w:numPr>
          <w:ilvl w:val="0"/>
          <w:numId w:val="1012"/>
        </w:numPr>
        <w:pStyle w:val="Compact"/>
      </w:pPr>
      <w:r>
        <w:t xml:space="preserve">☐ 环境指纹记录：</w:t>
      </w:r>
      <w:r>
        <w:rPr>
          <w:rStyle w:val="VerbatimChar"/>
        </w:rPr>
        <w:t xml:space="preserve">runs/&lt;exp&gt;/env_fingerprint.json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 </w:t>
      </w:r>
      <w:r>
        <w:t xml:space="preserve">目录完整（主表/显著性/图/脚本）</w:t>
      </w:r>
    </w:p>
    <w:bookmarkEnd w:id="32"/>
    <w:bookmarkStart w:id="33" w:name="语言质量"/>
    <w:p>
      <w:pPr>
        <w:pStyle w:val="Heading3"/>
      </w:pPr>
      <w:r>
        <w:t xml:space="preserve">语言质量</w:t>
      </w:r>
    </w:p>
    <w:p>
      <w:pPr>
        <w:numPr>
          <w:ilvl w:val="0"/>
          <w:numId w:val="1013"/>
        </w:numPr>
        <w:pStyle w:val="Compact"/>
      </w:pPr>
      <w:r>
        <w:t xml:space="preserve">☐ 语法正确</w:t>
      </w:r>
    </w:p>
    <w:p>
      <w:pPr>
        <w:numPr>
          <w:ilvl w:val="0"/>
          <w:numId w:val="1013"/>
        </w:numPr>
        <w:pStyle w:val="Compact"/>
      </w:pPr>
      <w:r>
        <w:t xml:space="preserve">☐ 用词准确</w:t>
      </w:r>
    </w:p>
    <w:p>
      <w:pPr>
        <w:numPr>
          <w:ilvl w:val="0"/>
          <w:numId w:val="1013"/>
        </w:numPr>
        <w:pStyle w:val="Compact"/>
      </w:pPr>
      <w:r>
        <w:t xml:space="preserve">☐ 句式多样</w:t>
      </w:r>
    </w:p>
    <w:p>
      <w:pPr>
        <w:numPr>
          <w:ilvl w:val="0"/>
          <w:numId w:val="1013"/>
        </w:numPr>
        <w:pStyle w:val="Compact"/>
      </w:pPr>
      <w:r>
        <w:t xml:space="preserve">☐ 逻辑清晰</w:t>
      </w:r>
    </w:p>
    <w:p>
      <w:pPr>
        <w:numPr>
          <w:ilvl w:val="0"/>
          <w:numId w:val="1013"/>
        </w:numPr>
        <w:pStyle w:val="Compact"/>
      </w:pPr>
      <w:r>
        <w:t xml:space="preserve">☐ 表达简洁</w:t>
      </w:r>
    </w:p>
    <w:p>
      <w:pPr>
        <w:numPr>
          <w:ilvl w:val="0"/>
          <w:numId w:val="1013"/>
        </w:numPr>
        <w:pStyle w:val="Compact"/>
      </w:pPr>
      <w:r>
        <w:t xml:space="preserve">☐ 避免重复</w:t>
      </w:r>
    </w:p>
    <w:p>
      <w:pPr>
        <w:numPr>
          <w:ilvl w:val="0"/>
          <w:numId w:val="1013"/>
        </w:numPr>
        <w:pStyle w:val="Compact"/>
      </w:pPr>
      <w:r>
        <w:t xml:space="preserve">☐ 科技术语规范</w:t>
      </w:r>
    </w:p>
    <w:bookmarkEnd w:id="33"/>
    <w:bookmarkStart w:id="34" w:name="图表质量"/>
    <w:p>
      <w:pPr>
        <w:pStyle w:val="Heading3"/>
      </w:pPr>
      <w:r>
        <w:t xml:space="preserve">图表质量</w:t>
      </w:r>
    </w:p>
    <w:p>
      <w:pPr>
        <w:numPr>
          <w:ilvl w:val="0"/>
          <w:numId w:val="1014"/>
        </w:numPr>
        <w:pStyle w:val="Compact"/>
      </w:pPr>
      <w:r>
        <w:t xml:space="preserve">☐ 图表清晰可读</w:t>
      </w:r>
    </w:p>
    <w:p>
      <w:pPr>
        <w:numPr>
          <w:ilvl w:val="0"/>
          <w:numId w:val="1014"/>
        </w:numPr>
        <w:pStyle w:val="Compact"/>
      </w:pPr>
      <w:r>
        <w:t xml:space="preserve">☐ 坐标轴标签完整</w:t>
      </w:r>
    </w:p>
    <w:p>
      <w:pPr>
        <w:numPr>
          <w:ilvl w:val="0"/>
          <w:numId w:val="1014"/>
        </w:numPr>
        <w:pStyle w:val="Compact"/>
      </w:pPr>
      <w:r>
        <w:t xml:space="preserve">☐ 图例说明清楚</w:t>
      </w:r>
    </w:p>
    <w:p>
      <w:pPr>
        <w:numPr>
          <w:ilvl w:val="0"/>
          <w:numId w:val="1014"/>
        </w:numPr>
        <w:pStyle w:val="Compact"/>
      </w:pPr>
      <w:r>
        <w:t xml:space="preserve">☐ 标题描述准确</w:t>
      </w:r>
    </w:p>
    <w:p>
      <w:pPr>
        <w:numPr>
          <w:ilvl w:val="0"/>
          <w:numId w:val="1014"/>
        </w:numPr>
        <w:pStyle w:val="Compact"/>
      </w:pPr>
      <w:r>
        <w:t xml:space="preserve">☐ 图表大小合适</w:t>
      </w:r>
    </w:p>
    <w:p>
      <w:pPr>
        <w:numPr>
          <w:ilvl w:val="0"/>
          <w:numId w:val="1014"/>
        </w:numPr>
        <w:pStyle w:val="Compact"/>
      </w:pPr>
      <w:r>
        <w:t xml:space="preserve">☐ 颜色使用合理</w:t>
      </w:r>
    </w:p>
    <w:p>
      <w:pPr>
        <w:numPr>
          <w:ilvl w:val="0"/>
          <w:numId w:val="1014"/>
        </w:numPr>
        <w:pStyle w:val="Compact"/>
      </w:pPr>
      <w:r>
        <w:t xml:space="preserve">☐ 矢量图格式</w:t>
      </w:r>
    </w:p>
    <w:bookmarkEnd w:id="34"/>
    <w:bookmarkEnd w:id="35"/>
    <w:bookmarkStart w:id="39" w:name="学术规范检查"/>
    <w:p>
      <w:pPr>
        <w:pStyle w:val="Heading2"/>
      </w:pPr>
      <w:r>
        <w:t xml:space="preserve">学术规范检查</w:t>
      </w:r>
    </w:p>
    <w:bookmarkStart w:id="36" w:name="引用规范"/>
    <w:p>
      <w:pPr>
        <w:pStyle w:val="Heading3"/>
      </w:pPr>
      <w:r>
        <w:t xml:space="preserve">引用规范</w:t>
      </w:r>
    </w:p>
    <w:p>
      <w:pPr>
        <w:numPr>
          <w:ilvl w:val="0"/>
          <w:numId w:val="1015"/>
        </w:numPr>
        <w:pStyle w:val="Compact"/>
      </w:pPr>
      <w:r>
        <w:t xml:space="preserve">☐ 所有引用都有参考文献</w:t>
      </w:r>
    </w:p>
    <w:p>
      <w:pPr>
        <w:numPr>
          <w:ilvl w:val="0"/>
          <w:numId w:val="1015"/>
        </w:numPr>
        <w:pStyle w:val="Compact"/>
      </w:pPr>
      <w:r>
        <w:t xml:space="preserve">☐ 引用格式统一</w:t>
      </w:r>
    </w:p>
    <w:p>
      <w:pPr>
        <w:numPr>
          <w:ilvl w:val="0"/>
          <w:numId w:val="1015"/>
        </w:numPr>
        <w:pStyle w:val="Compact"/>
      </w:pPr>
      <w:r>
        <w:t xml:space="preserve">☐ 直接引用标注清楚</w:t>
      </w:r>
    </w:p>
    <w:p>
      <w:pPr>
        <w:numPr>
          <w:ilvl w:val="0"/>
          <w:numId w:val="1015"/>
        </w:numPr>
        <w:pStyle w:val="Compact"/>
      </w:pPr>
      <w:r>
        <w:t xml:space="preserve">☐ 间接引用说明完整</w:t>
      </w:r>
    </w:p>
    <w:p>
      <w:pPr>
        <w:numPr>
          <w:ilvl w:val="0"/>
          <w:numId w:val="1015"/>
        </w:numPr>
        <w:pStyle w:val="Compact"/>
      </w:pPr>
      <w:r>
        <w:t xml:space="preserve">☐ 参考文献信息准确</w:t>
      </w:r>
    </w:p>
    <w:p>
      <w:pPr>
        <w:numPr>
          <w:ilvl w:val="0"/>
          <w:numId w:val="1015"/>
        </w:numPr>
        <w:pStyle w:val="Compact"/>
      </w:pPr>
      <w:r>
        <w:t xml:space="preserve">☐ 网络资源引用规范</w:t>
      </w:r>
    </w:p>
    <w:bookmarkEnd w:id="36"/>
    <w:bookmarkStart w:id="37" w:name="原创性检查"/>
    <w:p>
      <w:pPr>
        <w:pStyle w:val="Heading3"/>
      </w:pPr>
      <w:r>
        <w:t xml:space="preserve">原创性检查</w:t>
      </w:r>
    </w:p>
    <w:p>
      <w:pPr>
        <w:numPr>
          <w:ilvl w:val="0"/>
          <w:numId w:val="1016"/>
        </w:numPr>
        <w:pStyle w:val="Compact"/>
      </w:pPr>
      <w:r>
        <w:t xml:space="preserve">☐ 避免抄袭</w:t>
      </w:r>
    </w:p>
    <w:p>
      <w:pPr>
        <w:numPr>
          <w:ilvl w:val="0"/>
          <w:numId w:val="1016"/>
        </w:numPr>
        <w:pStyle w:val="Compact"/>
      </w:pPr>
      <w:r>
        <w:t xml:space="preserve">☐ 正确引用他人工作</w:t>
      </w:r>
    </w:p>
    <w:p>
      <w:pPr>
        <w:numPr>
          <w:ilvl w:val="0"/>
          <w:numId w:val="1016"/>
        </w:numPr>
        <w:pStyle w:val="Compact"/>
      </w:pPr>
      <w:r>
        <w:t xml:space="preserve">☐ 区分自己工作和他人工作</w:t>
      </w:r>
    </w:p>
    <w:p>
      <w:pPr>
        <w:numPr>
          <w:ilvl w:val="0"/>
          <w:numId w:val="1016"/>
        </w:numPr>
        <w:pStyle w:val="Compact"/>
      </w:pPr>
      <w:r>
        <w:t xml:space="preserve">☐ 图表数据来源说明</w:t>
      </w:r>
    </w:p>
    <w:p>
      <w:pPr>
        <w:numPr>
          <w:ilvl w:val="0"/>
          <w:numId w:val="1016"/>
        </w:numPr>
        <w:pStyle w:val="Compact"/>
      </w:pPr>
      <w:r>
        <w:t xml:space="preserve">☐ 代码引用说明</w:t>
      </w:r>
    </w:p>
    <w:p>
      <w:pPr>
        <w:numPr>
          <w:ilvl w:val="0"/>
          <w:numId w:val="1016"/>
        </w:numPr>
        <w:pStyle w:val="Compact"/>
      </w:pPr>
      <w:r>
        <w:t xml:space="preserve">☐ 数据集使用声明</w:t>
      </w:r>
    </w:p>
    <w:p>
      <w:pPr>
        <w:numPr>
          <w:ilvl w:val="0"/>
          <w:numId w:val="1016"/>
        </w:numPr>
        <w:pStyle w:val="Compact"/>
      </w:pPr>
      <w:r>
        <w:t xml:space="preserve">☐ 模型与算子来源/许可在</w:t>
      </w:r>
      <w:r>
        <w:t xml:space="preserve"> </w:t>
      </w:r>
      <w:r>
        <w:rPr>
          <w:rStyle w:val="VerbatimChar"/>
        </w:rPr>
        <w:t xml:space="preserve">paper_package/data_cards/</w:t>
      </w:r>
      <w:r>
        <w:t xml:space="preserve"> </w:t>
      </w:r>
      <w:r>
        <w:t xml:space="preserve">与 LICENSE/NOTICE 中声明</w:t>
      </w:r>
    </w:p>
    <w:bookmarkEnd w:id="37"/>
    <w:bookmarkStart w:id="38" w:name="学术诚信"/>
    <w:p>
      <w:pPr>
        <w:pStyle w:val="Heading3"/>
      </w:pPr>
      <w:r>
        <w:t xml:space="preserve">学术诚信</w:t>
      </w:r>
    </w:p>
    <w:p>
      <w:pPr>
        <w:numPr>
          <w:ilvl w:val="0"/>
          <w:numId w:val="1017"/>
        </w:numPr>
        <w:pStyle w:val="Compact"/>
      </w:pPr>
      <w:r>
        <w:t xml:space="preserve">☐ 数据真实可靠</w:t>
      </w:r>
    </w:p>
    <w:p>
      <w:pPr>
        <w:numPr>
          <w:ilvl w:val="0"/>
          <w:numId w:val="1017"/>
        </w:numPr>
        <w:pStyle w:val="Compact"/>
      </w:pPr>
      <w:r>
        <w:t xml:space="preserve">☐ 实验可重复</w:t>
      </w:r>
    </w:p>
    <w:p>
      <w:pPr>
        <w:numPr>
          <w:ilvl w:val="0"/>
          <w:numId w:val="1017"/>
        </w:numPr>
        <w:pStyle w:val="Compact"/>
      </w:pPr>
      <w:r>
        <w:t xml:space="preserve">☐ 结果准确无误</w:t>
      </w:r>
    </w:p>
    <w:p>
      <w:pPr>
        <w:numPr>
          <w:ilvl w:val="0"/>
          <w:numId w:val="1017"/>
        </w:numPr>
        <w:pStyle w:val="Compact"/>
      </w:pPr>
      <w:r>
        <w:t xml:space="preserve">☐ 不夸大研究成果</w:t>
      </w:r>
    </w:p>
    <w:p>
      <w:pPr>
        <w:numPr>
          <w:ilvl w:val="0"/>
          <w:numId w:val="1017"/>
        </w:numPr>
        <w:pStyle w:val="Compact"/>
      </w:pPr>
      <w:r>
        <w:t xml:space="preserve">☐ 承认研究局限性</w:t>
      </w:r>
    </w:p>
    <w:p>
      <w:pPr>
        <w:numPr>
          <w:ilvl w:val="0"/>
          <w:numId w:val="1017"/>
        </w:numPr>
        <w:pStyle w:val="Compact"/>
      </w:pPr>
      <w:r>
        <w:t xml:space="preserve">☐ 利益冲突声明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DC</w:t>
      </w:r>
      <w:r>
        <w:t xml:space="preserve"> </w:t>
      </w:r>
      <w:r>
        <w:t xml:space="preserve">一致性在论文口径与实验脚本中明确</w:t>
      </w:r>
    </w:p>
    <w:bookmarkEnd w:id="38"/>
    <w:bookmarkEnd w:id="39"/>
    <w:bookmarkStart w:id="43" w:name="最终检查"/>
    <w:p>
      <w:pPr>
        <w:pStyle w:val="Heading2"/>
      </w:pPr>
      <w:r>
        <w:t xml:space="preserve">最终检查</w:t>
      </w:r>
    </w:p>
    <w:bookmarkStart w:id="40" w:name="内容完整性"/>
    <w:p>
      <w:pPr>
        <w:pStyle w:val="Heading3"/>
      </w:pPr>
      <w:r>
        <w:t xml:space="preserve">内容完整性</w:t>
      </w:r>
    </w:p>
    <w:p>
      <w:pPr>
        <w:numPr>
          <w:ilvl w:val="0"/>
          <w:numId w:val="1018"/>
        </w:numPr>
        <w:pStyle w:val="Compact"/>
      </w:pPr>
      <w:r>
        <w:t xml:space="preserve">☐ 所有章节完整</w:t>
      </w:r>
    </w:p>
    <w:p>
      <w:pPr>
        <w:numPr>
          <w:ilvl w:val="0"/>
          <w:numId w:val="1018"/>
        </w:numPr>
        <w:pStyle w:val="Compact"/>
      </w:pPr>
      <w:r>
        <w:t xml:space="preserve">☐ 逻辑连贯</w:t>
      </w:r>
    </w:p>
    <w:p>
      <w:pPr>
        <w:numPr>
          <w:ilvl w:val="0"/>
          <w:numId w:val="1018"/>
        </w:numPr>
        <w:pStyle w:val="Compact"/>
      </w:pPr>
      <w:r>
        <w:t xml:space="preserve">☐ 前后一致</w:t>
      </w:r>
    </w:p>
    <w:p>
      <w:pPr>
        <w:numPr>
          <w:ilvl w:val="0"/>
          <w:numId w:val="1018"/>
        </w:numPr>
        <w:pStyle w:val="Compact"/>
      </w:pPr>
      <w:r>
        <w:t xml:space="preserve">☐ 结论支撑充分</w:t>
      </w:r>
    </w:p>
    <w:p>
      <w:pPr>
        <w:numPr>
          <w:ilvl w:val="0"/>
          <w:numId w:val="1018"/>
        </w:numPr>
        <w:pStyle w:val="Compact"/>
      </w:pPr>
      <w:r>
        <w:t xml:space="preserve">☐ 创新点突出</w:t>
      </w:r>
    </w:p>
    <w:p>
      <w:pPr>
        <w:numPr>
          <w:ilvl w:val="0"/>
          <w:numId w:val="1018"/>
        </w:numPr>
        <w:pStyle w:val="Compact"/>
      </w:pPr>
      <w:r>
        <w:t xml:space="preserve">☐ 贡献明确</w:t>
      </w:r>
    </w:p>
    <w:bookmarkEnd w:id="40"/>
    <w:bookmarkStart w:id="41" w:name="技术检查"/>
    <w:p>
      <w:pPr>
        <w:pStyle w:val="Heading3"/>
      </w:pPr>
      <w:r>
        <w:t xml:space="preserve">技术检查</w:t>
      </w:r>
    </w:p>
    <w:p>
      <w:pPr>
        <w:numPr>
          <w:ilvl w:val="0"/>
          <w:numId w:val="1019"/>
        </w:numPr>
        <w:pStyle w:val="Compact"/>
      </w:pPr>
      <w:r>
        <w:t xml:space="preserve">☐ 公式编号连续</w:t>
      </w:r>
    </w:p>
    <w:p>
      <w:pPr>
        <w:numPr>
          <w:ilvl w:val="0"/>
          <w:numId w:val="1019"/>
        </w:numPr>
        <w:pStyle w:val="Compact"/>
      </w:pPr>
      <w:r>
        <w:t xml:space="preserve">☐ 图表引用正确</w:t>
      </w:r>
    </w:p>
    <w:p>
      <w:pPr>
        <w:numPr>
          <w:ilvl w:val="0"/>
          <w:numId w:val="1019"/>
        </w:numPr>
        <w:pStyle w:val="Compact"/>
      </w:pPr>
      <w:r>
        <w:t xml:space="preserve">☐ 参考文献完整</w:t>
      </w:r>
    </w:p>
    <w:p>
      <w:pPr>
        <w:numPr>
          <w:ilvl w:val="0"/>
          <w:numId w:val="1019"/>
        </w:numPr>
        <w:pStyle w:val="Compact"/>
      </w:pPr>
      <w:r>
        <w:t xml:space="preserve">☐ 附录内容适当</w:t>
      </w:r>
    </w:p>
    <w:p>
      <w:pPr>
        <w:numPr>
          <w:ilvl w:val="0"/>
          <w:numId w:val="1019"/>
        </w:numPr>
        <w:pStyle w:val="Compact"/>
      </w:pPr>
      <w:r>
        <w:t xml:space="preserve">☐ 致谢部分</w:t>
      </w:r>
    </w:p>
    <w:p>
      <w:pPr>
        <w:numPr>
          <w:ilvl w:val="0"/>
          <w:numId w:val="1019"/>
        </w:numPr>
        <w:pStyle w:val="Compact"/>
      </w:pPr>
      <w:r>
        <w:t xml:space="preserve">☐ 作者简介</w:t>
      </w:r>
    </w:p>
    <w:p>
      <w:pPr>
        <w:numPr>
          <w:ilvl w:val="0"/>
          <w:numId w:val="1019"/>
        </w:numPr>
        <w:pStyle w:val="Compact"/>
      </w:pPr>
      <w:r>
        <w:t xml:space="preserve">☐ 观测生成口径：</w:t>
      </w:r>
      <w:r>
        <w:rPr>
          <w:rStyle w:val="VerbatimChar"/>
        </w:rPr>
        <w:t xml:space="preserve">GaussianBlur(σ,k=5)+INTER_AREA downsample×s</w:t>
      </w:r>
      <w:r>
        <w:t xml:space="preserve">、Crop 对齐策略明确</w:t>
      </w:r>
    </w:p>
    <w:p>
      <w:pPr>
        <w:numPr>
          <w:ilvl w:val="0"/>
          <w:numId w:val="1019"/>
        </w:numPr>
        <w:pStyle w:val="Compact"/>
      </w:pPr>
      <w:r>
        <w:t xml:space="preserve">☐ 模型接口统一：</w:t>
      </w:r>
      <w:r>
        <w:rPr>
          <w:rStyle w:val="VerbatimChar"/>
        </w:rPr>
        <w:t xml:space="preserve">__init__(in_ch, out_ch, img_size, **kwargs)</w:t>
      </w:r>
      <w:r>
        <w:t xml:space="preserve">；</w:t>
      </w:r>
      <w:r>
        <w:rPr>
          <w:rStyle w:val="VerbatimChar"/>
        </w:rPr>
        <w:t xml:space="preserve">forward(x)-&gt;y</w:t>
      </w:r>
    </w:p>
    <w:p>
      <w:pPr>
        <w:numPr>
          <w:ilvl w:val="0"/>
          <w:numId w:val="1019"/>
        </w:numPr>
        <w:pStyle w:val="Compact"/>
      </w:pPr>
      <w:r>
        <w:t xml:space="preserve">☐ 解码优先“</w:t>
      </w:r>
      <w:r>
        <w:rPr>
          <w:rStyle w:val="VerbatimChar"/>
        </w:rPr>
        <w:t xml:space="preserve">双线性 + 3×3</w:t>
      </w:r>
      <w:r>
        <w:t xml:space="preserve">”，避免棋盘格</w:t>
      </w:r>
    </w:p>
    <w:bookmarkEnd w:id="41"/>
    <w:bookmarkStart w:id="42" w:name="提交准备"/>
    <w:p>
      <w:pPr>
        <w:pStyle w:val="Heading3"/>
      </w:pPr>
      <w:r>
        <w:t xml:space="preserve">提交准备</w:t>
      </w:r>
    </w:p>
    <w:p>
      <w:pPr>
        <w:numPr>
          <w:ilvl w:val="0"/>
          <w:numId w:val="1020"/>
        </w:numPr>
        <w:pStyle w:val="Compact"/>
      </w:pPr>
      <w:r>
        <w:t xml:space="preserve">☐ 文件格式正确</w:t>
      </w:r>
    </w:p>
    <w:p>
      <w:pPr>
        <w:numPr>
          <w:ilvl w:val="0"/>
          <w:numId w:val="1020"/>
        </w:numPr>
        <w:pStyle w:val="Compact"/>
      </w:pPr>
      <w:r>
        <w:t xml:space="preserve">☐ 命名规范</w:t>
      </w:r>
    </w:p>
    <w:p>
      <w:pPr>
        <w:numPr>
          <w:ilvl w:val="0"/>
          <w:numId w:val="1020"/>
        </w:numPr>
        <w:pStyle w:val="Compact"/>
      </w:pPr>
      <w:r>
        <w:t xml:space="preserve">☐ 版本确认</w:t>
      </w:r>
    </w:p>
    <w:p>
      <w:pPr>
        <w:numPr>
          <w:ilvl w:val="0"/>
          <w:numId w:val="1020"/>
        </w:numPr>
        <w:pStyle w:val="Compact"/>
      </w:pPr>
      <w:r>
        <w:t xml:space="preserve">☐ 备份保存</w:t>
      </w:r>
    </w:p>
    <w:p>
      <w:pPr>
        <w:numPr>
          <w:ilvl w:val="0"/>
          <w:numId w:val="1020"/>
        </w:numPr>
        <w:pStyle w:val="Compact"/>
      </w:pPr>
      <w:r>
        <w:t xml:space="preserve">☐ 查重通过</w:t>
      </w:r>
    </w:p>
    <w:p>
      <w:pPr>
        <w:numPr>
          <w:ilvl w:val="0"/>
          <w:numId w:val="1020"/>
        </w:numPr>
        <w:pStyle w:val="Compact"/>
      </w:pPr>
      <w:r>
        <w:t xml:space="preserve">☐ 导师审阅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写作建议"/>
    <w:p>
      <w:pPr>
        <w:pStyle w:val="Heading2"/>
      </w:pPr>
      <w:r>
        <w:t xml:space="preserve">写作建议</w:t>
      </w:r>
    </w:p>
    <w:bookmarkStart w:id="44" w:name="写作顺序建议"/>
    <w:p>
      <w:pPr>
        <w:pStyle w:val="Heading3"/>
      </w:pPr>
      <w:r>
        <w:t xml:space="preserve">写作顺序建议</w:t>
      </w:r>
    </w:p>
    <w:p>
      <w:pPr>
        <w:numPr>
          <w:ilvl w:val="0"/>
          <w:numId w:val="1021"/>
        </w:numPr>
        <w:pStyle w:val="Compact"/>
      </w:pPr>
      <w:r>
        <w:t xml:space="preserve">先写方法论和实验部分（有具体数据）</w:t>
      </w:r>
    </w:p>
    <w:p>
      <w:pPr>
        <w:numPr>
          <w:ilvl w:val="0"/>
          <w:numId w:val="1021"/>
        </w:numPr>
        <w:pStyle w:val="Compact"/>
      </w:pPr>
      <w:r>
        <w:t xml:space="preserve">再写理论分析（有实验验证）</w:t>
      </w:r>
    </w:p>
    <w:p>
      <w:pPr>
        <w:numPr>
          <w:ilvl w:val="0"/>
          <w:numId w:val="1021"/>
        </w:numPr>
        <w:pStyle w:val="Compact"/>
      </w:pPr>
      <w:r>
        <w:t xml:space="preserve">接着写相关工作（了解研究现状后）</w:t>
      </w:r>
    </w:p>
    <w:p>
      <w:pPr>
        <w:numPr>
          <w:ilvl w:val="0"/>
          <w:numId w:val="1021"/>
        </w:numPr>
        <w:pStyle w:val="Compact"/>
      </w:pPr>
      <w:r>
        <w:t xml:space="preserve">然后写绪论（全局把握后）</w:t>
      </w:r>
    </w:p>
    <w:p>
      <w:pPr>
        <w:numPr>
          <w:ilvl w:val="0"/>
          <w:numId w:val="1021"/>
        </w:numPr>
        <w:pStyle w:val="Compact"/>
      </w:pPr>
      <w:r>
        <w:t xml:space="preserve">最后写摘要和结论（全部完成后）</w:t>
      </w:r>
    </w:p>
    <w:bookmarkEnd w:id="44"/>
    <w:bookmarkStart w:id="45" w:name="时间管理"/>
    <w:p>
      <w:pPr>
        <w:pStyle w:val="Heading3"/>
      </w:pPr>
      <w:r>
        <w:t xml:space="preserve">时间管理</w:t>
      </w:r>
    </w:p>
    <w:p>
      <w:pPr>
        <w:numPr>
          <w:ilvl w:val="0"/>
          <w:numId w:val="1022"/>
        </w:numPr>
        <w:pStyle w:val="Compact"/>
      </w:pPr>
      <w:r>
        <w:t xml:space="preserve">预留充足时间修改</w:t>
      </w:r>
    </w:p>
    <w:p>
      <w:pPr>
        <w:numPr>
          <w:ilvl w:val="0"/>
          <w:numId w:val="1022"/>
        </w:numPr>
        <w:pStyle w:val="Compact"/>
      </w:pPr>
      <w:r>
        <w:t xml:space="preserve">分阶段完成</w:t>
      </w:r>
    </w:p>
    <w:p>
      <w:pPr>
        <w:numPr>
          <w:ilvl w:val="0"/>
          <w:numId w:val="1022"/>
        </w:numPr>
        <w:pStyle w:val="Compact"/>
      </w:pPr>
      <w:r>
        <w:t xml:space="preserve">定期与导师沟通</w:t>
      </w:r>
    </w:p>
    <w:p>
      <w:pPr>
        <w:numPr>
          <w:ilvl w:val="0"/>
          <w:numId w:val="1022"/>
        </w:numPr>
        <w:pStyle w:val="Compact"/>
      </w:pPr>
      <w:r>
        <w:t xml:space="preserve">及时收集反馈</w:t>
      </w:r>
    </w:p>
    <w:p>
      <w:pPr>
        <w:numPr>
          <w:ilvl w:val="0"/>
          <w:numId w:val="1022"/>
        </w:numPr>
        <w:pStyle w:val="Compact"/>
      </w:pPr>
      <w:r>
        <w:t xml:space="preserve">保持写作节奏</w:t>
      </w:r>
    </w:p>
    <w:bookmarkEnd w:id="45"/>
    <w:bookmarkStart w:id="46" w:name="质量把控"/>
    <w:p>
      <w:pPr>
        <w:pStyle w:val="Heading3"/>
      </w:pPr>
      <w:r>
        <w:t xml:space="preserve">质量把控</w:t>
      </w:r>
    </w:p>
    <w:p>
      <w:pPr>
        <w:numPr>
          <w:ilvl w:val="0"/>
          <w:numId w:val="1023"/>
        </w:numPr>
        <w:pStyle w:val="Compact"/>
      </w:pPr>
      <w:r>
        <w:t xml:space="preserve">多次修改完善</w:t>
      </w:r>
    </w:p>
    <w:p>
      <w:pPr>
        <w:numPr>
          <w:ilvl w:val="0"/>
          <w:numId w:val="1023"/>
        </w:numPr>
        <w:pStyle w:val="Compact"/>
      </w:pPr>
      <w:r>
        <w:t xml:space="preserve">同行评议</w:t>
      </w:r>
    </w:p>
    <w:p>
      <w:pPr>
        <w:numPr>
          <w:ilvl w:val="0"/>
          <w:numId w:val="1023"/>
        </w:numPr>
        <w:pStyle w:val="Compact"/>
      </w:pPr>
      <w:r>
        <w:t xml:space="preserve">语言润色</w:t>
      </w:r>
    </w:p>
    <w:p>
      <w:pPr>
        <w:numPr>
          <w:ilvl w:val="0"/>
          <w:numId w:val="1023"/>
        </w:numPr>
        <w:pStyle w:val="Compact"/>
      </w:pPr>
      <w:r>
        <w:t xml:space="preserve">格式统一</w:t>
      </w:r>
    </w:p>
    <w:p>
      <w:pPr>
        <w:numPr>
          <w:ilvl w:val="0"/>
          <w:numId w:val="1023"/>
        </w:numPr>
        <w:pStyle w:val="Compact"/>
      </w:pPr>
      <w:r>
        <w:t xml:space="preserve">细节检查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最后更新：2025年</w:t>
      </w:r>
    </w:p>
    <w:bookmarkEnd w:id="46"/>
    <w:bookmarkEnd w:id="47"/>
    <w:bookmarkEnd w:id="48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2026-01-17T17:20:20Z</dcterms:created>
  <dcterms:modified xsi:type="dcterms:W3CDTF">2026-01-17T17:20:20Z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