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png" ContentType="image/png"/>
  <Override PartName="/word/media/rId38.png" ContentType="image/png"/>
  <Override PartName="/word/media/rId41.png" ContentType="image/png"/>
  <Override PartName="/word/media/rId61.png" ContentType="image/png"/>
  <Override PartName="/word/media/rId27.png" ContentType="image/png"/>
  <Override PartName="/word/media/rId53.png" ContentType="image/png"/>
  <Override PartName="/word/media/rId49.png" ContentType="image/png"/>
  <Override PartName="/word/media/rId34.png" ContentType="image/png"/>
  <Override PartName="/word/media/rId44.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4章-实验结果与分析"/>
    <w:p>
      <w:pPr>
        <w:pStyle w:val="1"/>
      </w:pPr>
      <w:r>
        <w:t xml:space="preserve">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Start w:id="26" w:name="实验设置"/>
    <w:p>
      <w:pPr>
        <w:pStyle w:val="2"/>
      </w:pPr>
      <w:r>
        <w:t xml:space="preserve">4.1 实验设置</w:t>
      </w:r>
    </w:p>
    <w:bookmarkStart w:id="20"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01"/>
        </w:numPr>
        <w:pStyle w:val="Compact"/>
      </w:pPr>
      <w:r>
        <w:rPr>
          <w:bCs/>
          <w:b/>
        </w:rPr>
        <w:t xml:space="preserve">2D Shallow Water Equation (SWE)</w:t>
      </w:r>
      <w:r>
        <w:t xml:space="preserve">：</w:t>
      </w:r>
    </w:p>
    <w:p>
      <w:pPr>
        <w:numPr>
          <w:ilvl w:val="1"/>
          <w:numId w:val="1002"/>
        </w:numPr>
        <w:pStyle w:val="Compact"/>
      </w:pPr>
      <w:r>
        <w:rPr>
          <w:bCs/>
          <w:b/>
        </w:rPr>
        <w:t xml:space="preserve">物理特征</w:t>
      </w:r>
      <w:r>
        <w:t xml:space="preserve">：描述自由液面下的流体运动，具有波传播与反射特征，纹理相对平滑。</w:t>
      </w:r>
    </w:p>
    <w:p>
      <w:pPr>
        <w:numPr>
          <w:ilvl w:val="1"/>
          <w:numId w:val="1002"/>
        </w:numPr>
        <w:pStyle w:val="Compact"/>
      </w:pPr>
      <w:r>
        <w:rPr>
          <w:bCs/>
          <w:b/>
        </w:rPr>
        <w:t xml:space="preserve">用途</w:t>
      </w:r>
      <w:r>
        <w:t xml:space="preserve">：作为初筛基准（Pilot Study），用于快速验证模型架构的收敛性与基本性能。</w:t>
      </w:r>
    </w:p>
    <w:p>
      <w:pPr>
        <w:numPr>
          <w:ilvl w:val="0"/>
          <w:numId w:val="1001"/>
        </w:numPr>
        <w:pStyle w:val="Compact"/>
      </w:pPr>
      <w:r>
        <w:rPr>
          <w:bCs/>
          <w:b/>
        </w:rPr>
        <w:t xml:space="preserve">2D Diffusion-Reaction Equation (DRD)</w:t>
      </w:r>
      <w:r>
        <w:t xml:space="preserve">：</w:t>
      </w:r>
    </w:p>
    <w:p>
      <w:pPr>
        <w:numPr>
          <w:ilvl w:val="1"/>
          <w:numId w:val="1003"/>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03"/>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0"/>
    <w:bookmarkStart w:id="21"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，并设置环境变量</w:t>
      </w:r>
      <w:r>
        <w:t xml:space="preserve"> </w:t>
      </w:r>
      <w:r>
        <w:rPr>
          <w:rStyle w:val="VerbatimChar"/>
        </w:rPr>
        <w:t xml:space="preserve">os.environ["CUBLAS_WORKSPACE_CONFIG"] = ":4096:8"</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p>
      <w:pPr>
        <w:pStyle w:val="11"/>
      </w:pPr>
      <w:r>
        <w:rPr>
          <w:bCs/>
          <w:b/>
        </w:rPr>
        <w:t xml:space="preserve">3. 硬件环境配置 (Hardware Configuration)</w:t>
      </w:r>
    </w:p>
    <w:p>
      <w:pPr>
        <w:pStyle w:val="11"/>
      </w:pPr>
      <w:r>
        <w:t xml:space="preserve">为确保实验的可复现性与性能评估的基准一致性，本研究的所有实验均在统一的高性能计算节点上完成。详细硬件与环境指纹如表 4-1 所示。</w:t>
      </w:r>
    </w:p>
    <w:p>
      <w:pPr>
        <w:pStyle w:val="11"/>
      </w:pPr>
      <w:r>
        <w:rPr>
          <w:bCs/>
          <w:b/>
        </w:rPr>
        <w:t xml:space="preserve">表 4-1 实验硬件环境与软件栈指纹</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类别 (Category)</w:t>
            </w:r>
          </w:p>
        </w:tc>
        <w:tc>
          <w:tcPr/>
          <w:p>
            <w:pPr>
              <w:pStyle w:val="Compact"/>
              <w:jc w:val="left"/>
            </w:pPr>
            <w:r>
              <w:t xml:space="preserve">项目 (Item)</w:t>
            </w:r>
          </w:p>
        </w:tc>
        <w:tc>
          <w:tcPr/>
          <w:p>
            <w:pPr>
              <w:pStyle w:val="Compact"/>
              <w:jc w:val="left"/>
            </w:pPr>
            <w:r>
              <w:t xml:space="preserve">规格/版本 (Specification)</w:t>
            </w:r>
          </w:p>
        </w:tc>
        <w:tc>
          <w:tcPr/>
          <w:p>
            <w:pPr>
              <w:pStyle w:val="Compact"/>
              <w:jc w:val="left"/>
            </w:pPr>
            <w:r>
              <w:t xml:space="preserve">备注 (Note)</w:t>
            </w:r>
          </w:p>
        </w:tc>
      </w:tr>
      <w:tr>
        <w:tc>
          <w:tcPr/>
          <w:p>
            <w:pPr>
              <w:pStyle w:val="Compact"/>
              <w:jc w:val="left"/>
            </w:pPr>
            <w:r>
              <w:rPr>
                <w:bCs/>
                <w:b/>
              </w:rPr>
              <w:t xml:space="preserve">计算平台</w:t>
            </w:r>
          </w:p>
        </w:tc>
        <w:tc>
          <w:tcPr/>
          <w:p>
            <w:pPr>
              <w:pStyle w:val="Compact"/>
              <w:jc w:val="left"/>
            </w:pPr>
            <w:r>
              <w:t xml:space="preserve">CPU</w:t>
            </w:r>
          </w:p>
        </w:tc>
        <w:tc>
          <w:tcPr/>
          <w:p>
            <w:pPr>
              <w:pStyle w:val="Compact"/>
              <w:jc w:val="left"/>
            </w:pPr>
            <w:r>
              <w:t xml:space="preserve">AMD EPYC 9654 (96-Core)</w:t>
            </w:r>
            <w:r>
              <w:t xml:space="preserve"> </w:t>
            </w:r>
            <m:oMath>
              <m:r>
                <m:rPr>
                  <m:sty m:val="p"/>
                </m:rPr>
                <m:t>×</m:t>
              </m:r>
            </m:oMath>
            <w:r>
              <w:t xml:space="preserve"> </w:t>
            </w:r>
            <w:r>
              <w:t xml:space="preserve">2</w:t>
            </w:r>
          </w:p>
        </w:tc>
        <w:tc>
          <w:tcPr/>
          <w:p>
            <w:pPr>
              <w:pStyle w:val="Compact"/>
              <w:jc w:val="left"/>
            </w:pPr>
            <w:r>
              <w:t xml:space="preserve">192 Cores, 1 Thread/Core</w:t>
            </w:r>
          </w:p>
        </w:tc>
      </w:tr>
      <w:tr>
        <w:tc>
          <w:tcPr/>
          <w:p>
            <w:pPr>
              <w:pStyle w:val="Compact"/>
            </w:pPr>
          </w:p>
        </w:tc>
        <w:tc>
          <w:tcPr/>
          <w:p>
            <w:pPr>
              <w:pStyle w:val="Compact"/>
              <w:jc w:val="left"/>
            </w:pPr>
            <w:r>
              <w:t xml:space="preserve">RAM</w:t>
            </w:r>
          </w:p>
        </w:tc>
        <w:tc>
          <w:tcPr/>
          <w:p>
            <w:pPr>
              <w:pStyle w:val="Compact"/>
              <w:jc w:val="left"/>
            </w:pPr>
            <w:r>
              <w:t xml:space="preserve">1.0 TiB</w:t>
            </w:r>
          </w:p>
        </w:tc>
        <w:tc>
          <w:tcPr/>
          <w:p>
            <w:pPr>
              <w:pStyle w:val="Compact"/>
              <w:jc w:val="left"/>
            </w:pPr>
            <w:r>
              <w:t xml:space="preserve">System Memory</w:t>
            </w:r>
          </w:p>
        </w:tc>
      </w:tr>
      <w:tr>
        <w:tc>
          <w:tcPr/>
          <w:p>
            <w:pPr>
              <w:pStyle w:val="Compact"/>
            </w:pPr>
          </w:p>
        </w:tc>
        <w:tc>
          <w:tcPr/>
          <w:p>
            <w:pPr>
              <w:pStyle w:val="Compact"/>
              <w:jc w:val="left"/>
            </w:pPr>
            <w:r>
              <w:t xml:space="preserve">GPU</w:t>
            </w:r>
          </w:p>
        </w:tc>
        <w:tc>
          <w:tcPr/>
          <w:p>
            <w:pPr>
              <w:pStyle w:val="Compact"/>
              <w:jc w:val="left"/>
            </w:pPr>
            <w:r>
              <w:t xml:space="preserve">NVIDIA L40 (46GB)</w:t>
            </w:r>
            <w:r>
              <w:t xml:space="preserve"> </w:t>
            </w:r>
            <m:oMath>
              <m:r>
                <m:rPr>
                  <m:sty m:val="p"/>
                </m:rPr>
                <m:t>×</m:t>
              </m:r>
            </m:oMath>
            <w:r>
              <w:t xml:space="preserve"> </w:t>
            </w:r>
            <w:r>
              <w:t xml:space="preserve">2</w:t>
            </w:r>
          </w:p>
        </w:tc>
        <w:tc>
          <w:tcPr/>
          <w:p>
            <w:pPr>
              <w:pStyle w:val="Compact"/>
              <w:jc w:val="left"/>
            </w:pPr>
            <w:r>
              <w:t xml:space="preserve">Ada Lovelace Architecture</w:t>
            </w:r>
          </w:p>
        </w:tc>
      </w:tr>
      <w:tr>
        <w:tc>
          <w:tcPr/>
          <w:p>
            <w:pPr>
              <w:pStyle w:val="Compact"/>
              <w:jc w:val="left"/>
            </w:pPr>
            <w:r>
              <w:rPr>
                <w:bCs/>
                <w:b/>
              </w:rPr>
              <w:t xml:space="preserve">软件栈</w:t>
            </w:r>
          </w:p>
        </w:tc>
        <w:tc>
          <w:tcPr/>
          <w:p>
            <w:pPr>
              <w:pStyle w:val="Compact"/>
              <w:jc w:val="left"/>
            </w:pPr>
            <w:r>
              <w:t xml:space="preserve">OS</w:t>
            </w:r>
          </w:p>
        </w:tc>
        <w:tc>
          <w:tcPr/>
          <w:p>
            <w:pPr>
              <w:pStyle w:val="Compact"/>
              <w:jc w:val="left"/>
            </w:pPr>
            <w:r>
              <w:t xml:space="preserve">CentOS Linux 8 (Core)</w:t>
            </w:r>
          </w:p>
        </w:tc>
        <w:tc>
          <w:tcPr/>
          <w:p>
            <w:pPr>
              <w:pStyle w:val="Compact"/>
              <w:jc w:val="left"/>
            </w:pPr>
            <w:r>
              <w:t xml:space="preserve">Kernel 4.18.0-193</w:t>
            </w:r>
          </w:p>
        </w:tc>
      </w:tr>
      <w:tr>
        <w:tc>
          <w:tcPr/>
          <w:p>
            <w:pPr>
              <w:pStyle w:val="Compact"/>
            </w:pPr>
          </w:p>
        </w:tc>
        <w:tc>
          <w:tcPr/>
          <w:p>
            <w:pPr>
              <w:pStyle w:val="Compact"/>
              <w:jc w:val="left"/>
            </w:pPr>
            <w:r>
              <w:t xml:space="preserve">Python</w:t>
            </w:r>
          </w:p>
        </w:tc>
        <w:tc>
          <w:tcPr/>
          <w:p>
            <w:pPr>
              <w:pStyle w:val="Compact"/>
              <w:jc w:val="left"/>
            </w:pPr>
            <w:r>
              <w:t xml:space="preserve">3.12.2</w:t>
            </w:r>
          </w:p>
        </w:tc>
        <w:tc>
          <w:tcPr/>
          <w:p>
            <w:pPr>
              <w:pStyle w:val="Compact"/>
              <w:jc w:val="left"/>
            </w:pPr>
            <w:r>
              <w:t xml:space="preserve">Global Seed 固定</w:t>
            </w:r>
          </w:p>
        </w:tc>
      </w:tr>
      <w:tr>
        <w:tc>
          <w:tcPr/>
          <w:p>
            <w:pPr>
              <w:pStyle w:val="Compact"/>
            </w:pPr>
          </w:p>
        </w:tc>
        <w:tc>
          <w:tcPr/>
          <w:p>
            <w:pPr>
              <w:pStyle w:val="Compact"/>
              <w:jc w:val="left"/>
            </w:pPr>
            <w:r>
              <w:t xml:space="preserve">PyTorch</w:t>
            </w:r>
          </w:p>
        </w:tc>
        <w:tc>
          <w:tcPr/>
          <w:p>
            <w:pPr>
              <w:pStyle w:val="Compact"/>
              <w:jc w:val="left"/>
            </w:pPr>
            <w:r>
              <w:t xml:space="preserve">2.7.0+cu118</w:t>
            </w:r>
          </w:p>
        </w:tc>
        <w:tc>
          <w:tcPr/>
          <w:p>
            <w:pPr>
              <w:pStyle w:val="Compact"/>
              <w:jc w:val="left"/>
            </w:pPr>
            <w:r>
              <w:t xml:space="preserve">CUDA 11.8 Runtime</w:t>
            </w:r>
          </w:p>
        </w:tc>
      </w:tr>
      <w:tr>
        <w:tc>
          <w:tcPr/>
          <w:p>
            <w:pPr>
              <w:pStyle w:val="Compact"/>
            </w:pPr>
          </w:p>
        </w:tc>
        <w:tc>
          <w:tcPr/>
          <w:p>
            <w:pPr>
              <w:pStyle w:val="Compact"/>
              <w:jc w:val="left"/>
            </w:pPr>
            <w:r>
              <w:t xml:space="preserve">Driver</w:t>
            </w:r>
          </w:p>
        </w:tc>
        <w:tc>
          <w:tcPr/>
          <w:p>
            <w:pPr>
              <w:pStyle w:val="Compact"/>
              <w:jc w:val="left"/>
            </w:pPr>
            <w:r>
              <w:t xml:space="preserve">545.23.06</w:t>
            </w:r>
          </w:p>
        </w:tc>
        <w:tc>
          <w:tcPr/>
          <w:p>
            <w:pPr>
              <w:pStyle w:val="Compact"/>
              <w:jc w:val="left"/>
            </w:pPr>
            <w:r>
              <w:t xml:space="preserve">CUDA 12.3 Driver</w:t>
            </w:r>
          </w:p>
        </w:tc>
      </w:tr>
      <w:tr>
        <w:tc>
          <w:tcPr/>
          <w:p>
            <w:pPr>
              <w:pStyle w:val="Compact"/>
            </w:pPr>
          </w:p>
        </w:tc>
        <w:tc>
          <w:tcPr/>
          <w:p>
            <w:pPr>
              <w:pStyle w:val="Compact"/>
              <w:jc w:val="left"/>
            </w:pPr>
            <w:r>
              <w:t xml:space="preserve">Backend</w:t>
            </w:r>
          </w:p>
        </w:tc>
        <w:tc>
          <w:tcPr/>
          <w:p>
            <w:pPr>
              <w:pStyle w:val="Compact"/>
              <w:jc w:val="left"/>
            </w:pPr>
            <w:r>
              <w:t xml:space="preserve">cuDNN 90100</w:t>
            </w:r>
          </w:p>
        </w:tc>
        <w:tc>
          <w:tcPr/>
          <w:p>
            <w:pPr>
              <w:pStyle w:val="Compact"/>
              <w:jc w:val="left"/>
            </w:pPr>
            <w:r>
              <w:t xml:space="preserve">-</w:t>
            </w:r>
          </w:p>
        </w:tc>
      </w:tr>
    </w:tbl>
    <w:bookmarkEnd w:id="21"/>
    <w:bookmarkStart w:id="22"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因去除批量归一化 (Batch Normalization,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2"/>
    <w:bookmarkStart w:id="23"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p>
    <w:bookmarkEnd w:id="23"/>
    <w:bookmarkStart w:id="24" w:name="评测指标体系"/>
    <w:p>
      <w:pPr>
        <w:pStyle w:val="3"/>
      </w:pPr>
      <w:r>
        <w:t xml:space="preserve">4.1.5 评测指标体系</w:t>
      </w:r>
    </w:p>
    <w:p>
      <w:pPr>
        <w:pStyle w:val="11"/>
      </w:pPr>
      <w:r>
        <w:t xml:space="preserve">本章采用多维指标体系，全面评估重建质量与物理一致性：</w:t>
      </w:r>
    </w:p>
    <w:p>
      <w:pPr>
        <w:numPr>
          <w:ilvl w:val="0"/>
          <w:numId w:val="1004"/>
        </w:numPr>
        <w:pStyle w:val="Compact"/>
      </w:pPr>
      <w:r>
        <w:rPr>
          <w:bCs/>
          <w:b/>
        </w:rPr>
        <w:t xml:space="preserve">重建精度指标</w:t>
      </w:r>
      <w:r>
        <w:t xml:space="preserve">：</w:t>
      </w:r>
    </w:p>
    <w:p>
      <w:pPr>
        <w:numPr>
          <w:ilvl w:val="1"/>
          <w:numId w:val="1005"/>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05"/>
        </w:numPr>
        <w:pStyle w:val="Compact"/>
      </w:pPr>
      <w:r>
        <w:rPr>
          <w:bCs/>
          <w:b/>
        </w:rPr>
        <w:t xml:space="preserve">PSNR / SSIM</w:t>
      </w:r>
      <w:r>
        <w:t xml:space="preserve">：图像质量评价指标，衡量视觉保真度与结构相似性。</w:t>
      </w:r>
    </w:p>
    <w:p>
      <w:pPr>
        <w:numPr>
          <w:ilvl w:val="0"/>
          <w:numId w:val="1004"/>
        </w:numPr>
        <w:pStyle w:val="Compact"/>
      </w:pPr>
      <w:r>
        <w:rPr>
          <w:bCs/>
          <w:b/>
        </w:rPr>
        <w:t xml:space="preserve">物理一致性指标</w:t>
      </w:r>
      <w:r>
        <w:t xml:space="preserve">：</w:t>
      </w:r>
    </w:p>
    <w:p>
      <w:pPr>
        <w:numPr>
          <w:ilvl w:val="1"/>
          <w:numId w:val="1006"/>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06"/>
        </w:numPr>
        <w:pStyle w:val="Compact"/>
      </w:pPr>
      <w:r>
        <w:rPr>
          <w:bCs/>
          <w:b/>
        </w:rPr>
        <w:t xml:space="preserve">fRMSE (Frequency RMSE)</w:t>
      </w:r>
      <w:r>
        <w:t xml:space="preserve">：分频段（Low/Mid/High）计算的均方根误差，重点考察低频主模态与高频湍流细节的恢复情况。</w:t>
      </w:r>
    </w:p>
    <w:bookmarkEnd w:id="24"/>
    <w:bookmarkStart w:id="25" w:name="统计协议"/>
    <w:p>
      <w:pPr>
        <w:pStyle w:val="3"/>
      </w:pPr>
      <w:r>
        <w:t xml:space="preserve">4.1.6 统计协议</w:t>
      </w:r>
    </w:p>
    <w:p>
      <w:pPr>
        <w:numPr>
          <w:ilvl w:val="0"/>
          <w:numId w:val="1007"/>
        </w:numPr>
        <w:pStyle w:val="Compact"/>
      </w:pPr>
      <w:r>
        <w:rPr>
          <w:bCs/>
          <w:b/>
        </w:rPr>
        <w:t xml:space="preserve">确定性实验</w:t>
      </w:r>
      <w:r>
        <w:t xml:space="preserve">：所有实验均在固定随机种子（Seed=2025）下执行，确保结果的严格可复现性。</w:t>
      </w:r>
    </w:p>
    <w:p>
      <w:pPr>
        <w:numPr>
          <w:ilvl w:val="0"/>
          <w:numId w:val="1007"/>
        </w:numPr>
        <w:pStyle w:val="Compact"/>
      </w:pPr>
      <w:r>
        <w:rPr>
          <w:bCs/>
          <w:b/>
        </w:rPr>
        <w:t xml:space="preserve">统计验证</w:t>
      </w:r>
      <w:r>
        <w:t xml:space="preserve">：当前报告的数据基于单一种子的确定性运行。由于计算资源限制及确定性算法的引入，部分初步实验尚未展开多次独立运行（≥3个不同种子）的方差统计。后续核心对比中将补充报告均值与标准差，并开展严谨的统计显著性检验。</w:t>
      </w:r>
    </w:p>
    <w:p>
      <w:r>
        <w:pict>
          <v:rect style="width:0;height:1.5pt" o:hralign="center" o:hrstd="t" o:hr="t"/>
        </w:pict>
      </w:r>
    </w:p>
    <w:bookmarkEnd w:id="25"/>
    <w:bookmarkEnd w:id="26"/>
    <w:bookmarkStart w:id="48" w:name="稀疏场重建主结果-main-reconstruction-results"/>
    <w:p>
      <w:pPr>
        <w:pStyle w:val="2"/>
      </w:pPr>
      <w:r>
        <w:t xml:space="preserve">4.2 稀疏场重建主结果 (Main Reconstruction Results)</w:t>
      </w:r>
    </w:p>
    <w:bookmarkStart w:id="33" w:name="空间重建性能-spatial-reconstruction"/>
    <w:p>
      <w:pPr>
        <w:pStyle w:val="3"/>
      </w:pPr>
      <w:r>
        <w:t xml:space="preserve">4.2.1 空间重建性能 (Spatial Reconstruction)</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0.1480</w:t>
            </w:r>
          </w:p>
        </w:tc>
        <w:tc>
          <w:tcPr/>
          <w:p>
            <w:pPr>
              <w:pStyle w:val="Compact"/>
              <w:jc w:val="center"/>
            </w:pPr>
            <w:r>
              <w:t xml:space="preserve">33.96</w:t>
            </w:r>
          </w:p>
        </w:tc>
        <w:tc>
          <w:tcPr/>
          <w:p>
            <w:pPr>
              <w:pStyle w:val="Compact"/>
              <w:jc w:val="left"/>
            </w:pPr>
            <w:r>
              <w:t xml:space="preserve">传统插值基线</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0.1836</w:t>
            </w:r>
          </w:p>
        </w:tc>
        <w:tc>
          <w:tcPr/>
          <w:p>
            <w:pPr>
              <w:pStyle w:val="Compact"/>
              <w:jc w:val="center"/>
            </w:pPr>
            <w:r>
              <w:t xml:space="preserve">32.07</w:t>
            </w:r>
          </w:p>
        </w:tc>
        <w:tc>
          <w:tcPr/>
          <w:p>
            <w:pPr>
              <w:pStyle w:val="Compact"/>
              <w:jc w:val="left"/>
            </w:pPr>
            <w:r>
              <w:t xml:space="preserve">传统插值基线</w:t>
            </w:r>
          </w:p>
        </w:tc>
      </w:tr>
    </w:tbl>
    <w:p>
      <w:pPr>
        <w:pStyle w:val="11"/>
      </w:pPr>
      <w:r>
        <w:rPr>
          <w:bCs/>
          <w:b/>
        </w:rPr>
        <w:t xml:space="preserve">结果分析</w:t>
      </w:r>
      <w:r>
        <w:t xml:space="preserve">：</w:t>
      </w:r>
      <w:r>
        <w:t xml:space="preserve"> </w:t>
      </w:r>
      <w:r>
        <w:t xml:space="preserve">1.</w:t>
      </w:r>
      <w:r>
        <w:t xml:space="preserve"> </w:t>
      </w:r>
      <w:r>
        <w:rPr>
          <w:bCs/>
          <w:b/>
        </w:rPr>
        <w:t xml:space="preserve">超越传统插值基线</w:t>
      </w:r>
      <w:r>
        <w:t xml:space="preserve">：如表 4-2 所示，即便是最基础的深度学习模型（如 MLP-Model, Rel-L2 0.0182），也表现出显著优于传统的 Bicubic (Rel-L2 0.1480) 和 Bilinear (Rel-L2 0.1836) 插值方法的性能。特别是在 PSNR 这一关键指标上，EDSR 高达 71.05 dB，而 Bicubic 仅为 33.96 dB，充分凸显了深度学习模型在从稀疏观测中恢复非线性物理场时的强大信息推断能力，证明了纯数学插值在物理场重建中的局限性。</w:t>
      </w:r>
      <w:r>
        <w:t xml:space="preserve"> </w:t>
      </w:r>
      <w:r>
        <w:t xml:space="preserve">2.</w:t>
      </w:r>
      <w:r>
        <w:t xml:space="preserve"> </w:t>
      </w:r>
      <w:r>
        <w:rPr>
          <w:bCs/>
          <w:b/>
        </w:rPr>
        <w:t xml:space="preserve">空间骨干确立</w:t>
      </w:r>
      <w:r>
        <w:t xml:space="preserve">：EDSR 凭借其去归一化（No-BN）设计与深层残差结构，在物理场数值回归任务上表现出明显优势（Rel-L2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CaptionedFigure"/>
      </w:pPr>
      <w:r>
        <w:drawing>
          <wp:inline>
            <wp:extent cx="5753100" cy="4310516"/>
            <wp:effectExtent b="0" l="0" r="0" t="0"/>
            <wp:docPr descr="图 4-1: SWE 数据集上不同架构的训练收敛曲线对比。EDSR (Ours) 展现出更快的收敛速度与更低的稳态误差，显著优于 UNet、FNO 以及其他拓展基线模型。" title="" id="28" name="Picture"/>
            <a:graphic>
              <a:graphicData uri="http://schemas.openxmlformats.org/drawingml/2006/picture">
                <pic:pic>
                  <pic:nvPicPr>
                    <pic:cNvPr descr="images/fig4-4_training_convergence_extended.png" id="29" name="Picture"/>
                    <pic:cNvPicPr>
                      <a:picLocks noChangeArrowheads="1" noChangeAspect="1"/>
                    </pic:cNvPicPr>
                  </pic:nvPicPr>
                  <pic:blipFill>
                    <a:blip r:embed="rId27"/>
                    <a:stretch>
                      <a:fillRect/>
                    </a:stretch>
                  </pic:blipFill>
                  <pic:spPr bwMode="auto">
                    <a:xfrm>
                      <a:off x="0" y="0"/>
                      <a:ext cx="5753100" cy="4310516"/>
                    </a:xfrm>
                    <a:prstGeom prst="rect">
                      <a:avLst/>
                    </a:prstGeom>
                    <a:noFill/>
                    <a:ln w="9525">
                      <a:noFill/>
                      <a:headEnd/>
                      <a:tailEnd/>
                    </a:ln>
                  </pic:spPr>
                </pic:pic>
              </a:graphicData>
            </a:graphic>
          </wp:inline>
        </w:drawing>
      </w:r>
    </w:p>
    <w:p>
      <w:pPr>
        <w:pStyle w:val="ImageCaption"/>
      </w:pPr>
      <w:r>
        <w:t xml:space="preserve">图 4-1: SWE 数据集上不同架构的训练收敛曲线对比。EDSR (Ours) 展现出更快的收敛速度与更低的稳态误差，显著优于 UNet、FNO 以及其他拓展基线模型。</w:t>
      </w:r>
    </w:p>
    <w:p>
      <w:pPr>
        <w:pStyle w:val="11"/>
      </w:pPr>
      <w:r>
        <w:t xml:space="preserve">为进一步在有限计算预算下筛选最优基线，我们进行了</w:t>
      </w:r>
      <w:r>
        <w:rPr>
          <w:bCs/>
          <w:b/>
        </w:rPr>
        <w:t xml:space="preserve">1M 参数量预算</w:t>
      </w:r>
      <w:r>
        <w:t xml:space="preserve">下的横向对比（表 4-3）。通过图 4-2 的效率与精度权衡图（Trade-off）可以直观地看出，在相近的参数预算下，不同架构在计算速度与重构精度之间展现出不同的 Pareto 最优边界。</w:t>
      </w:r>
    </w:p>
    <w:p>
      <w:pPr>
        <w:pStyle w:val="CaptionedFigure"/>
      </w:pPr>
      <w:r>
        <w:drawing>
          <wp:inline>
            <wp:extent cx="4579632" cy="3480520"/>
            <wp:effectExtent b="0" l="0" r="0" t="0"/>
            <wp:docPr descr="图 4-2: 1M 参数预算下的模型效率与精度权衡图（Efficiency-Accuracy Trade-off）。横轴为模型推理时延（ms），纵轴为相对误差（Rel-L2）。散点大小反映模型的参数量（Params），点越小代表模型越轻量化。虚线连接了处于 Pareto 前沿的模型。可以看出，EDSR 精度最高但时延偏高；ConvUNetLite 速度最快且精度次优；NAFNet 虽精度较好但计算代价过高。" title="" id="31" name="Picture"/>
            <a:graphic>
              <a:graphicData uri="http://schemas.openxmlformats.org/drawingml/2006/picture">
                <pic:pic>
                  <pic:nvPicPr>
                    <pic:cNvPr descr="../figures/edsr/efficiency_accuracy_tradeoff.png" id="32" name="Picture"/>
                    <pic:cNvPicPr>
                      <a:picLocks noChangeArrowheads="1" noChangeAspect="1"/>
                    </pic:cNvPicPr>
                  </pic:nvPicPr>
                  <pic:blipFill>
                    <a:blip r:embed="rId30"/>
                    <a:stretch>
                      <a:fillRect/>
                    </a:stretch>
                  </pic:blipFill>
                  <pic:spPr bwMode="auto">
                    <a:xfrm>
                      <a:off x="0" y="0"/>
                      <a:ext cx="4579632" cy="3480520"/>
                    </a:xfrm>
                    <a:prstGeom prst="rect">
                      <a:avLst/>
                    </a:prstGeom>
                    <a:noFill/>
                    <a:ln w="9525">
                      <a:noFill/>
                      <a:headEnd/>
                      <a:tailEnd/>
                    </a:ln>
                  </pic:spPr>
                </pic:pic>
              </a:graphicData>
            </a:graphic>
          </wp:inline>
        </w:drawing>
      </w:r>
    </w:p>
    <w:p>
      <w:pPr>
        <w:pStyle w:val="ImageCaption"/>
      </w:pPr>
      <w:r>
        <w:t xml:space="preserve">图 4-2: 1M 参数预算下的模型效率与精度权衡图（Efficiency-Accuracy Trade-off）。横轴为模型推理时延（ms），纵轴为相对误差（Rel-L2）。散点大小反映模型的参数量（Params），点越小代表模型越轻量化。虚线连接了处于 Pareto 前沿的模型。可以看出，EDSR 精度最高但时延偏高；ConvUNetLite 速度最快且精度次优；NAFNet 虽精度较好但计算代价过高。</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m:oMath>
              <m:r>
                <m:rPr>
                  <m:sty m:val="p"/>
                </m:rPr>
                <m:t>✓</m:t>
              </m:r>
            </m:oMath>
            <w:r>
              <w:t xml:space="preserve"> </w:t>
            </w:r>
            <w:r>
              <w:t xml:space="preserve">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m:oMath>
              <m:r>
                <m:rPr>
                  <m:sty m:val="p"/>
                </m:rPr>
                <m:t>✓</m:t>
              </m:r>
            </m:oMath>
            <w:r>
              <w:t xml:space="preserve"> </w:t>
            </w:r>
            <w:r>
              <w:t xml:space="preserve">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m:oMath>
              <m:r>
                <m:rPr>
                  <m:sty m:val="p"/>
                </m:rPr>
                <m:t>✓</m:t>
              </m:r>
            </m:oMath>
            <w:r>
              <w:t xml:space="preserve"> </w:t>
            </w:r>
            <w:r>
              <w:t xml:space="preserve">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m:oMath>
              <m:r>
                <m:rPr>
                  <m:sty m:val="p"/>
                </m:rPr>
                <m:t>×</m:t>
              </m:r>
            </m:oMath>
            <w:r>
              <w:t xml:space="preserve"> </w:t>
            </w:r>
            <w:r>
              <w:t xml:space="preserve">严重超标</w:t>
            </w:r>
          </w:p>
        </w:tc>
      </w:tr>
    </w:tbl>
    <w:p>
      <w:pPr>
        <w:pStyle w:val="11"/>
      </w:pPr>
      <w:r>
        <w:rPr>
          <w:bCs/>
          <w:b/>
        </w:rPr>
        <w:t xml:space="preserve">视野受限下的空间重建能力 (Crop Capability Scan)</w:t>
      </w:r>
      <w:r>
        <w:t xml:space="preserve"> </w:t>
      </w:r>
      <w:r>
        <w:t xml:space="preserve">为探究模型在极端视野缺失下的重建极限，我们对 UNet 架构进行了从 112×112 (76.5% 观测) 到 1×1 (0.006% 观测) 的全范围扫描实验。同时，为了验证深层残差网络在 Inpainting 任务中的劣势，我们对比了 EDSR、PartialConvUNet 在典型稀疏场景下的表现（见表 4-4）。</w:t>
      </w:r>
    </w:p>
    <w:p>
      <w:pPr>
        <w:pStyle w:val="11"/>
      </w:pPr>
      <w:r>
        <w:rPr>
          <w:bCs/>
          <w:b/>
        </w:rPr>
        <w:t xml:space="preserve">表 4-4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t xml:space="preserve">0.4668</w:t>
            </w:r>
          </w:p>
        </w:tc>
        <w:tc>
          <w:tcPr/>
          <w:p>
            <w:pPr>
              <w:pStyle w:val="Compact"/>
              <w:jc w:val="center"/>
            </w:pPr>
            <w:r>
              <w:t xml:space="preserve">OOM</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0.6364</w:t>
            </w:r>
          </w:p>
        </w:tc>
        <w:tc>
          <w:tcPr/>
          <w:p>
            <w:pPr>
              <w:pStyle w:val="Compact"/>
              <w:jc w:val="center"/>
            </w:pPr>
            <w:r>
              <w:t xml:space="preserve">OOM</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0.7696</w:t>
            </w:r>
          </w:p>
        </w:tc>
        <w:tc>
          <w:tcPr/>
          <w:p>
            <w:pPr>
              <w:pStyle w:val="Compact"/>
              <w:jc w:val="center"/>
            </w:pPr>
            <w:r>
              <w:t xml:space="preserve">OOM</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t xml:space="preserve">0.8476</w:t>
            </w:r>
          </w:p>
        </w:tc>
        <w:tc>
          <w:tcPr/>
          <w:p>
            <w:pPr>
              <w:pStyle w:val="Compact"/>
              <w:jc w:val="center"/>
            </w:pPr>
            <w:r>
              <w:t xml:space="preserve">OOM</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0.9037</w:t>
            </w:r>
          </w:p>
        </w:tc>
        <w:tc>
          <w:tcPr/>
          <w:p>
            <w:pPr>
              <w:pStyle w:val="Compact"/>
              <w:jc w:val="center"/>
            </w:pPr>
            <w:r>
              <w:t xml:space="preserve">0.9026</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t xml:space="preserve">0.9463</w:t>
            </w:r>
          </w:p>
        </w:tc>
        <w:tc>
          <w:tcPr/>
          <w:p>
            <w:pPr>
              <w:pStyle w:val="Compact"/>
              <w:jc w:val="center"/>
            </w:pPr>
            <w:r>
              <w:t xml:space="preserve">0.9495</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0.9840</w:t>
            </w:r>
          </w:p>
        </w:tc>
        <w:tc>
          <w:tcPr/>
          <w:p>
            <w:pPr>
              <w:pStyle w:val="Compact"/>
              <w:jc w:val="center"/>
            </w:pPr>
            <w:r>
              <w:t xml:space="preserve">0.9820</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1.0164</w:t>
            </w:r>
          </w:p>
        </w:tc>
        <w:tc>
          <w:tcPr/>
          <w:p>
            <w:pPr>
              <w:pStyle w:val="Compact"/>
              <w:jc w:val="center"/>
            </w:pPr>
            <w:r>
              <w:t xml:space="preserve">0.9906</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1.0096</w:t>
            </w:r>
          </w:p>
        </w:tc>
        <w:tc>
          <w:tcPr/>
          <w:p>
            <w:pPr>
              <w:pStyle w:val="Compact"/>
              <w:jc w:val="center"/>
            </w:pPr>
            <w:r>
              <w:t xml:space="preserve">0.9924</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1.0055</w:t>
            </w:r>
          </w:p>
        </w:tc>
        <w:tc>
          <w:tcPr/>
          <w:p>
            <w:pPr>
              <w:pStyle w:val="Compact"/>
              <w:jc w:val="center"/>
            </w:pPr>
            <w:r>
              <w:t xml:space="preserve">0.9952</w:t>
            </w:r>
          </w:p>
        </w:tc>
        <w:tc>
          <w:tcPr/>
          <w:p>
            <w:pPr>
              <w:pStyle w:val="Compact"/>
              <w:jc w:val="center"/>
            </w:pPr>
            <w:r>
              <w:t xml:space="preserve">1.0000</w:t>
            </w:r>
            <m:oMath>
              <m:sSup>
                <m:e>
                  <m:r>
                    <m:t>​</m:t>
                  </m:r>
                </m:e>
                <m:sup>
                  <m:r>
                    <m:rPr>
                      <m:sty m:val="p"/>
                    </m:rPr>
                    <m:t>†</m:t>
                  </m:r>
                </m:sup>
              </m:sSup>
            </m:oMath>
          </w:p>
        </w:tc>
      </w:tr>
    </w:tbl>
    <w:tbl>
      <w:tblPr>
        <w:tblStyle w:val="FigureTable"/>
        <w:tblW w:type="auto" w:w="0"/>
        <w:tblLook w:firstRow="0" w:lastRow="0" w:firstColumn="0" w:lastColumn="0"/>
        <w:jc w:val="center"/>
      </w:tblPr>
      <w:tblGrid>
        <w:gridCol w:w="7920"/>
      </w:tblGrid>
      <w:tr>
        <w:tc>
          <w:tcPr/>
          <w:p>
            <w:pPr>
              <w:pStyle w:val="Compact"/>
              <w:jc w:val="center"/>
            </w:pPr>
            <w:r>
              <w:t xml:space="preserve">图 4-3: 不同观测面积（Area Pct）下各架构的重建误差退化曲线。横轴为对数刻度的观测面积占比，纵轴为相对误差（Rel-L2）。随着观测面积的极度萎缩，所有模型均向 Rel-L2</w:t>
            </w:r>
            <w:r>
              <w:t xml:space="preserve"> </w:t>
            </w:r>
            <w:r>
              <w:t xml:space="preserve">$\approx 1.0$</w:t>
            </w:r>
            <w:r>
              <w:t xml:space="preserve"> </w:t>
            </w:r>
            <w:r>
              <w:t xml:space="preserve">的失效极限（红色虚线）逼近。其中，带跳跃连接的 UNet 展现出比纯残差结构的 EDSR 更平滑的降级特性，而 PartialConvUNet 则在所有测试点上均失效。</w:t>
            </w:r>
          </w:p>
        </w:tc>
      </w:tr>
    </w:tbl>
    <w:p>
      <w:pPr>
        <w:pStyle w:val="ImageCaption"/>
      </w:pPr>
      <w:r>
        <w:t xml:space="preserve">图 4-3: 不同观测面积（Area Pct）下各架构的重建误差退化曲线。横轴为对数刻度的观测面积占比，纵轴为相对误差（Rel-L2）。随着观测面积的极度萎缩，所有模型均向 Rel-L2</w:t>
      </w:r>
      <w:r>
        <w:t xml:space="preserve"> </w:t>
      </w:r>
      <w:r>
        <w:t xml:space="preserve">$\approx 1.0$</w:t>
      </w:r>
      <w:r>
        <w:t xml:space="preserve"> </w:t>
      </w:r>
      <w:r>
        <w:t xml:space="preserve">的失效极限（红色虚线）逼近。其中，带跳跃连接的 UNet 展现出比纯残差结构的 EDSR 更平滑的降级特性，而 PartialConvUNet 则在所有测试点上均失效。</w:t>
      </w:r>
    </w:p>
    <w:p>
      <w:pPr>
        <w:pStyle w:val="11"/>
      </w:pPr>
      <w:r>
        <w:rPr>
          <w:bCs/>
          <w:b/>
        </w:rPr>
        <w:t xml:space="preserve">结果分析</w:t>
      </w:r>
      <w:r>
        <w:t xml:space="preserve">：</w:t>
      </w:r>
      <w:r>
        <w:t xml:space="preserve"> </w:t>
      </w:r>
      <w:r>
        <w:t xml:space="preserve">1.</w:t>
      </w:r>
      <w:r>
        <w:t xml:space="preserve"> </w:t>
      </w:r>
      <w:r>
        <w:rPr>
          <w:bCs/>
          <w:b/>
        </w:rPr>
        <w:t xml:space="preserve">架构的降级平滑性 (Graceful Degradation)</w:t>
      </w:r>
      <w:r>
        <w:t xml:space="preserve">：实验结果显示，虽然所有模型在视野受限时均出现误差上升，但带有</w:t>
      </w:r>
      <w:r>
        <w:rPr>
          <w:bCs/>
          <w:b/>
        </w:rPr>
        <w:t xml:space="preserve">跳跃连接 (Skip Connections)</w:t>
      </w:r>
      <w:r>
        <w:t xml:space="preserve"> </w:t>
      </w:r>
      <w:r>
        <w:t xml:space="preserve">的全卷积 UNet 展现出了相对平滑的降级曲线（例如 Size 112 时 Rel-L2 为 0.4668）。这表明其编码器-解码器结构能够一定程度上将观测边界信息传递到缺失区域（Inpainting）。</w:t>
      </w:r>
      <w:r>
        <w:t xml:space="preserve"> </w:t>
      </w:r>
      <w:r>
        <w:t xml:space="preserve">2.</w:t>
      </w:r>
      <w:r>
        <w:t xml:space="preserve"> </w:t>
      </w:r>
      <w:r>
        <w:rPr>
          <w:bCs/>
          <w:b/>
        </w:rPr>
        <w:t xml:space="preserve">深层网络的结构劣势</w:t>
      </w:r>
      <w:r>
        <w:t xml:space="preserve">：相比之下，在 SR（均匀下采样）任务中表现优异的 EDSR 在 Crop 任务中表现略逊于 UNet（如 Size 32 下 0.9495 vs 0.9463）。这是因为深层残差结构缺乏长程特征传递机制，面对大面积连续缺失时，难以有效推断缺失区域内容。</w:t>
      </w:r>
      <w:r>
        <w:t xml:space="preserve"> </w:t>
      </w:r>
      <w:r>
        <w:t xml:space="preserve">3.</w:t>
      </w:r>
      <w:r>
        <w:t xml:space="preserve"> </w:t>
      </w:r>
      <w:r>
        <w:rPr>
          <w:bCs/>
          <w:b/>
        </w:rPr>
        <w:t xml:space="preserve">PartialConv 的失效</w:t>
      </w:r>
      <w:r>
        <w:t xml:space="preserve">：PartialConvUNet 的完全失效（Rel-L2=1.0）进一步证实了针对传统图像修复设计的“掩码更新”机制并不适用于遵循严格物理守恒律（如能量守恒）的流体场重建。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0.96，见表 4-11），这标志着纯数据驱动下物理信息的可重建极限。</w:t>
      </w:r>
    </w:p>
    <w:bookmarkEnd w:id="33"/>
    <w:bookmarkStart w:id="37" w:name="时空演化性能-spatiotemporal-evolution"/>
    <w:p>
      <w:pPr>
        <w:pStyle w:val="3"/>
      </w:pPr>
      <w:r>
        <w:t xml:space="preserve">4.2.2 时空演化性能 (Spatiotemporal Evolution)</w:t>
      </w:r>
    </w:p>
    <w:p>
      <w:pPr>
        <w:pStyle w:val="11"/>
      </w:pPr>
      <w:r>
        <w:t xml:space="preserve">在动力学更为复杂的 DRD 数据集上，评估“空间重建 + 时序预测”联合模型的长时演化能力。表 4-5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4-5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p>
      <w:pPr>
        <w:pStyle w:val="CaptionedFigure"/>
      </w:pPr>
      <w:r>
        <w:drawing>
          <wp:inline>
            <wp:extent cx="5504749" cy="3669832"/>
            <wp:effectExtent b="0" l="0" r="0" t="0"/>
            <wp:docPr descr="图 4-4: 时空预测任务中的误差累积（Rollout Error）分析。随着预测步长（Time Step）的增加，Ours (Seq-EDSR) 的累积误差增长最为缓慢，表现出优异的长时稳定性；而 UNet 与 FNO 则出现了较快的误差漂移。" title="" id="35" name="Picture"/>
            <a:graphic>
              <a:graphicData uri="http://schemas.openxmlformats.org/drawingml/2006/picture">
                <pic:pic>
                  <pic:nvPicPr>
                    <pic:cNvPr descr="images/fig4-7_rollout_error.png" id="36" name="Picture"/>
                    <pic:cNvPicPr>
                      <a:picLocks noChangeArrowheads="1" noChangeAspect="1"/>
                    </pic:cNvPicPr>
                  </pic:nvPicPr>
                  <pic:blipFill>
                    <a:blip r:embed="rId34"/>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4-4: 时空预测任务中的误差累积（Rollout Error）分析。随着预测步长（Time Step）的增加，Ours (Seq-EDSR) 的累积误差增长最为缓慢，表现出优异的长时稳定性；而 UNet 与 FNO 则出现了较快的误差漂移。</w:t>
      </w:r>
    </w:p>
    <w:bookmarkEnd w:id="37"/>
    <w:bookmarkStart w:id="47" w:name="定性与谱分析-qualitative-spectral-analysis"/>
    <w:p>
      <w:pPr>
        <w:pStyle w:val="3"/>
      </w:pPr>
      <w:r>
        <w:t xml:space="preserve">4.2.3 定性与谱分析 (Qualitative &amp; Spectral Analysis)</w:t>
      </w:r>
    </w:p>
    <w:p>
      <w:pPr>
        <w:pStyle w:val="11"/>
      </w:pPr>
      <w:r>
        <w:t xml:space="preserve">为直观评估重建质量，图 4-5 展示了典型测试样本的重建结果。</w:t>
      </w:r>
    </w:p>
    <w:p>
      <w:pPr>
        <w:pStyle w:val="CaptionedFigure"/>
      </w:pPr>
      <w:r>
        <w:drawing>
          <wp:inline>
            <wp:extent cx="5753100" cy="3835399"/>
            <wp:effectExtent b="0" l="0" r="0" t="0"/>
            <wp:docPr descr="图 4-5: 典型测试样本（SWE 数据集，SR \times 4 任务）的重建结果对比。第一行展示了真实场 (GT)、UNet 基线重建与 Ours (EDSR) 重建；第二行展示了对应的绝对误差热图。Ours 模型在涡旋边缘与高频纹理区域展现出更低的重建误差。" title="" id="39" name="Picture"/>
            <a:graphic>
              <a:graphicData uri="http://schemas.openxmlformats.org/drawingml/2006/picture">
                <pic:pic>
                  <pic:nvPicPr>
                    <pic:cNvPr descr="images/fig4-1_vis_results.png" id="40" name="Picture"/>
                    <pic:cNvPicPr>
                      <a:picLocks noChangeArrowheads="1" noChangeAspect="1"/>
                    </pic:cNvPicPr>
                  </pic:nvPicPr>
                  <pic:blipFill>
                    <a:blip r:embed="rId38"/>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图 4-5: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08"/>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08"/>
        </w:numPr>
        <w:pStyle w:val="Compact"/>
      </w:pPr>
      <w:r>
        <w:rPr>
          <w:bCs/>
          <w:b/>
        </w:rPr>
        <w:t xml:space="preserve">物理一致性</w:t>
      </w:r>
      <w:r>
        <w:t xml:space="preserve">：功率谱分析显示，Ours 在低频段与 GT 高度重合，而 UNet 在高频段存在明显的能量衰减，这与 fRMSE 指标一致。</w:t>
      </w:r>
    </w:p>
    <w:p>
      <w:pPr>
        <w:pStyle w:val="CaptionedFigure"/>
      </w:pPr>
      <w:r>
        <w:drawing>
          <wp:inline>
            <wp:extent cx="5504749" cy="3669832"/>
            <wp:effectExtent b="0" l="0" r="0" t="0"/>
            <wp:docPr descr="图 4-6: 重建结果的径向平均功率谱对比。Baseline (UNet) 在高频段（k &gt; 32）呈现显著的能量衰减（过度平滑），而引入谱一致性损失 \mathcal{L}_{spec} 的 Ours 模型（红色实线）能够有效保持物理场的多尺度能量分布，与真实场（黑色虚线）高度重合。" title="" id="42" name="Picture"/>
            <a:graphic>
              <a:graphicData uri="http://schemas.openxmlformats.org/drawingml/2006/picture">
                <pic:pic>
                  <pic:nvPicPr>
                    <pic:cNvPr descr="images/fig4-2_power_spectrum.png" id="43" name="Picture"/>
                    <pic:cNvPicPr>
                      <a:picLocks noChangeArrowheads="1" noChangeAspect="1"/>
                    </pic:cNvPicPr>
                  </pic:nvPicPr>
                  <pic:blipFill>
                    <a:blip r:embed="rId41"/>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4-6: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模型（红色实线）能够有效保持物理场的多尺度能量分布，与真实场（黑色虚线）高度重合。</w:t>
      </w:r>
    </w:p>
    <w:p>
      <w:pPr>
        <w:numPr>
          <w:ilvl w:val="0"/>
          <w:numId w:val="1009"/>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pPr>
        <w:pStyle w:val="CaptionedFigure"/>
      </w:pPr>
      <w:r>
        <w:drawing>
          <wp:inline>
            <wp:extent cx="5753100" cy="1965292"/>
            <wp:effectExtent b="0" l="0" r="0" t="0"/>
            <wp:docPr descr="图 4-7: 典型失败案例分析。在强非线性边界区域，模型可能出现高频振铃（Ringing Artifacts）或频谱泄漏现象（红框所示），这通常源于固定网格对复杂边界几何的离散化误差。" title="" id="45" name="Picture"/>
            <a:graphic>
              <a:graphicData uri="http://schemas.openxmlformats.org/drawingml/2006/picture">
                <pic:pic>
                  <pic:nvPicPr>
                    <pic:cNvPr descr="images/fig4-8_failure_cases.png" id="46" name="Picture"/>
                    <pic:cNvPicPr>
                      <a:picLocks noChangeArrowheads="1" noChangeAspect="1"/>
                    </pic:cNvPicPr>
                  </pic:nvPicPr>
                  <pic:blipFill>
                    <a:blip r:embed="rId44"/>
                    <a:stretch>
                      <a:fillRect/>
                    </a:stretch>
                  </pic:blipFill>
                  <pic:spPr bwMode="auto">
                    <a:xfrm>
                      <a:off x="0" y="0"/>
                      <a:ext cx="5753100" cy="1965292"/>
                    </a:xfrm>
                    <a:prstGeom prst="rect">
                      <a:avLst/>
                    </a:prstGeom>
                    <a:noFill/>
                    <a:ln w="9525">
                      <a:noFill/>
                      <a:headEnd/>
                      <a:tailEnd/>
                    </a:ln>
                  </pic:spPr>
                </pic:pic>
              </a:graphicData>
            </a:graphic>
          </wp:inline>
        </w:drawing>
      </w:r>
    </w:p>
    <w:p>
      <w:pPr>
        <w:pStyle w:val="ImageCaption"/>
      </w:pPr>
      <w:r>
        <w:t xml:space="preserve">图 4-7: 典型失败案例分析。在强非线性边界区域，模型可能出现高频振铃（Ringing Artifacts）或频谱泄漏现象（红框所示），这通常源于固定网格对复杂边界几何的离散化误差。</w:t>
      </w:r>
    </w:p>
    <w:p>
      <w:r>
        <w:pict>
          <v:rect style="width:0;height:1.5pt" o:hralign="center" o:hrstd="t" o:hr="t"/>
        </w:pict>
      </w:r>
    </w:p>
    <w:bookmarkEnd w:id="47"/>
    <w:bookmarkEnd w:id="48"/>
    <w:bookmarkStart w:id="58" w:name="核心机制与消融实验-mechanism-ablation"/>
    <w:p>
      <w:pPr>
        <w:pStyle w:val="2"/>
      </w:pPr>
      <w:r>
        <w:t xml:space="preserve">4.3 核心机制与消融实验 (Mechanism &amp; Ablation)</w:t>
      </w:r>
    </w:p>
    <w:bookmarkStart w:id="52" w:name="Xe9af985816b247091b0e238c22d05479edecd13"/>
    <w:p>
      <w:pPr>
        <w:pStyle w:val="3"/>
      </w:pPr>
      <w:r>
        <w:t xml:space="preserve">4.3.1 物理约束的有效性 (Physical Constraints Effectiveness)</w:t>
      </w:r>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4-6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r>
              <w:t xml:space="preserve"> </w:t>
            </w:r>
            <w:r>
              <w:t xml:space="preserve">(px)</w:t>
            </w:r>
          </w:p>
        </w:tc>
        <w:tc>
          <w:tcPr/>
          <w:p>
            <w:pPr>
              <w:pStyle w:val="Compact"/>
              <w:jc w:val="center"/>
            </w:pPr>
            <m:oMath>
              <m:sSub>
                <m:e>
                  <m:r>
                    <m:t>σ</m:t>
                  </m:r>
                </m:e>
                <m:sub>
                  <m:r>
                    <m:rPr>
                      <m:nor/>
                      <m:sty m:val="p"/>
                    </m:rPr>
                    <m:t>test</m:t>
                  </m:r>
                </m:sub>
              </m:sSub>
            </m:oMath>
            <w:r>
              <w:t xml:space="preserve"> </w:t>
            </w:r>
            <w:r>
              <w:t xml:space="preserve">(px)</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oMath>
      <w:r>
        <w:t xml:space="preserve"> </w:t>
      </w:r>
      <w:r>
        <w:t xml:space="preserve">上。虽然模型恢复了大尺度的物理结构，但在观测子空间内产生了系统性的偏差。</w:t>
      </w:r>
    </w:p>
    <w:p>
      <w:pPr>
        <w:pStyle w:val="11"/>
      </w:pPr>
      <w:r>
        <w:t xml:space="preserve">为进一步验证“三件套损失”的有效性，在 UNet（通用基线）与 EDSR（专用基线）上分别进行消融。</w:t>
      </w:r>
    </w:p>
    <w:p>
      <w:pPr>
        <w:pStyle w:val="11"/>
      </w:pPr>
      <w:r>
        <w:rPr>
          <w:bCs/>
          <w:b/>
        </w:rPr>
        <w:t xml:space="preserve">表 4-7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物理感知损失对弱骨干的有效改善</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变化微乎其微。这揭示了优秀的残差网络架构本身就具备极强的拟合观测数据的能力，引入物理损失的价值在于规范未观测区域的物理行为。</w:t>
      </w:r>
    </w:p>
    <w:p>
      <w:pPr>
        <w:pStyle w:val="CaptionedFigure"/>
      </w:pPr>
      <w:r>
        <w:drawing>
          <wp:inline>
            <wp:extent cx="5504749" cy="3669832"/>
            <wp:effectExtent b="0" l="0" r="0" t="0"/>
            <wp:docPr descr="图 4-8: 损失函数消融实验的验证集 Rel-L2 曲线对比。引入物理感知损失（Full Loss）后，UNet 模型的收敛平台显著降低，证明了物理约束对解空间的有效收缩作用。" title="" id="50" name="Picture"/>
            <a:graphic>
              <a:graphicData uri="http://schemas.openxmlformats.org/drawingml/2006/picture">
                <pic:pic>
                  <pic:nvPicPr>
                    <pic:cNvPr descr="images/fig4-6_ablation_curves.png" id="51" name="Picture"/>
                    <pic:cNvPicPr>
                      <a:picLocks noChangeArrowheads="1" noChangeAspect="1"/>
                    </pic:cNvPicPr>
                  </pic:nvPicPr>
                  <pic:blipFill>
                    <a:blip r:embed="rId4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4-8: 损失函数消融实验的验证集 Rel-L2 曲线对比。引入物理感知损失（Full Loss）后，UNet 模型的收敛平台显著降低，证明了物理约束对解空间的有效收缩作用。</w:t>
      </w:r>
    </w:p>
    <w:bookmarkEnd w:id="52"/>
    <w:bookmarkStart w:id="56" w:name="序列化训练的必要性-sequential-training-strategy"/>
    <w:p>
      <w:pPr>
        <w:pStyle w:val="3"/>
      </w:pPr>
      <w:r>
        <w:t xml:space="preserve">4.3.2 序列化训练的必要性 (Sequential Training Strategy)</w:t>
      </w:r>
    </w:p>
    <w:p>
      <w:pPr>
        <w:pStyle w:val="11"/>
      </w:pPr>
      <w:r>
        <w:t xml:space="preserve">针对时空联合建模难优化的问题，对比了“分步序列化训练 (Stage 2)”与“全参数联合微调 (Stage 3)”两种策略的效果。</w:t>
      </w:r>
    </w:p>
    <w:p>
      <w:pPr>
        <w:pStyle w:val="11"/>
      </w:pPr>
      <w:r>
        <w:rPr>
          <w:bCs/>
          <w:b/>
        </w:rPr>
        <w:t xml:space="preserve">表 4-8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w:t>
      </w:r>
    </w:p>
    <w:p>
      <w:pPr>
        <w:pStyle w:val="CaptionedFigure"/>
      </w:pPr>
      <w:r>
        <w:drawing>
          <wp:inline>
            <wp:extent cx="5504749" cy="3669832"/>
            <wp:effectExtent b="0" l="0" r="0" t="0"/>
            <wp:docPr descr="图 4-9: 序列化课程学习策略（Sequential Curriculum Learning）的训练演进曲线。从 Stage 2（冻结空间）切换到 Stage 3（全参数微调）时，高频误差（fRMSE-High，红线）显著下降，表明联合微调有效恢复了物理场的细节结构。" title="" id="54" name="Picture"/>
            <a:graphic>
              <a:graphicData uri="http://schemas.openxmlformats.org/drawingml/2006/picture">
                <pic:pic>
                  <pic:nvPicPr>
                    <pic:cNvPr descr="images/fig4-5_sequential_evolution.png" id="55" name="Picture"/>
                    <pic:cNvPicPr>
                      <a:picLocks noChangeArrowheads="1" noChangeAspect="1"/>
                    </pic:cNvPicPr>
                  </pic:nvPicPr>
                  <pic:blipFill>
                    <a:blip r:embed="rId53"/>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4-9: 序列化课程学习策略（Sequential Curriculum Learning）的训练演进曲线。从 Stage 2（冻结空间）切换到 Stage 3（全参数微调）时，高频误差（fRMSE-High，红线）显著下降，表明联合微调有效恢复了物理场的细节结构。</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4-9）：</w:t>
      </w:r>
    </w:p>
    <w:p>
      <w:pPr>
        <w:pStyle w:val="11"/>
      </w:pPr>
      <w:r>
        <w:rPr>
          <w:bCs/>
          <w:b/>
        </w:rPr>
        <w:t xml:space="preserve">表 4-9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bookmarkEnd w:id="56"/>
    <w:bookmarkStart w:id="57" w:name="架构性能归因分析-architecture-attribution"/>
    <w:p>
      <w:pPr>
        <w:pStyle w:val="3"/>
      </w:pPr>
      <w:r>
        <w:t xml:space="preserve">4.3.3 架构性能归因分析 (Architecture Attribution)</w:t>
      </w:r>
    </w:p>
    <w:p>
      <w:pPr>
        <w:pStyle w:val="11"/>
      </w:pPr>
      <w:r>
        <w:t xml:space="preserve">基于表 4-1 与表 4-2 的量化结果，不同模型架构呈现出显著分化。</w:t>
      </w:r>
      <w:r>
        <w:t xml:space="preserve"> </w:t>
      </w:r>
      <w:r>
        <w:t xml:space="preserve">1.</w:t>
      </w:r>
      <w:r>
        <w:t xml:space="preserve"> </w:t>
      </w:r>
      <w:r>
        <w:rPr>
          <w:bCs/>
          <w:b/>
        </w:rPr>
        <w:t xml:space="preserve">EDSR (ResNet)</w:t>
      </w:r>
      <w:r>
        <w:t xml:space="preserve">：观测真值的“守门人”。去除 BN 后更适合数值回归，深层堆叠增强细节。</w:t>
      </w:r>
      <w:r>
        <w:t xml:space="preserve"> </w:t>
      </w:r>
      <w:r>
        <w:t xml:space="preserve">2.</w:t>
      </w:r>
      <w:r>
        <w:t xml:space="preserve"> </w:t>
      </w:r>
      <w:r>
        <w:rPr>
          <w:bCs/>
          <w:b/>
        </w:rPr>
        <w:t xml:space="preserve">Transformer (SegFormer/UNetFormer)</w:t>
      </w:r>
      <w:r>
        <w:t xml:space="preserve">：高效注意力降低复杂度，推理极快，但在极度稀疏下收敛困难。</w:t>
      </w:r>
      <w:r>
        <w:t xml:space="preserve"> </w:t>
      </w:r>
      <w:r>
        <w:t xml:space="preserve">3.</w:t>
      </w:r>
      <w:r>
        <w:t xml:space="preserve"> </w:t>
      </w:r>
      <w:r>
        <w:rPr>
          <w:bCs/>
          <w:b/>
        </w:rPr>
        <w:t xml:space="preserve">Operator (UNO)</w:t>
      </w:r>
      <w:r>
        <w:t xml:space="preserve">：计算密度低，适合高分辨率扩展，但参数效率略逊于 CNN。</w:t>
      </w:r>
    </w:p>
    <w:p>
      <w:r>
        <w:pict>
          <v:rect style="width:0;height:1.5pt" o:hralign="center" o:hrstd="t" o:hr="t"/>
        </w:pict>
      </w:r>
    </w:p>
    <w:bookmarkEnd w:id="57"/>
    <w:bookmarkEnd w:id="58"/>
    <w:bookmarkStart w:id="65" w:name="Xb8ecca8aa3db901e98cb84a10acfe772eb421d2"/>
    <w:p>
      <w:pPr>
        <w:pStyle w:val="2"/>
      </w:pPr>
      <w:r>
        <w:t xml:space="preserve">4.4 鲁棒性、边界与效率 (Robustness, Boundaries &amp; Efficiency)</w:t>
      </w:r>
    </w:p>
    <w:bookmarkStart w:id="59" w:name="噪声与跨域鲁棒性-noise-generalization"/>
    <w:p>
      <w:pPr>
        <w:pStyle w:val="3"/>
      </w:pPr>
      <w:r>
        <w:t xml:space="preserve">4.4.1 噪声与跨域鲁棒性 (Noise &amp; Generalization)</w:t>
      </w:r>
    </w:p>
    <w:p>
      <w:pPr>
        <w:pStyle w:val="11"/>
      </w:pPr>
      <w:r>
        <w:t xml:space="preserve">测试 EDSR 在不同输入噪声水平下的表现。</w:t>
      </w:r>
    </w:p>
    <w:p>
      <w:pPr>
        <w:pStyle w:val="11"/>
      </w:pPr>
      <w:r>
        <w:rPr>
          <w:bCs/>
          <w:b/>
        </w:rPr>
        <w:t xml:space="preserve">表 4-10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：仅在无噪数据上训练的模型对高频噪声较敏感。此外，在</w:t>
      </w:r>
      <w:r>
        <w:t xml:space="preserve"> </w:t>
      </w:r>
      <w:r>
        <w:rPr>
          <w:bCs/>
          <w:b/>
        </w:rPr>
        <w:t xml:space="preserve">2D Darcy Flow</w:t>
      </w:r>
      <w:r>
        <w:t xml:space="preserve"> </w:t>
      </w:r>
      <w:r>
        <w:t xml:space="preserve">数据集上的验证表明，</w:t>
      </w:r>
      <w:r>
        <w:t xml:space="preserve">“</w:t>
      </w:r>
      <w:r>
        <w:t xml:space="preserve">统一观测算子 + 残差骨干</w:t>
      </w:r>
      <w:r>
        <w:t xml:space="preserve">”</w:t>
      </w:r>
      <w:r>
        <w:t xml:space="preserve">的范式具备处理不同物理机制的通用潜力。</w:t>
      </w:r>
    </w:p>
    <w:bookmarkEnd w:id="59"/>
    <w:bookmarkStart w:id="60" w:name="极度稀疏边界-extreme-sparsity"/>
    <w:p>
      <w:pPr>
        <w:pStyle w:val="3"/>
      </w:pPr>
      <w:r>
        <w:t xml:space="preserve">4.4.2 极度稀疏边界 (Extreme Sparsity)</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4-11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m:oMath>
        <m:r>
          <m:t>16</m:t>
        </m:r>
        <m:r>
          <m:rPr>
            <m:sty m:val="p"/>
          </m:rPr>
          <m:t>×</m:t>
        </m:r>
        <m:r>
          <m:t>16</m:t>
        </m:r>
      </m:oMath>
      <w:r>
        <w:t xml:space="preserve"> </w:t>
      </w:r>
      <w:r>
        <w:t xml:space="preserve">是物理场结构恢复的分水岭。在极度稀疏下，模型表现出符合预期的性能下降，但其</w:t>
      </w:r>
      <w:r>
        <w:t xml:space="preserve"> </w:t>
      </w:r>
      <m:oMath>
        <m:sSub>
          <m:e>
            <m:r>
              <m:t>H</m:t>
            </m:r>
          </m:e>
          <m:sub>
            <m:r>
              <m:rPr>
                <m:sty m:val="p"/>
              </m:rPr>
              <m:t>e</m:t>
            </m:r>
            <m:r>
              <m:rPr>
                <m:sty m:val="p"/>
              </m:rPr>
              <m:t>r</m:t>
            </m:r>
            <m:r>
              <m:rPr>
                <m:sty m:val="p"/>
              </m:rPr>
              <m:t>r</m:t>
            </m:r>
          </m:sub>
        </m:sSub>
      </m:oMath>
      <w:r>
        <w:t xml:space="preserve"> </w:t>
      </w:r>
      <w:r>
        <w:t xml:space="preserve">始终保持在极低水平。</w:t>
      </w:r>
    </w:p>
    <w:bookmarkEnd w:id="60"/>
    <w:bookmarkStart w:id="64" w:name="资源效率分析-resource-efficiency"/>
    <w:p>
      <w:pPr>
        <w:pStyle w:val="3"/>
      </w:pPr>
      <w:r>
        <w:t xml:space="preserve">4.4.3 资源效率分析 (Resource Efficiency)</w:t>
      </w:r>
    </w:p>
    <w:p>
      <w:pPr>
        <w:pStyle w:val="11"/>
      </w:pPr>
      <w:r>
        <w:rPr>
          <w:bCs/>
          <w:b/>
        </w:rPr>
        <w:t xml:space="preserve">表 4-12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：我们通过</w:t>
      </w:r>
      <w:r>
        <w:t xml:space="preserve"> </w:t>
      </w:r>
      <w:r>
        <w:rPr>
          <w:bCs/>
          <w:b/>
        </w:rPr>
        <w:t xml:space="preserve">Pareto Frontier Analysis</w:t>
      </w:r>
      <w:r>
        <w:t xml:space="preserve"> </w:t>
      </w:r>
      <w:r>
        <w:t xml:space="preserve">确认了 EDSR 在移动端算力预算（&lt; 20 GFLOPs）下的帕累托最优地位。</w:t>
      </w:r>
    </w:p>
    <w:p>
      <w:pPr>
        <w:pStyle w:val="CaptionedFigure"/>
      </w:pPr>
      <w:r>
        <w:drawing>
          <wp:inline>
            <wp:extent cx="5504749" cy="4587290"/>
            <wp:effectExtent b="0" l="0" r="0" t="0"/>
            <wp:docPr descr="图 4-10: 不同模型架构在 SWE 任务上的资源-精度权衡（Pareto Frontier）。横轴为计算量 (GFLOPs)，纵轴为相对误差 (Rel-L2)。Ours (EDSR) 位于左下角的帕累托最优区域，表明其在有限算力预算下实现了最佳的重建精度，具备边缘部署潜力。" title="" id="62" name="Picture"/>
            <a:graphic>
              <a:graphicData uri="http://schemas.openxmlformats.org/drawingml/2006/picture">
                <pic:pic>
                  <pic:nvPicPr>
                    <pic:cNvPr descr="images/fig4-3_pareto_frontier.png" id="63" name="Picture"/>
                    <pic:cNvPicPr>
                      <a:picLocks noChangeArrowheads="1" noChangeAspect="1"/>
                    </pic:cNvPicPr>
                  </pic:nvPicPr>
                  <pic:blipFill>
                    <a:blip r:embed="rId61"/>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r>
        <w:t xml:space="preserve">图 4-10: 不同模型架构在 SWE 任务上的资源-精度权衡（Pareto Frontier）。横轴为计算量 (GFLOPs)，纵轴为相对误差 (Rel-L2)。Ours (EDSR) 位于左下角的帕累托最优区域，表明其在有限算力预算下实现了最佳的重建精度，具备边缘部署潜力。</w:t>
      </w:r>
    </w:p>
    <w:p>
      <w:r>
        <w:pict>
          <v:rect style="width:0;height:1.5pt" o:hralign="center" o:hrstd="t" o:hr="t"/>
        </w:pict>
      </w:r>
    </w:p>
    <w:bookmarkEnd w:id="64"/>
    <w:bookmarkEnd w:id="65"/>
    <w:bookmarkStart w:id="66" w:name="本章小结"/>
    <w:p>
      <w:pPr>
        <w:pStyle w:val="2"/>
      </w:pPr>
      <w:r>
        <w:t xml:space="preserve">4.5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66"/>
    <w:bookmarkStart w:id="67" w:name="参考文献-references"/>
    <w:p>
      <w:pPr>
        <w:pStyle w:val="2"/>
      </w:pPr>
      <w:r>
        <w:t xml:space="preserve">参考文献 (References)</w:t>
      </w:r>
    </w:p>
    <w:p>
      <w:pPr>
        <w:pStyle w:val="aff7"/>
      </w:pPr>
      <w:r>
        <w:t xml:space="preserve">[1] Takamoto M, Praditia T, Leiteritz R, et al. PDEBench: An extensive benchmark for scientific machine learning[R]. arXiv preprint arXiv:2210.07182, 2022.</w:t>
      </w:r>
    </w:p>
    <w:p>
      <w:pPr>
        <w:pStyle w:val="aff7"/>
      </w:pPr>
      <w:r>
        <w:t xml:space="preserve">[2] Wang Z, Bovik A C, Sheikh H R, et al. Image quality assessment: From error visibility to structural similarity[J]. IEEE Transactions on Image Processing, 2004, 13(4): 600–612.</w:t>
      </w:r>
    </w:p>
    <w:p>
      <w:pPr>
        <w:pStyle w:val="aff7"/>
      </w:pPr>
      <w:r>
        <w:t xml:space="preserve">[3] Wilkinson M D, Dumontier M, Aalbersberg I J, et al. The FAIR Guiding Principles for scientific data management and stewardship[J]. Scientific Data, 2016, 3: 160018.</w:t>
      </w:r>
    </w:p>
    <w:bookmarkEnd w:id="67"/>
    <w:bookmarkEnd w:id="68"/>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34" Target="media/rId34.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2026-03-25T20:41:50Z</dcterms:created>
  <dcterms:modified xsi:type="dcterms:W3CDTF">2026-03-25T20:41:50Z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