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5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1.xml" ContentType="application/vnd.openxmlformats-officedocument.wordprocessingml.header+xml"/>
  <Override PartName="/word/header7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footer7.xml" ContentType="application/vnd.openxmlformats-officedocument.wordprocessingml.footer+xml"/>
  <Override PartName="/word/footer9.xml" ContentType="application/vnd.openxmlformats-officedocument.wordprocessingml.footer+xml"/>
  <Override PartName="/word/footer6.xml" ContentType="application/vnd.openxmlformats-officedocument.wordprocessingml.footer+xml"/>
  <Override PartName="/word/footer3.xml" ContentType="application/vnd.openxmlformats-officedocument.wordprocessingml.footer+xml"/>
  <Override PartName="/word/footer8.xml" ContentType="application/vnd.openxmlformats-officedocument.wordprocessingml.foot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media/image2.png" ContentType="image/png"/>
  <Override PartName="/word/media/image1.png" ContentType="image/png"/>
  <Override PartName="/word/media/image3.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摘-要"/>
    <w:p>
      <w:pPr>
        <w:pStyle w:val="2"/>
      </w:pPr>
      <w:r>
        <w:t xml:space="preserve">摘 要</w:t>
      </w:r>
    </w:p>
    <w:p>
      <w:pPr>
        <w:pStyle w:val="11"/>
      </w:pPr>
      <w:r>
        <w:t xml:space="preserve">在计算物理、环境监测与工业诊断等场景中，高分辨率时空物理场重建对下游预测、控制与决策具有重要意义。受限于传感器部署成本、数据采集带宽与复杂环境约束，实际观测往往呈现稀疏、非均匀与含噪等退化特征；同时，真实观测过程通常包含抗混叠滤波、边界裁剪与对齐规则，而许多学习方法在训练阶段采用理想化退化过程，导致训练与评测/部署口径不一致，从而引发泛化性能下降与结论可复现性不足。面向稀疏观测条件（例如全域覆盖率低于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且伴随混叠与测量噪声），本文提出一种“评测口径一致性优先”的时空场重建框架。方法上，首先构建统一观测算子</w:t>
      </w:r>
      <w:r>
        <w:t xml:space="preserve"> </w:t>
      </w:r>
      <m:oMath>
        <m:r>
          <m:t>H</m:t>
        </m:r>
      </m:oMath>
      <w:r>
        <w:t xml:space="preserve">，并约束训练端退化过程</w:t>
      </w:r>
      <w:r>
        <w:t xml:space="preserve"> </w:t>
      </w:r>
      <m:oMath>
        <m:r>
          <m:t>D</m:t>
        </m:r>
        <m:r>
          <m:t>C</m:t>
        </m:r>
      </m:oMath>
      <w:r>
        <w:t xml:space="preserve"> </w:t>
      </w:r>
      <w:r>
        <w:t xml:space="preserve">在插值核、抗混叠预滤、边界处理与对齐规则上与评测口径严格一致，以削弱由算子不匹配引入的隐性偏差；其次提出序列化时空训练策略，将任务分解为“空间重构预训练—时序演化预训练—时空联合微调”三阶段递进优化，以提升联合优化稳定性；最后设计由重建损失、低频谱一致性损失与原值域观测一致性损失构成的三元损失函数，在提升逼近精度的同时显式约束观测口径一致性。基于 PDEBench 的 Shallow Water（SWE）与 Diffusion–Reaction（DRD）子集的实验表明：在 SWE 全域重建设置中，相比轻量级基线（ResNetLite），PSNR 从</w:t>
      </w:r>
      <w:r>
        <w:t xml:space="preserve"> </w:t>
      </w:r>
      <m:oMath>
        <m:r>
          <m:t>46.52</m:t>
        </m:r>
        <m:r>
          <m:t> </m:t>
        </m:r>
        <m:r>
          <m:rPr>
            <m:sty m:val="p"/>
          </m:rPr>
          <m:t>d</m:t>
        </m:r>
        <m:r>
          <m:rPr>
            <m:sty m:val="p"/>
          </m:rPr>
          <m:t>B</m:t>
        </m:r>
      </m:oMath>
      <w:r>
        <w:t xml:space="preserve"> </w:t>
      </w:r>
      <w:r>
        <w:t xml:space="preserve">提升至</w:t>
      </w:r>
      <w:r>
        <w:t xml:space="preserve"> </w:t>
      </w:r>
      <m:oMath>
        <m:r>
          <m:t>71.05</m:t>
        </m:r>
        <m:r>
          <m:t> </m:t>
        </m:r>
        <m:r>
          <m:rPr>
            <m:sty m:val="p"/>
          </m:rPr>
          <m:t>d</m:t>
        </m:r>
        <m:r>
          <m:rPr>
            <m:sty m:val="p"/>
          </m:rPr>
          <m:t>B</m:t>
        </m:r>
      </m:oMath>
      <w:r>
        <w:t xml:space="preserve">（提升</w:t>
      </w:r>
      <w:r>
        <w:t xml:space="preserve"> </w:t>
      </w:r>
      <m:oMath>
        <m:r>
          <m:t>24.53</m:t>
        </m:r>
        <m:r>
          <m:t> </m:t>
        </m:r>
        <m:r>
          <m:rPr>
            <m:sty m:val="p"/>
          </m:rPr>
          <m:t>d</m:t>
        </m:r>
        <m:r>
          <m:rPr>
            <m:sty m:val="p"/>
          </m:rPr>
          <m:t>B</m:t>
        </m:r>
      </m:oMath>
      <w:r>
        <w:t xml:space="preserve">）；在 DRD 时空预测设置中，端到端融合空间重建与时序建模可避免稀疏观测下的模型崩溃风险，</w:t>
      </w: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l</m:t>
        </m:r>
        <m:r>
          <m:rPr>
            <m:nor/>
            <m:sty m:val="p"/>
          </m:rPr>
          <m:t>-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从</w:t>
      </w:r>
      <w:r>
        <w:t xml:space="preserve"> </w:t>
      </w:r>
      <m:oMath>
        <m:r>
          <m:t>0.9336</m:t>
        </m:r>
      </m:oMath>
      <w:r>
        <w:t xml:space="preserve"> </w:t>
      </w:r>
      <w:r>
        <w:t xml:space="preserve">稳定至</w:t>
      </w:r>
      <w:r>
        <w:t xml:space="preserve"> </w:t>
      </w:r>
      <m:oMath>
        <m:r>
          <m:t>0.1783</m:t>
        </m:r>
      </m:oMath>
      <w:r>
        <w:t xml:space="preserve">；相较两阶段训练基线，端到端联合优化将高频频谱误差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nor/>
            <m:sty m:val="p"/>
          </m:rPr>
          <m:t>-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h</m:t>
        </m:r>
      </m:oMath>
      <w:r>
        <w:t xml:space="preserve"> </w:t>
      </w:r>
      <w:r>
        <w:t xml:space="preserve">从</w:t>
      </w:r>
      <w:r>
        <w:t xml:space="preserve"> </w:t>
      </w:r>
      <m:oMath>
        <m:r>
          <m:t>4.4524</m:t>
        </m:r>
      </m:oMath>
      <w:r>
        <w:t xml:space="preserve"> </w:t>
      </w:r>
      <w:r>
        <w:t xml:space="preserve">降至</w:t>
      </w:r>
      <w:r>
        <w:t xml:space="preserve"> </w:t>
      </w:r>
      <m:oMath>
        <m:r>
          <m:t>1.9236</m:t>
        </m:r>
      </m:oMath>
      <w:r>
        <w:t xml:space="preserve">（降低</w:t>
      </w:r>
      <w:r>
        <w:t xml:space="preserve"> </w:t>
      </w:r>
      <m:oMath>
        <m:r>
          <m:t>56.8</m:t>
        </m:r>
        <m:r>
          <m:rPr>
            <m:sty m:val="p"/>
          </m:rPr>
          <m:t>%</m:t>
        </m:r>
      </m:oMath>
      <w:r>
        <w:t xml:space="preserve">），更有利于恢复陡峭梯度与细尺度结构。在极度稀疏裁剪观测任务中，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观测窗口仅占</w:t>
      </w:r>
      <w:r>
        <w:t xml:space="preserve"> </w:t>
      </w:r>
      <m:oMath>
        <m:r>
          <m:t>128</m:t>
        </m:r>
        <m:r>
          <m:rPr>
            <m:sty m:val="p"/>
          </m:rPr>
          <m:t>×</m:t>
        </m:r>
        <m:r>
          <m:t>128</m:t>
        </m:r>
      </m:oMath>
      <w:r>
        <w:t xml:space="preserve"> </w:t>
      </w:r>
      <w:r>
        <w:t xml:space="preserve">全域的</w:t>
      </w:r>
      <w:r>
        <w:t xml:space="preserve"> </w:t>
      </w:r>
      <m:oMath>
        <m:r>
          <m:t>1.56</m:t>
        </m:r>
        <m:r>
          <m:rPr>
            <m:sty m:val="p"/>
          </m:rPr>
          <m:t>%</m:t>
        </m:r>
      </m:oMath>
      <w:r>
        <w:t xml:space="preserve">，引入全局注意力的 Transformer 仍能推断全局结构并保持可用重建质量。资源成本分析（FLOPs、显存占用与推理延迟）进一步验证了所提框架在工程应用中的可行性。</w:t>
      </w:r>
    </w:p>
    <w:p>
      <w:pPr>
        <w:pStyle w:val="11"/>
      </w:pPr>
      <w:r>
        <w:rPr>
          <w:bCs/>
          <w:b/>
        </w:rPr>
        <w:t xml:space="preserve">关键词</w:t>
      </w:r>
      <w:r>
        <w:t xml:space="preserve">：时空场重建；稀疏观测；观测口径一致性；Transformer；序列化训练；科学机器学习</w:t>
      </w:r>
    </w:p>
    <w:p>
      <w:r>
        <w:pict>
          <v:rect style="width:0;height:1.5pt" o:hralign="center" o:hrstd="t" o:hr="t"/>
        </w:pict>
      </w:r>
    </w:p>
    <w:bookmarkEnd w:id="20"/>
    <w:bookmarkStart w:id="21" w:name="abstract"/>
    <w:p>
      <w:pPr>
        <w:pStyle w:val="2"/>
      </w:pPr>
      <w:r>
        <w:t xml:space="preserve">ABSTRACT</w:t>
      </w:r>
    </w:p>
    <w:p>
      <w:pPr>
        <w:pStyle w:val="11"/>
      </w:pPr>
      <w:r>
        <w:t xml:space="preserve">High-resolution spatiotemporal field reconstruction is crucial for downstream prediction, control, and decision-making in computational physics and engineering. Practical measurements are often sparse, non-uniform, and noisy due to constraints in sensing cost, bandwidth, and environmental complexity. Moreover, real observation processes typically involve anti-aliasing filtering, boundary cropping, and alignment rules, whereas many learning-based methods rely on idealized degradations during training. Such inconsistency between training degradations and evaluation/deployment observations leads to degraded generalization and weak reproducibility. Under sparse observations (e.g.,</w:t>
      </w:r>
      <w:r>
        <w:t xml:space="preserve"> </w:t>
      </w:r>
      <m:oMath>
        <m:r>
          <m:rPr>
            <m:sty m:val="p"/>
          </m:rPr>
          <m:t>&lt;</m:t>
        </m:r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spatial coverage) with aliasing effects and measurement noise, this thesis proposes a consistency-first reconstruction framework. A Unified Observation Operator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defined, and the training-time degradation process</w:t>
      </w:r>
      <w:r>
        <w:t xml:space="preserve"> </w:t>
      </w:r>
      <m:oMath>
        <m:r>
          <m:t>D</m:t>
        </m:r>
        <m:r>
          <m:t>C</m:t>
        </m:r>
      </m:oMath>
      <w:r>
        <w:t xml:space="preserve"> </w:t>
      </w:r>
      <w:r>
        <w:t xml:space="preserve">is constrained to strictly match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 interpolation kernels, anti-aliasing pre-filtering, boundary handling, and alignment rules, reducing operator-induced bias. A sequential spatiotemporal training strategy is further introduced, progressively optimizing the model via spatial reconstruction pretraining, temporal evolution pretraining, and joint spatiotemporal fine-tuning to improve optimization stability. In addition, a tri-component loss is designed by combining reconstruction loss, low-frequency spectral consistency, and observation-domain consistency, enforcing both approximation accuracy and evaluation consistency. Experiments on the PDEBench Shallow Water (SWE) and Diffusion–Reaction (DRD) subsets demonstrate that, on SWE full-field reconstruction, PSNR increases from</w:t>
      </w:r>
      <w:r>
        <w:t xml:space="preserve"> </w:t>
      </w:r>
      <m:oMath>
        <m:r>
          <m:t>46.52</m:t>
        </m:r>
        <m:r>
          <m:t> </m:t>
        </m:r>
        <m:r>
          <m:rPr>
            <m:sty m:val="p"/>
          </m:rPr>
          <m:t>d</m:t>
        </m:r>
        <m:r>
          <m:rPr>
            <m:sty m:val="p"/>
          </m:rPr>
          <m:t>B</m:t>
        </m:r>
      </m:oMath>
      <w:r>
        <w:t xml:space="preserve"> </w:t>
      </w:r>
      <w:r>
        <w:t xml:space="preserve">(ResNetLite baseline) to</w:t>
      </w:r>
      <w:r>
        <w:t xml:space="preserve"> </w:t>
      </w:r>
      <m:oMath>
        <m:r>
          <m:t>71.05</m:t>
        </m:r>
        <m:r>
          <m:t> </m:t>
        </m:r>
        <m:r>
          <m:rPr>
            <m:sty m:val="p"/>
          </m:rPr>
          <m:t>d</m:t>
        </m:r>
        <m:r>
          <m:rPr>
            <m:sty m:val="p"/>
          </m:rPr>
          <m:t>B</m:t>
        </m:r>
      </m:oMath>
      <w:r>
        <w:t xml:space="preserve">, yielding a</w:t>
      </w:r>
      <w:r>
        <w:t xml:space="preserve"> </w:t>
      </w:r>
      <m:oMath>
        <m:r>
          <m:t>24.53</m:t>
        </m:r>
        <m:r>
          <m:t> </m:t>
        </m:r>
        <m:r>
          <m:rPr>
            <m:sty m:val="p"/>
          </m:rPr>
          <m:t>d</m:t>
        </m:r>
        <m:r>
          <m:rPr>
            <m:sty m:val="p"/>
          </m:rPr>
          <m:t>B</m:t>
        </m:r>
      </m:oMath>
      <w:r>
        <w:t xml:space="preserve"> </w:t>
      </w:r>
      <w:r>
        <w:t xml:space="preserve">gain. On DRD spatiotemporal prediction, end-to-end integration of spatial reconstruction and temporal modeling prevents collapse under sparse observations, stabilizing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l</m:t>
        </m:r>
        <m:r>
          <m:rPr>
            <m:nor/>
            <m:sty m:val="p"/>
          </m:rPr>
          <m:t>-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0.9336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0.1783</m:t>
        </m:r>
      </m:oMath>
      <w:r>
        <w:t xml:space="preserve">. Compared with a two-stage baseline, end-to-end joint optimization reduces the high-frequency spectral error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nor/>
            <m:sty m:val="p"/>
          </m:rPr>
          <m:t>-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h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4.4524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1.9236</m:t>
        </m:r>
      </m:oMath>
      <w:r>
        <w:t xml:space="preserve">, corresponding to a</w:t>
      </w:r>
      <w:r>
        <w:t xml:space="preserve"> </w:t>
      </w:r>
      <m:oMath>
        <m:r>
          <m:t>56.8</m:t>
        </m:r>
        <m:r>
          <m:rPr>
            <m:sty m:val="p"/>
          </m:rPr>
          <m:t>%</m:t>
        </m:r>
      </m:oMath>
      <w:r>
        <w:t xml:space="preserve"> </w:t>
      </w:r>
      <w:r>
        <w:t xml:space="preserve">reduction, which better preserves steep gradients and fine-scale structures. Under extreme cropped observations, a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window covers only</w:t>
      </w:r>
      <w:r>
        <w:t xml:space="preserve"> </w:t>
      </w:r>
      <m:oMath>
        <m:r>
          <m:t>1.56</m:t>
        </m:r>
        <m:r>
          <m:rPr>
            <m:sty m:val="p"/>
          </m:rPr>
          <m:t>%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128</m:t>
        </m:r>
        <m:r>
          <m:rPr>
            <m:sty m:val="p"/>
          </m:rPr>
          <m:t>×</m:t>
        </m:r>
        <m:r>
          <m:t>128</m:t>
        </m:r>
      </m:oMath>
      <w:r>
        <w:t xml:space="preserve"> </w:t>
      </w:r>
      <w:r>
        <w:t xml:space="preserve">domain, while a global-attention Transformer still infers coherent global structures with usable reconstruction quality. Resource-cost analyses in FLOPs, memory footprint, and inference latency further support practical feasibility.</w:t>
      </w:r>
    </w:p>
    <w:p>
      <w:pPr>
        <w:pStyle w:val="11"/>
      </w:pPr>
      <w:r>
        <w:rPr>
          <w:bCs/>
          <w:b/>
        </w:rPr>
        <w:t xml:space="preserve">Keywords</w:t>
      </w:r>
      <w:r>
        <w:t xml:space="preserve">: spatiotemporal field reconstruction; sparse observation; observation-operator consistency; Transformer; sequential training; scientific machine learning</w:t>
      </w:r>
    </w:p>
    <w:bookmarkEnd w:id="21"/>
    <w:bookmarkStart w:id="22" w:name="符号说明表-notation-table"/>
    <w:p>
      <w:pPr>
        <w:pStyle w:val="1"/>
      </w:pPr>
      <w:r>
        <w:t xml:space="preserve">符号说明表 (Notation Table)</w:t>
      </w:r>
    </w:p>
    <w:p>
      <w:pPr>
        <w:pStyle w:val="11"/>
      </w:pPr>
      <w:r>
        <w:t xml:space="preserve">为确保论文叙述的严谨性与一致性，本文主要数学符号及其含义约定如下。除特殊说明外，全文遵循此表定义。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符号 (Symbol)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含义与说明 (Description)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基础变量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连续场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真实物理场，定义在时空域</w:t>
            </w:r>
            <w: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×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张量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真实场的高分辨率离散表示（原值域），维度通常为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×</m:t>
              </m:r>
              <m:r>
                <m:t>T</m:t>
              </m:r>
              <m:r>
                <m:rPr>
                  <m:sty m:val="p"/>
                </m:rPr>
                <m:t>×</m:t>
              </m:r>
              <m:r>
                <m:t>C</m:t>
              </m:r>
              <m:r>
                <m:rPr>
                  <m:sty m:val="p"/>
                </m:rPr>
                <m:t>×</m:t>
              </m:r>
              <m:r>
                <m:t>H</m:t>
              </m:r>
              <m:r>
                <m:rPr>
                  <m:sty m:val="p"/>
                </m:rPr>
                <m:t>×</m:t>
              </m:r>
              <m:r>
                <m:t>W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b"/>
                    </m:rPr>
                    <m:t>U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张量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U</m:t>
              </m:r>
            </m:oMath>
            <w:r>
              <w:t xml:space="preserve"> </w:t>
            </w:r>
            <w:r>
              <w:t xml:space="preserve">的 z-score 标准化表示，用于训练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y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张量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稀疏观测数据：</w:t>
            </w:r>
            <m:oMath>
              <m:r>
                <m:rPr>
                  <m:sty m:val="b"/>
                </m:rPr>
                <m:t>y</m:t>
              </m:r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U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b"/>
                </m:rPr>
                <m:t>ε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U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张量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模型重建的预测场（原值域），用于最终评测，与</w:t>
            </w:r>
            <w:r>
              <w:t xml:space="preserve"> </w:t>
            </w:r>
            <m:oMath>
              <m:r>
                <m:rPr>
                  <m:sty m:val="b"/>
                </m:rPr>
                <m:t>U</m:t>
              </m:r>
            </m:oMath>
            <w:r>
              <w:t xml:space="preserve"> </w:t>
            </w:r>
            <w:r>
              <w:t xml:space="preserve">同分辨率与维度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m:t>U</m:t>
                      </m:r>
                    </m:e>
                  </m:acc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张量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网络直接输出的预测场（z-score 域），反归一化后得到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U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空间坐标向量，</w:t>
            </w:r>
            <m:oMath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d</m:t>
                  </m:r>
                </m:sup>
              </m:sSup>
            </m:oMath>
            <w:r>
              <w:t xml:space="preserve">（本文取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时间变量，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ε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张量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观测噪声，常设</w:t>
            </w:r>
            <w:r>
              <w:t xml:space="preserve"> </w:t>
            </w:r>
            <m:oMath>
              <m:r>
                <m:rPr>
                  <m:sty m:val="b"/>
                </m:rPr>
                <m:t>ε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观测算子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中高斯抗混叠滤波器的标准差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观测噪声标准差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b"/>
                    </m:rPr>
                    <m:t>μ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逐通道 z-score 标准化均值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b"/>
                    </m:rPr>
                    <m:t>σ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逐通道 z-score 标准化标准差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⊙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运算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逐元素乘（Hadamard 乘积）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反归一化：</w:t>
            </w:r>
            <m:oMath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m:t>U</m:t>
                      </m:r>
                    </m:e>
                  </m:acc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sup>
              </m:sSup>
              <m:r>
                <m:rPr>
                  <m:sty m:val="p"/>
                </m:rPr>
                <m:t>⊙</m:t>
              </m:r>
              <m:sSub>
                <m:e>
                  <m:r>
                    <m:rPr>
                      <m:sty m:val="b"/>
                    </m:rPr>
                    <m:t>σ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"/>
                    </m:rPr>
                    <m:t>μ</m:t>
                  </m:r>
                </m:e>
                <m:sub>
                  <m:r>
                    <m:t>z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算子与映射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算子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观测算子 (Observation Operator)</w:t>
            </w:r>
            <w:r>
              <w:t xml:space="preserve">。从高分辨率原值域离散场到稀疏观测的映射，包含抗混叠、降采样、裁剪、掩码/采样等过程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算子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训练退化算子 (Training Degradation Operator)</w:t>
            </w:r>
            <w:r>
              <w:t xml:space="preserve">。训练阶段用于模拟观测生成，本文约束</w:t>
            </w:r>
            <w:r>
              <w:t xml:space="preserve"> </w:t>
            </w:r>
            <m:oMath>
              <m:r>
                <m:t>D</m:t>
              </m:r>
              <m:r>
                <m:t>C</m:t>
              </m:r>
              <m:r>
                <m:rPr>
                  <m:sty m:val="p"/>
                </m:rPr>
                <m:t>≡</m:t>
              </m:r>
              <m:r>
                <m:t>H</m:t>
              </m:r>
            </m:oMath>
            <w:r>
              <w:t xml:space="preserve">（同参数、同实现）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sSub>
                    <m:e>
                      <m: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u</m:t>
                      </m:r>
                      <m:r>
                        <m:rPr>
                          <m:sty m:val="p"/>
                        </m:rPr>
                        <m:t>r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算子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高斯低通（抗混叠）滤波算子，参数为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s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算子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下采样算子，降采样倍率为</w:t>
            </w:r>
            <w:r>
              <w:t xml:space="preserve"> </w:t>
            </w:r>
            <m:oMath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算子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裁剪算子，输出窗口大小为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oMath>
            <w:r>
              <w:t xml:space="preserve">（常用中心对齐）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算子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掩码/采样算子：将全域场映射到稀疏观测位置或执行缺失掩码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常用组合写法：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∘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sub>
              </m:sSub>
              <m:r>
                <m:rPr>
                  <m:sty m:val="p"/>
                </m:rPr>
                <m:t>∘</m:t>
              </m:r>
              <m:sSub>
                <m:e>
                  <m:r>
                    <m:t>D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∘</m:t>
              </m:r>
              <m:sSub>
                <m:e>
                  <m:r>
                    <m:t>G</m:t>
                  </m:r>
                </m:e>
                <m:sub>
                  <m:sSub>
                    <m:e>
                      <m: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u</m:t>
                      </m:r>
                      <m:r>
                        <m:rPr>
                          <m:sty m:val="p"/>
                        </m:rPr>
                        <m:t>r</m:t>
                      </m:r>
                    </m:sub>
                  </m:sSub>
                </m:sub>
              </m:sSub>
            </m:oMath>
            <w:r>
              <w:t xml:space="preserve">（按本文实现可删减某些环节）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sty m:val="b"/>
                    </m:rP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深度神经网络重建模型，参数为</w:t>
            </w:r>
            <w:r>
              <w:t xml:space="preserve"> </w:t>
            </w:r>
            <m:oMath>
              <m:r>
                <m:rPr>
                  <m:sty m:val="b"/>
                </m:rPr>
                <m:t>θ</m:t>
              </m:r>
            </m:oMath>
            <w:r>
              <w:t xml:space="preserve">，输入为</w:t>
            </w:r>
            <w:r>
              <w:t xml:space="preserve"> </w:t>
            </w:r>
            <m:oMath>
              <m:r>
                <m:rPr>
                  <m:sty m:val="b"/>
                </m:rPr>
                <m:t>y</m:t>
              </m:r>
            </m:oMath>
            <w:r>
              <w:t xml:space="preserve">（及辅助信息），输出为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m:t>U</m:t>
                      </m:r>
                    </m:e>
                  </m:acc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变换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傅里叶变换 (Fourier Transform)，用于频域分析与谱损失计算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损失函数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总损失函数，用于反向传播优化</w:t>
            </w:r>
          </w:p>
        </w:tc>
      </w:tr>
    </w:tbl>
    <w:bookmarkEnd w:id="22"/>
    <w:sectPr w:rsidR="00000000">
      <w:headerReference r:id="rId12" w:type="even"/>
      <w:headerReference r:id="rId10" w:type="default"/>
      <w:footerReference r:id="rId16" w:type="even"/>
      <w:footerReference r:id="rId23" w:type="default"/>
      <w:headerReference r:id="rId14" w:type="first"/>
      <w:footerReference r:id="rId20" w:type="first"/>
      <w:pgSz w:h="16838" w:w="11906"/>
      <w:pgMar w:bottom="1418" w:footer="1134" w:gutter="0" w:header="1418" w:left="1418" w:right="1418" w:top="1985"/>
      <w:cols w:space="720"/>
      <w:docGrid w:charSpace="-2048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小标宋简体">
    <w:altName w:val="微软雅黑"/>
    <w:charset w:val="86"/>
    <w:family w:val="script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0C9C8" w14:textId="77777777" w:rsidR="00000000" w:rsidRDefault="00000000">
    <w:pPr>
      <w:pStyle w:val="aff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F5227" w14:textId="77777777" w:rsidR="00000000" w:rsidRDefault="00000000">
    <w:pPr>
      <w:pStyle w:val="aff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9C481" w14:textId="77777777" w:rsidR="00000000" w:rsidRDefault="00000000">
    <w:pPr>
      <w:pStyle w:val="aff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F96BD" w14:textId="77777777" w:rsidR="00000000" w:rsidRDefault="00000000">
    <w:pPr>
      <w:pStyle w:val="affb"/>
      <w:ind w:firstLine="360"/>
      <w:rPr>
        <w:rFonts w:ascii="宋体" w:hAnsi="宋体"/>
      </w:rPr>
    </w:pPr>
    <w:r>
      <w:rPr>
        <w:rFonts w:ascii="宋体" w:hAnsi="宋体"/>
      </w:rPr>
      <w:t xml:space="preserve">-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  <w:lang w:val="en-US" w:eastAsia="zh-CN"/>
      </w:rPr>
      <w:t>2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-</w:t>
    </w:r>
  </w:p>
  <w:p w14:paraId="6E968123" w14:textId="77777777" w:rsidR="00000000" w:rsidRDefault="0000000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C97E0" w14:textId="77777777" w:rsidR="00000000" w:rsidRDefault="00000000">
    <w:pPr>
      <w:pStyle w:val="affb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I</w:t>
    </w:r>
    <w:r>
      <w:fldChar w:fldCharType="end"/>
    </w:r>
    <w:r>
      <w:t xml:space="preserve"> -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B714C" w14:textId="77777777" w:rsidR="00000000" w:rsidRDefault="00000000">
    <w:pPr>
      <w:pStyle w:val="affb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V</w:t>
    </w:r>
    <w:r>
      <w:fldChar w:fldCharType="end"/>
    </w:r>
    <w:r>
      <w:t xml:space="preserve"> -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5083A" w14:textId="77777777" w:rsidR="00000000" w:rsidRDefault="00000000">
    <w:pPr>
      <w:pStyle w:val="affb"/>
      <w:ind w:firstLine="360"/>
      <w:rPr>
        <w:rFonts w:ascii="宋体" w:hAnsi="宋体"/>
      </w:rPr>
    </w:pPr>
    <w:r>
      <w:rPr>
        <w:rFonts w:ascii="宋体" w:hAnsi="宋体"/>
      </w:rPr>
      <w:t xml:space="preserve">-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  <w:lang w:val="en-US" w:eastAsia="zh-CN"/>
      </w:rPr>
      <w:t>1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-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3C99" w14:textId="77777777" w:rsidR="00000000" w:rsidRDefault="00000000">
    <w:pPr>
      <w:pStyle w:val="affb"/>
      <w:ind w:firstLine="36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5220" w14:textId="77777777" w:rsidR="00000000" w:rsidRDefault="00000000">
    <w:pPr>
      <w:pStyle w:val="affb"/>
      <w:ind w:firstLine="360"/>
    </w:pP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F83D6" w14:textId="77777777" w:rsidR="00000000" w:rsidRDefault="00000000">
    <w:pPr>
      <w:pStyle w:val="affc"/>
      <w:ind w:firstLine="4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D6805" w14:textId="77777777" w:rsidR="00000000" w:rsidRDefault="00000000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A9F6C" w14:textId="77777777" w:rsidR="00000000" w:rsidRDefault="00000000">
    <w:pPr>
      <w:pStyle w:val="affc"/>
      <w:ind w:firstLine="40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81338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大连海事大学硕士学位论文格式规范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F0519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1FED5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8998B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defaultTabStop w:val="420"/>
  <w:evenAndOddHeaders/>
  <w:drawingGridHorizontalSpacing w:val="2"/>
  <w:drawingGridVerticalSpacing w:val="2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Times New Roman" w:eastAsia="宋体" w:hAnsi="Calibr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6" w:semiHidden="1"/>
    <w:lsdException w:name="toc 7" w:semiHidden="1"/>
    <w:lsdException w:name="caption" w:qFormat="1" w:semiHidden="1" w:unhideWhenUsed="1"/>
    <w:lsdException w:name="Title" w:qFormat="1" w:uiPriority="10"/>
    <w:lsdException w:name="Default Paragraph Font" w:semiHidden="1" w:uiPriority="1" w:unhideWhenUsed="1"/>
    <w:lsdException w:name="Subtitle" w:qFormat="1" w:uiPriority="11"/>
    <w:lsdException w:name="Strong" w:qFormat="1" w:uiPriority="22"/>
    <w:lsdException w:name="Emphasis" w:qFormat="1" w:uiPriority="20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qFormat="1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napToGrid w:val="0"/>
      <w:spacing w:line="300" w:lineRule="auto"/>
      <w:ind w:firstLine="480" w:firstLineChars="200"/>
    </w:pPr>
    <w:rPr>
      <w:rFonts w:ascii="Times New Roman" w:hAnsi="Times New Roman"/>
      <w:sz w:val="24"/>
      <w:lang w:bidi="en-US" w:eastAsia="en-US"/>
    </w:rPr>
  </w:style>
  <w:style w:styleId="1" w:type="paragraph">
    <w:name w:val="heading 1"/>
    <w:basedOn w:val="a"/>
    <w:next w:val="a"/>
    <w:link w:val="10"/>
    <w:uiPriority w:val="9"/>
    <w:qFormat/>
    <w:pPr>
      <w:keepNext/>
      <w:spacing w:afterLines="100" w:line="360" w:lineRule="auto"/>
      <w:ind w:firstLine="0" w:firstLineChars="0"/>
      <w:outlineLvl w:val="0"/>
    </w:pPr>
    <w:rPr>
      <w:rFonts w:ascii="Cambria" w:eastAsia="黑体" w:hAnsi="Cambria"/>
      <w:bCs/>
      <w:kern w:val="32"/>
      <w:sz w:val="32"/>
      <w:szCs w:val="32"/>
      <w:lang w:eastAsia="zh-CN"/>
    </w:rPr>
  </w:style>
  <w:style w:styleId="2" w:type="paragraph">
    <w:name w:val="heading 2"/>
    <w:basedOn w:val="a"/>
    <w:next w:val="a"/>
    <w:link w:val="20"/>
    <w:uiPriority w:val="9"/>
    <w:qFormat/>
    <w:pPr>
      <w:keepNext/>
      <w:spacing w:beforeLines="50" w:line="360" w:lineRule="auto"/>
      <w:ind w:firstLine="0" w:firstLineChars="0"/>
      <w:outlineLvl w:val="1"/>
    </w:pPr>
    <w:rPr>
      <w:rFonts w:ascii="黑体" w:eastAsia="黑体" w:hAnsi="黑体"/>
      <w:iCs/>
      <w:sz w:val="28"/>
      <w:szCs w:val="28"/>
      <w:lang w:eastAsia="zh-CN"/>
    </w:rPr>
  </w:style>
  <w:style w:styleId="3" w:type="paragraph">
    <w:name w:val="heading 3"/>
    <w:basedOn w:val="a"/>
    <w:next w:val="a"/>
    <w:link w:val="30"/>
    <w:uiPriority w:val="9"/>
    <w:qFormat/>
    <w:pPr>
      <w:keepNext/>
      <w:spacing w:beforeLines="50" w:line="360" w:lineRule="auto"/>
      <w:ind w:firstLine="0" w:firstLineChars="0"/>
      <w:outlineLvl w:val="2"/>
    </w:pPr>
    <w:rPr>
      <w:rFonts w:ascii="黑体" w:eastAsia="黑体" w:hAnsi="黑体"/>
      <w:bCs/>
      <w:lang w:eastAsia="zh-CN"/>
    </w:rPr>
  </w:style>
  <w:style w:styleId="4" w:type="paragraph">
    <w:name w:val="heading 4"/>
    <w:basedOn w:val="a"/>
    <w:next w:val="a"/>
    <w:link w:val="40"/>
    <w:uiPriority w:val="9"/>
    <w:qFormat/>
    <w:pPr>
      <w:keepNext/>
      <w:spacing w:after="60" w:before="240"/>
      <w:outlineLvl w:val="3"/>
    </w:pPr>
    <w:rPr>
      <w:b/>
      <w:bCs/>
      <w:sz w:val="28"/>
      <w:szCs w:val="28"/>
    </w:rPr>
  </w:style>
  <w:style w:styleId="5" w:type="paragraph">
    <w:name w:val="heading 5"/>
    <w:basedOn w:val="a"/>
    <w:next w:val="a"/>
    <w:link w:val="50"/>
    <w:uiPriority w:val="9"/>
    <w:qFormat/>
    <w:pPr>
      <w:spacing w:after="60" w:before="240"/>
      <w:outlineLvl w:val="4"/>
    </w:pPr>
    <w:rPr>
      <w:b/>
      <w:bCs/>
      <w:i/>
      <w:iCs/>
      <w:sz w:val="26"/>
      <w:szCs w:val="26"/>
    </w:rPr>
  </w:style>
  <w:style w:styleId="6" w:type="paragraph">
    <w:name w:val="heading 6"/>
    <w:basedOn w:val="a"/>
    <w:next w:val="a"/>
    <w:link w:val="60"/>
    <w:uiPriority w:val="9"/>
    <w:qFormat/>
    <w:pPr>
      <w:spacing w:after="60" w:before="240"/>
      <w:outlineLvl w:val="5"/>
    </w:pPr>
    <w:rPr>
      <w:b/>
      <w:bCs/>
      <w:sz w:val="22"/>
      <w:szCs w:val="22"/>
    </w:rPr>
  </w:style>
  <w:style w:styleId="7" w:type="paragraph">
    <w:name w:val="heading 7"/>
    <w:basedOn w:val="a"/>
    <w:next w:val="a"/>
    <w:link w:val="70"/>
    <w:uiPriority w:val="9"/>
    <w:qFormat/>
    <w:pPr>
      <w:spacing w:after="60" w:before="240"/>
      <w:outlineLvl w:val="6"/>
    </w:pPr>
  </w:style>
  <w:style w:styleId="8" w:type="paragraph">
    <w:name w:val="heading 8"/>
    <w:basedOn w:val="a"/>
    <w:next w:val="a"/>
    <w:link w:val="80"/>
    <w:uiPriority w:val="9"/>
    <w:qFormat/>
    <w:pPr>
      <w:spacing w:after="60" w:before="240"/>
      <w:outlineLvl w:val="7"/>
    </w:pPr>
    <w:rPr>
      <w:i/>
      <w:iCs/>
    </w:rPr>
  </w:style>
  <w:style w:styleId="9" w:type="paragraph">
    <w:name w:val="heading 9"/>
    <w:basedOn w:val="a"/>
    <w:next w:val="a"/>
    <w:link w:val="90"/>
    <w:uiPriority w:val="9"/>
    <w:qFormat/>
    <w:pPr>
      <w:spacing w:after="60" w:before="240"/>
      <w:outlineLvl w:val="8"/>
    </w:pPr>
    <w:rPr>
      <w:rFonts w:ascii="Cambria" w:hAnsi="Cambria"/>
      <w:sz w:val="22"/>
      <w:szCs w:val="22"/>
    </w:rPr>
  </w:style>
  <w:style w:default="1" w:styleId="a0" w:type="character">
    <w:name w:val="Default Paragraph Font"/>
    <w:uiPriority w:val="1"/>
    <w:unhideWhenUsed/>
  </w:style>
  <w:style w:default="1" w:styleId="a1" w:type="table">
    <w:name w:val="Normal Table"/>
    <w:uiPriority w:val="99"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Char" w:type="character">
    <w:name w:val="英文关键词 Char"/>
    <w:basedOn w:val="a0"/>
    <w:link w:val="a3"/>
    <w:rPr>
      <w:rFonts w:ascii="Calibri" w:eastAsia="宋体" w:hAnsi="Calibri"/>
      <w:sz w:val="24"/>
      <w:szCs w:val="24"/>
      <w:lang w:bidi="en-US" w:eastAsia="en-US"/>
    </w:rPr>
  </w:style>
  <w:style w:customStyle="1" w:styleId="Char0" w:type="character">
    <w:name w:val="论文英文题目 Char"/>
    <w:basedOn w:val="a0"/>
    <w:link w:val="a4"/>
    <w:rPr>
      <w:b/>
      <w:sz w:val="32"/>
      <w:szCs w:val="32"/>
      <w:lang w:bidi="en-US" w:eastAsia="en-US" w:val="en-US"/>
    </w:rPr>
  </w:style>
  <w:style w:styleId="a5" w:type="character">
    <w:name w:val="Subtle Emphasis"/>
    <w:uiPriority w:val="19"/>
    <w:qFormat/>
    <w:rPr>
      <w:i/>
      <w:color w:val="5A5A5A"/>
    </w:rPr>
  </w:style>
  <w:style w:customStyle="1" w:styleId="Char1" w:type="character">
    <w:name w:val="关键词题头 Char"/>
    <w:basedOn w:val="a0"/>
    <w:link w:val="a6"/>
    <w:rPr>
      <w:rFonts w:ascii="黑体" w:eastAsia="黑体"/>
      <w:sz w:val="24"/>
      <w:szCs w:val="24"/>
      <w:lang w:bidi="en-US"/>
    </w:rPr>
  </w:style>
  <w:style w:customStyle="1" w:styleId="70" w:type="character">
    <w:name w:val="标题 7 字符"/>
    <w:basedOn w:val="a0"/>
    <w:link w:val="7"/>
    <w:uiPriority w:val="9"/>
    <w:semiHidden/>
    <w:rPr>
      <w:sz w:val="24"/>
      <w:szCs w:val="24"/>
    </w:rPr>
  </w:style>
  <w:style w:styleId="a7" w:type="character">
    <w:name w:val="Strong"/>
    <w:basedOn w:val="a0"/>
    <w:uiPriority w:val="22"/>
    <w:qFormat/>
    <w:rPr>
      <w:b/>
      <w:bCs/>
    </w:rPr>
  </w:style>
  <w:style w:styleId="a8" w:type="character">
    <w:name w:val="page number"/>
    <w:basedOn w:val="a0"/>
  </w:style>
  <w:style w:styleId="a9" w:type="character">
    <w:name w:val="Emphasis"/>
    <w:basedOn w:val="a0"/>
    <w:uiPriority w:val="20"/>
    <w:qFormat/>
    <w:rPr>
      <w:rFonts w:ascii="Calibri" w:hAnsi="Calibri"/>
      <w:b/>
      <w:i/>
      <w:iCs/>
    </w:rPr>
  </w:style>
  <w:style w:styleId="aa" w:type="character">
    <w:name w:val="Hyperlink"/>
    <w:basedOn w:val="a0"/>
    <w:rPr>
      <w:color w:val="0000FF"/>
      <w:u w:val="single"/>
    </w:rPr>
  </w:style>
  <w:style w:customStyle="1" w:styleId="Char2" w:type="character">
    <w:name w:val="参考文献标题 Char"/>
    <w:basedOn w:val="10"/>
    <w:link w:val="ab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60" w:type="character">
    <w:name w:val="标题 6 字符"/>
    <w:basedOn w:val="a0"/>
    <w:link w:val="6"/>
    <w:uiPriority w:val="9"/>
    <w:semiHidden/>
    <w:rPr>
      <w:b/>
      <w:bCs/>
    </w:rPr>
  </w:style>
  <w:style w:customStyle="1" w:styleId="10" w:type="character">
    <w:name w:val="标题 1 字符"/>
    <w:basedOn w:val="a0"/>
    <w:link w:val="1"/>
    <w:uiPriority w:val="9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Char3" w:type="character">
    <w:name w:val="英文摘要 Char"/>
    <w:basedOn w:val="10"/>
    <w:link w:val="ac"/>
    <w:rPr>
      <w:rFonts w:ascii="Cambria" w:cs="宋体" w:eastAsia="黑体" w:hAnsi="Cambria"/>
      <w:b/>
      <w:bCs/>
      <w:kern w:val="32"/>
      <w:sz w:val="30"/>
      <w:szCs w:val="32"/>
      <w:lang w:bidi="en-US"/>
    </w:rPr>
  </w:style>
  <w:style w:customStyle="1" w:styleId="Char4" w:type="character">
    <w:name w:val="附录 Char"/>
    <w:basedOn w:val="Char3"/>
    <w:link w:val="ad"/>
    <w:rPr>
      <w:rFonts w:ascii="Cambria" w:cs="宋体" w:eastAsia="黑体" w:hAnsi="Cambria"/>
      <w:b/>
      <w:bCs/>
      <w:kern w:val="32"/>
      <w:sz w:val="30"/>
      <w:szCs w:val="32"/>
      <w:lang w:bidi="en-US"/>
    </w:rPr>
  </w:style>
  <w:style w:customStyle="1" w:styleId="20" w:type="character">
    <w:name w:val="标题 2 字符"/>
    <w:basedOn w:val="a0"/>
    <w:link w:val="2"/>
    <w:uiPriority w:val="9"/>
    <w:rPr>
      <w:rFonts w:ascii="黑体" w:eastAsia="黑体" w:hAnsi="黑体"/>
      <w:iCs/>
      <w:sz w:val="28"/>
      <w:szCs w:val="28"/>
      <w:lang w:bidi="en-US"/>
    </w:rPr>
  </w:style>
  <w:style w:customStyle="1" w:styleId="30" w:type="character">
    <w:name w:val="标题 3 字符"/>
    <w:basedOn w:val="a0"/>
    <w:link w:val="3"/>
    <w:uiPriority w:val="9"/>
    <w:rPr>
      <w:rFonts w:ascii="黑体" w:eastAsia="黑体" w:hAnsi="黑体"/>
      <w:bCs/>
      <w:sz w:val="24"/>
      <w:lang w:bidi="en-US"/>
    </w:rPr>
  </w:style>
  <w:style w:customStyle="1" w:styleId="40" w:type="character">
    <w:name w:val="标题 4 字符"/>
    <w:basedOn w:val="a0"/>
    <w:link w:val="4"/>
    <w:uiPriority w:val="9"/>
    <w:rPr>
      <w:b/>
      <w:bCs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Pr>
      <w:b/>
      <w:bCs/>
      <w:i/>
      <w:iCs/>
      <w:sz w:val="26"/>
      <w:szCs w:val="26"/>
    </w:rPr>
  </w:style>
  <w:style w:customStyle="1" w:styleId="80" w:type="character">
    <w:name w:val="标题 8 字符"/>
    <w:basedOn w:val="a0"/>
    <w:link w:val="8"/>
    <w:uiPriority w:val="9"/>
    <w:semiHidden/>
    <w:rPr>
      <w:i/>
      <w:iCs/>
      <w:sz w:val="24"/>
      <w:szCs w:val="24"/>
    </w:rPr>
  </w:style>
  <w:style w:customStyle="1" w:styleId="90" w:type="character">
    <w:name w:val="标题 9 字符"/>
    <w:basedOn w:val="a0"/>
    <w:link w:val="9"/>
    <w:uiPriority w:val="9"/>
    <w:semiHidden/>
    <w:rPr>
      <w:rFonts w:ascii="Cambria" w:eastAsia="宋体" w:hAnsi="Cambria"/>
    </w:rPr>
  </w:style>
  <w:style w:customStyle="1" w:styleId="ae" w:type="character">
    <w:name w:val="标题 字符"/>
    <w:basedOn w:val="a0"/>
    <w:link w:val="af"/>
    <w:uiPriority w:val="10"/>
    <w:rPr>
      <w:rFonts w:ascii="Cambria" w:eastAsia="宋体" w:hAnsi="Cambria"/>
      <w:b/>
      <w:bCs/>
      <w:kern w:val="28"/>
      <w:sz w:val="32"/>
      <w:szCs w:val="32"/>
    </w:rPr>
  </w:style>
  <w:style w:customStyle="1" w:styleId="af0" w:type="character">
    <w:name w:val="副标题 字符"/>
    <w:basedOn w:val="a0"/>
    <w:link w:val="af1"/>
    <w:uiPriority w:val="11"/>
    <w:rPr>
      <w:rFonts w:ascii="Cambria" w:eastAsia="宋体" w:hAnsi="Cambria"/>
      <w:sz w:val="24"/>
      <w:szCs w:val="24"/>
    </w:rPr>
  </w:style>
  <w:style w:customStyle="1" w:styleId="af2" w:type="character">
    <w:name w:val="引用 字符"/>
    <w:basedOn w:val="a0"/>
    <w:link w:val="af3"/>
    <w:uiPriority w:val="29"/>
    <w:rPr>
      <w:i/>
      <w:sz w:val="24"/>
      <w:szCs w:val="24"/>
    </w:rPr>
  </w:style>
  <w:style w:customStyle="1" w:styleId="af4" w:type="character">
    <w:name w:val="明显引用 字符"/>
    <w:basedOn w:val="a0"/>
    <w:link w:val="af5"/>
    <w:uiPriority w:val="30"/>
    <w:rPr>
      <w:b/>
      <w:i/>
      <w:sz w:val="24"/>
    </w:rPr>
  </w:style>
  <w:style w:styleId="af6" w:type="character">
    <w:name w:val="Intense Emphasis"/>
    <w:basedOn w:val="a0"/>
    <w:uiPriority w:val="21"/>
    <w:qFormat/>
    <w:rPr>
      <w:b/>
      <w:i/>
      <w:sz w:val="24"/>
      <w:szCs w:val="24"/>
      <w:u w:val="single"/>
    </w:rPr>
  </w:style>
  <w:style w:styleId="af7" w:type="character">
    <w:name w:val="Intense Reference"/>
    <w:basedOn w:val="a0"/>
    <w:uiPriority w:val="32"/>
    <w:qFormat/>
    <w:rPr>
      <w:b/>
      <w:sz w:val="24"/>
      <w:u w:val="single"/>
    </w:rPr>
  </w:style>
  <w:style w:styleId="af8" w:type="character">
    <w:name w:val="Book Title"/>
    <w:basedOn w:val="a0"/>
    <w:uiPriority w:val="33"/>
    <w:qFormat/>
    <w:rPr>
      <w:rFonts w:ascii="Cambria" w:eastAsia="宋体" w:hAnsi="Cambria"/>
      <w:b/>
      <w:i/>
      <w:sz w:val="24"/>
      <w:szCs w:val="24"/>
    </w:rPr>
  </w:style>
  <w:style w:customStyle="1" w:styleId="Char5" w:type="character">
    <w:name w:val="授权说明正文 Char"/>
    <w:basedOn w:val="a0"/>
    <w:link w:val="af9"/>
    <w:rPr>
      <w:rFonts w:ascii="仿宋_GB2312" w:eastAsia="仿宋_GB2312"/>
      <w:sz w:val="28"/>
      <w:szCs w:val="28"/>
      <w:lang w:bidi="en-US"/>
    </w:rPr>
  </w:style>
  <w:style w:customStyle="1" w:styleId="Char6" w:type="character">
    <w:name w:val="硕士学位论文 Char"/>
    <w:basedOn w:val="a0"/>
    <w:link w:val="afa"/>
    <w:rPr>
      <w:rFonts w:ascii="华文细黑" w:eastAsia="宋体" w:hAnsi="华文细黑"/>
      <w:b/>
      <w:sz w:val="48"/>
      <w:szCs w:val="48"/>
      <w:lang w:bidi="en-US" w:eastAsia="zh-CN" w:val="en-US"/>
    </w:rPr>
  </w:style>
  <w:style w:customStyle="1" w:styleId="Char7" w:type="character">
    <w:name w:val="论文题目 Char"/>
    <w:basedOn w:val="a0"/>
    <w:link w:val="afb"/>
    <w:rPr>
      <w:rFonts w:ascii="华文细黑" w:eastAsia="华文细黑" w:hAnsi="华文细黑"/>
      <w:b/>
      <w:sz w:val="44"/>
      <w:szCs w:val="44"/>
      <w:lang w:bidi="en-US"/>
    </w:rPr>
  </w:style>
  <w:style w:customStyle="1" w:styleId="Char8" w:type="character">
    <w:name w:val="首页居中 Char"/>
    <w:basedOn w:val="a0"/>
    <w:link w:val="afc"/>
    <w:rPr>
      <w:sz w:val="30"/>
      <w:szCs w:val="30"/>
      <w:lang w:bidi="en-US"/>
    </w:rPr>
  </w:style>
  <w:style w:customStyle="1" w:styleId="Char9" w:type="character">
    <w:name w:val="首页页脚中文 Char"/>
    <w:basedOn w:val="a0"/>
    <w:link w:val="afd"/>
    <w:rPr>
      <w:rFonts w:ascii="华文行楷" w:eastAsia="华文行楷" w:hAnsi="Times New Roman"/>
      <w:sz w:val="36"/>
      <w:szCs w:val="36"/>
      <w:lang w:bidi="en-US"/>
    </w:rPr>
  </w:style>
  <w:style w:customStyle="1" w:styleId="Chara" w:type="character">
    <w:name w:val="首页页脚英文 Char"/>
    <w:basedOn w:val="a0"/>
    <w:link w:val="afe"/>
    <w:rPr>
      <w:rFonts w:ascii="Times New Roman" w:hAnsi="Times New Roman"/>
      <w:sz w:val="24"/>
      <w:lang w:bidi="en-US"/>
    </w:rPr>
  </w:style>
  <w:style w:customStyle="1" w:styleId="Charb" w:type="character">
    <w:name w:val="独创声明 Char"/>
    <w:basedOn w:val="a0"/>
    <w:link w:val="aff"/>
    <w:rPr>
      <w:rFonts w:ascii="Times New Roman" w:hAnsi="Times New Roman"/>
      <w:sz w:val="36"/>
      <w:szCs w:val="36"/>
      <w:lang w:bidi="en-US"/>
    </w:rPr>
  </w:style>
  <w:style w:customStyle="1" w:styleId="Charc" w:type="character">
    <w:name w:val="独创声明正文 Char"/>
    <w:basedOn w:val="a0"/>
    <w:link w:val="aff0"/>
    <w:rPr>
      <w:rFonts w:ascii="仿宋_GB2312" w:eastAsia="仿宋_GB2312"/>
      <w:sz w:val="28"/>
      <w:szCs w:val="28"/>
      <w:lang w:bidi="en-US" w:eastAsia="en-US"/>
    </w:rPr>
  </w:style>
  <w:style w:customStyle="1" w:styleId="Chard" w:type="character">
    <w:name w:val="关键词 Char"/>
    <w:basedOn w:val="a0"/>
    <w:link w:val="aff1"/>
    <w:rPr>
      <w:rFonts w:ascii="仿宋_GB2312" w:eastAsia="仿宋_GB2312"/>
      <w:sz w:val="24"/>
      <w:szCs w:val="24"/>
      <w:lang w:bidi="en-US"/>
    </w:rPr>
  </w:style>
  <w:style w:customStyle="1" w:styleId="Chare" w:type="character">
    <w:name w:val="摘要题目 Char"/>
    <w:basedOn w:val="a0"/>
    <w:link w:val="aff2"/>
    <w:rPr>
      <w:rFonts w:ascii="Times New Roman" w:hAnsi="Times New Roman"/>
      <w:sz w:val="30"/>
      <w:szCs w:val="30"/>
      <w:lang w:bidi="en-US" w:eastAsia="en-US"/>
    </w:rPr>
  </w:style>
  <w:style w:customStyle="1" w:styleId="1Char" w:type="character">
    <w:name w:val="正文1 Char"/>
    <w:basedOn w:val="a0"/>
    <w:link w:val="11"/>
    <w:rPr>
      <w:rFonts w:ascii="Times New Roman" w:hAnsi="Times New Roman"/>
      <w:sz w:val="24"/>
      <w:lang w:bidi="en-US" w:eastAsia="en-US"/>
    </w:rPr>
  </w:style>
  <w:style w:customStyle="1" w:styleId="Charf" w:type="character">
    <w:name w:val="英文摘要正文 Char"/>
    <w:basedOn w:val="1Char"/>
    <w:link w:val="aff3"/>
    <w:rPr>
      <w:rFonts w:ascii="Times New Roman" w:hAnsi="Times New Roman"/>
      <w:sz w:val="24"/>
      <w:lang w:bidi="en-US" w:eastAsia="en-US"/>
    </w:rPr>
  </w:style>
  <w:style w:customStyle="1" w:styleId="KeywordsChar" w:type="character">
    <w:name w:val="Keywords Char"/>
    <w:basedOn w:val="a0"/>
    <w:link w:val="Keywords"/>
    <w:rPr>
      <w:rFonts w:eastAsia="宋体"/>
      <w:b/>
      <w:sz w:val="24"/>
      <w:szCs w:val="24"/>
      <w:lang w:bidi="en-US" w:eastAsia="en-US"/>
    </w:rPr>
  </w:style>
  <w:style w:customStyle="1" w:styleId="Charf0" w:type="character">
    <w:name w:val="目录 Char"/>
    <w:basedOn w:val="a0"/>
    <w:link w:val="aff4"/>
    <w:rPr>
      <w:rFonts w:ascii="黑体" w:eastAsia="黑体" w:hAnsi="Times New Roman"/>
      <w:sz w:val="30"/>
      <w:szCs w:val="30"/>
      <w:lang w:bidi="en-US" w:eastAsia="en-US" w:val="en-US"/>
    </w:rPr>
  </w:style>
  <w:style w:customStyle="1" w:styleId="1Char0" w:type="character">
    <w:name w:val="标题1居中 Char"/>
    <w:basedOn w:val="10"/>
    <w:link w:val="12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Charf1" w:type="character">
    <w:name w:val="图名中文 Char"/>
    <w:basedOn w:val="a0"/>
    <w:link w:val="aff5"/>
    <w:rPr>
      <w:rFonts w:ascii="宋体" w:hAnsi="宋体"/>
      <w:sz w:val="21"/>
      <w:szCs w:val="21"/>
      <w:lang w:bidi="en-US" w:eastAsia="en-US"/>
    </w:rPr>
  </w:style>
  <w:style w:customStyle="1" w:styleId="Charf2" w:type="character">
    <w:name w:val="图名英文 Char"/>
    <w:basedOn w:val="a0"/>
    <w:link w:val="aff6"/>
    <w:rPr>
      <w:rFonts w:ascii="Times New Roman" w:hAnsi="Times New Roman"/>
      <w:sz w:val="21"/>
      <w:szCs w:val="21"/>
      <w:lang w:bidi="en-US" w:eastAsia="en-US"/>
    </w:rPr>
  </w:style>
  <w:style w:customStyle="1" w:styleId="Charf3" w:type="character">
    <w:name w:val="参考文献正文 Char"/>
    <w:basedOn w:val="a0"/>
    <w:link w:val="aff7"/>
    <w:rPr>
      <w:rFonts w:ascii="宋体" w:hAnsi="宋体"/>
      <w:sz w:val="21"/>
      <w:szCs w:val="21"/>
      <w:lang w:bidi="en-US"/>
    </w:rPr>
  </w:style>
  <w:style w:customStyle="1" w:styleId="aff" w:type="paragraph">
    <w:name w:val="独创声明"/>
    <w:basedOn w:val="a"/>
    <w:link w:val="Charb"/>
    <w:qFormat/>
    <w:pPr>
      <w:ind w:firstLine="0" w:firstLineChars="0"/>
      <w:jc w:val="center"/>
    </w:pPr>
    <w:rPr>
      <w:sz w:val="36"/>
      <w:szCs w:val="36"/>
      <w:lang w:eastAsia="zh-CN"/>
    </w:rPr>
  </w:style>
  <w:style w:customStyle="1" w:styleId="aff8" w:type="paragraph">
    <w:name w:val="授权书"/>
    <w:basedOn w:val="1"/>
    <w:pPr>
      <w:spacing w:beforeLines="300"/>
      <w:jc w:val="center"/>
    </w:pPr>
  </w:style>
  <w:style w:customStyle="1" w:styleId="aff5" w:type="paragraph">
    <w:name w:val="图名中文"/>
    <w:basedOn w:val="a"/>
    <w:link w:val="Charf1"/>
    <w:qFormat/>
    <w:pPr>
      <w:jc w:val="center"/>
    </w:pPr>
    <w:rPr>
      <w:rFonts w:ascii="宋体" w:hAnsi="宋体"/>
      <w:sz w:val="21"/>
      <w:szCs w:val="21"/>
    </w:rPr>
  </w:style>
  <w:style w:styleId="TOC7" w:type="paragraph">
    <w:name w:val="toc 7"/>
    <w:basedOn w:val="a"/>
    <w:next w:val="a"/>
    <w:semiHidden/>
    <w:pPr>
      <w:widowControl w:val="0"/>
      <w:ind w:left="2520" w:leftChars="1200"/>
    </w:pPr>
    <w:rPr>
      <w:kern w:val="2"/>
      <w:sz w:val="21"/>
    </w:rPr>
  </w:style>
  <w:style w:styleId="aff9" w:type="paragraph">
    <w:name w:val="Document Map"/>
    <w:basedOn w:val="a"/>
    <w:semiHidden/>
    <w:pPr>
      <w:shd w:color="auto" w:fill="000080" w:val="clear"/>
    </w:pPr>
  </w:style>
  <w:style w:styleId="TOC3" w:type="paragraph">
    <w:name w:val="toc 3"/>
    <w:basedOn w:val="a"/>
    <w:next w:val="a"/>
    <w:uiPriority w:val="39"/>
    <w:pPr>
      <w:ind w:left="840" w:leftChars="400"/>
    </w:pPr>
  </w:style>
  <w:style w:styleId="affa" w:type="paragraph">
    <w:name w:val="Balloon Text"/>
    <w:basedOn w:val="a"/>
    <w:semiHidden/>
    <w:rPr>
      <w:sz w:val="18"/>
      <w:szCs w:val="18"/>
    </w:rPr>
  </w:style>
  <w:style w:customStyle="1" w:styleId="afa" w:type="paragraph">
    <w:name w:val="硕士学位论文"/>
    <w:basedOn w:val="a"/>
    <w:link w:val="Char6"/>
    <w:qFormat/>
    <w:pPr>
      <w:ind w:firstLine="0" w:firstLineChars="0"/>
      <w:jc w:val="center"/>
    </w:pPr>
    <w:rPr>
      <w:rFonts w:ascii="华文细黑" w:hAnsi="华文细黑"/>
      <w:b/>
      <w:sz w:val="48"/>
      <w:szCs w:val="48"/>
      <w:lang w:eastAsia="zh-CN"/>
    </w:rPr>
  </w:style>
  <w:style w:styleId="affb" w:type="paragraph">
    <w:name w:val="footer"/>
    <w:basedOn w:val="a"/>
    <w:pPr>
      <w:tabs>
        <w:tab w:pos="4153" w:val="center"/>
        <w:tab w:pos="8306" w:val="right"/>
      </w:tabs>
      <w:spacing w:before="600" w:line="180" w:lineRule="atLeast"/>
      <w:jc w:val="center"/>
    </w:pPr>
    <w:rPr>
      <w:sz w:val="18"/>
      <w:szCs w:val="18"/>
    </w:rPr>
  </w:style>
  <w:style w:styleId="affc" w:type="paragraph">
    <w:name w:val="header"/>
    <w:basedOn w:val="a"/>
    <w:pPr>
      <w:keepLines/>
      <w:pBdr>
        <w:bottom w:color="auto" w:space="1" w:sz="6" w:val="single"/>
      </w:pBdr>
      <w:tabs>
        <w:tab w:pos="4153" w:val="center"/>
        <w:tab w:pos="8306" w:val="right"/>
      </w:tabs>
      <w:spacing w:after="600" w:line="180" w:lineRule="atLeast"/>
      <w:jc w:val="center"/>
    </w:pPr>
    <w:rPr>
      <w:spacing w:val="-5"/>
      <w:sz w:val="21"/>
      <w:szCs w:val="21"/>
      <w:lang w:eastAsia="zh-CN"/>
    </w:rPr>
  </w:style>
  <w:style w:styleId="TOC1" w:type="paragraph">
    <w:name w:val="toc 1"/>
    <w:basedOn w:val="a"/>
    <w:next w:val="a"/>
    <w:uiPriority w:val="39"/>
    <w:pPr>
      <w:tabs>
        <w:tab w:leader="dot" w:pos="9060" w:val="right"/>
      </w:tabs>
      <w:ind w:firstLine="0" w:firstLineChars="0" w:left="482"/>
    </w:pPr>
  </w:style>
  <w:style w:customStyle="1" w:styleId="aff3" w:type="paragraph">
    <w:name w:val="英文摘要正文"/>
    <w:basedOn w:val="11"/>
    <w:link w:val="Charf"/>
    <w:qFormat/>
    <w:rPr>
      <w:rFonts w:eastAsia="Times New Roman"/>
    </w:rPr>
  </w:style>
  <w:style w:customStyle="1" w:styleId="afd" w:type="paragraph">
    <w:name w:val="首页页脚中文"/>
    <w:basedOn w:val="a"/>
    <w:link w:val="Char9"/>
    <w:qFormat/>
    <w:pPr>
      <w:ind w:firstLine="0" w:firstLineChars="0"/>
      <w:jc w:val="center"/>
    </w:pPr>
    <w:rPr>
      <w:rFonts w:ascii="华文行楷" w:eastAsia="华文行楷"/>
      <w:sz w:val="36"/>
      <w:szCs w:val="36"/>
      <w:lang w:eastAsia="zh-CN"/>
    </w:rPr>
  </w:style>
  <w:style w:styleId="af1" w:type="paragraph">
    <w:name w:val="Subtitle"/>
    <w:basedOn w:val="a"/>
    <w:next w:val="a"/>
    <w:link w:val="af0"/>
    <w:uiPriority w:val="11"/>
    <w:qFormat/>
    <w:pPr>
      <w:spacing w:after="60"/>
      <w:jc w:val="center"/>
      <w:outlineLvl w:val="1"/>
    </w:pPr>
    <w:rPr>
      <w:rFonts w:ascii="Cambria" w:hAnsi="Cambria"/>
    </w:rPr>
  </w:style>
  <w:style w:styleId="TOC6" w:type="paragraph">
    <w:name w:val="toc 6"/>
    <w:basedOn w:val="a"/>
    <w:next w:val="a"/>
    <w:semiHidden/>
    <w:pPr>
      <w:widowControl w:val="0"/>
      <w:ind w:left="2100" w:leftChars="1000"/>
    </w:pPr>
    <w:rPr>
      <w:kern w:val="2"/>
      <w:sz w:val="21"/>
    </w:rPr>
  </w:style>
  <w:style w:customStyle="1" w:styleId="afb" w:type="paragraph">
    <w:name w:val="论文题目"/>
    <w:basedOn w:val="a"/>
    <w:link w:val="Char7"/>
    <w:qFormat/>
    <w:pPr>
      <w:ind w:firstLine="0" w:firstLineChars="0"/>
      <w:jc w:val="center"/>
    </w:pPr>
    <w:rPr>
      <w:rFonts w:ascii="华文细黑" w:eastAsia="华文细黑" w:hAnsi="华文细黑"/>
      <w:b/>
      <w:sz w:val="44"/>
      <w:szCs w:val="44"/>
      <w:lang w:eastAsia="zh-CN"/>
    </w:rPr>
  </w:style>
  <w:style w:styleId="affd" w:type="paragraph">
    <w:name w:val="table of figures"/>
    <w:basedOn w:val="a"/>
    <w:next w:val="a"/>
    <w:pPr>
      <w:ind w:hanging="200" w:hangingChars="200" w:left="200" w:leftChars="200"/>
      <w:jc w:val="both"/>
    </w:pPr>
  </w:style>
  <w:style w:styleId="TOC2" w:type="paragraph">
    <w:name w:val="toc 2"/>
    <w:basedOn w:val="a"/>
    <w:next w:val="a"/>
    <w:uiPriority w:val="39"/>
    <w:pPr>
      <w:ind w:left="420" w:leftChars="200"/>
    </w:pPr>
  </w:style>
  <w:style w:customStyle="1" w:styleId="aff0" w:type="paragraph">
    <w:name w:val="独创声明正文"/>
    <w:basedOn w:val="a"/>
    <w:link w:val="Charc"/>
    <w:qFormat/>
    <w:pPr>
      <w:spacing w:after="100" w:afterAutospacing="1" w:beforeLines="100" w:line="360" w:lineRule="auto"/>
      <w:ind w:firstLine="560"/>
    </w:pPr>
    <w:rPr>
      <w:rFonts w:ascii="仿宋_GB2312" w:eastAsia="仿宋_GB2312"/>
      <w:sz w:val="28"/>
      <w:szCs w:val="28"/>
    </w:rPr>
  </w:style>
  <w:style w:styleId="af5" w:type="paragraph">
    <w:name w:val="Intense Quote"/>
    <w:basedOn w:val="a"/>
    <w:next w:val="a"/>
    <w:link w:val="af4"/>
    <w:uiPriority w:val="30"/>
    <w:qFormat/>
    <w:pPr>
      <w:ind w:left="720" w:right="720"/>
    </w:pPr>
    <w:rPr>
      <w:b/>
      <w:i/>
      <w:szCs w:val="22"/>
    </w:rPr>
  </w:style>
  <w:style w:styleId="affe" w:type="paragraph">
    <w:name w:val="No Spacing"/>
    <w:basedOn w:val="a"/>
    <w:uiPriority w:val="1"/>
    <w:qFormat/>
    <w:rPr>
      <w:szCs w:val="32"/>
    </w:rPr>
  </w:style>
  <w:style w:styleId="af" w:type="paragraph">
    <w:name w:val="Title"/>
    <w:basedOn w:val="a"/>
    <w:next w:val="a"/>
    <w:link w:val="ae"/>
    <w:uiPriority w:val="10"/>
    <w:qFormat/>
    <w:pPr>
      <w:spacing w:after="60" w:before="24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styleId="TOC" w:type="paragraph">
    <w:name w:val="TOC Heading"/>
    <w:basedOn w:val="1"/>
    <w:next w:val="a"/>
    <w:uiPriority w:val="39"/>
    <w:qFormat/>
    <w:pPr>
      <w:outlineLvl w:val="9"/>
    </w:pPr>
  </w:style>
  <w:style w:customStyle="1" w:styleId="afc" w:type="paragraph">
    <w:name w:val="首页居中"/>
    <w:basedOn w:val="a"/>
    <w:link w:val="Char8"/>
    <w:qFormat/>
    <w:pPr>
      <w:spacing w:line="360" w:lineRule="auto"/>
      <w:ind w:firstLine="1977" w:firstLineChars="659"/>
    </w:pPr>
    <w:rPr>
      <w:sz w:val="30"/>
      <w:szCs w:val="30"/>
      <w:lang w:eastAsia="zh-CN"/>
    </w:rPr>
  </w:style>
  <w:style w:customStyle="1" w:styleId="ac" w:type="paragraph">
    <w:name w:val="英文摘要"/>
    <w:basedOn w:val="1"/>
    <w:link w:val="Char3"/>
    <w:pPr>
      <w:jc w:val="center"/>
    </w:pPr>
    <w:rPr>
      <w:rFonts w:cs="宋体"/>
      <w:bCs w:val="0"/>
      <w:sz w:val="30"/>
      <w:szCs w:val="20"/>
    </w:rPr>
  </w:style>
  <w:style w:customStyle="1" w:styleId="aff1" w:type="paragraph">
    <w:name w:val="关键词"/>
    <w:basedOn w:val="a"/>
    <w:link w:val="Chard"/>
    <w:qFormat/>
    <w:rPr>
      <w:rFonts w:ascii="仿宋_GB2312" w:eastAsia="仿宋_GB2312"/>
      <w:lang w:eastAsia="zh-CN"/>
    </w:rPr>
  </w:style>
  <w:style w:styleId="af3" w:type="paragraph">
    <w:name w:val="Quote"/>
    <w:basedOn w:val="a"/>
    <w:next w:val="a"/>
    <w:link w:val="af2"/>
    <w:uiPriority w:val="29"/>
    <w:qFormat/>
    <w:rPr>
      <w:i/>
    </w:rPr>
  </w:style>
  <w:style w:customStyle="1" w:styleId="21" w:type="paragraph">
    <w:name w:val="样式 标题 2"/>
    <w:basedOn w:val="2"/>
    <w:rPr>
      <w:rFonts w:cs="宋体"/>
      <w:szCs w:val="20"/>
    </w:rPr>
  </w:style>
  <w:style w:customStyle="1" w:styleId="afff" w:type="paragraph">
    <w:name w:val="公式"/>
    <w:basedOn w:val="a"/>
    <w:pPr>
      <w:spacing w:after="120" w:before="120"/>
      <w:jc w:val="right"/>
    </w:pPr>
    <w:rPr>
      <w:rFonts w:cs="宋体"/>
    </w:rPr>
  </w:style>
  <w:style w:customStyle="1" w:styleId="afff0" w:type="paragraph">
    <w:name w:val="摘要"/>
    <w:basedOn w:val="1"/>
    <w:pPr>
      <w:jc w:val="center"/>
    </w:pPr>
    <w:rPr>
      <w:rFonts w:cs="宋体"/>
      <w:bCs w:val="0"/>
      <w:szCs w:val="20"/>
      <w:lang w:eastAsia="zh-CN" w:val="en-US"/>
    </w:rPr>
  </w:style>
  <w:style w:customStyle="1" w:styleId="11" w:type="paragraph">
    <w:name w:val="正文1"/>
    <w:basedOn w:val="a"/>
    <w:link w:val="1Char"/>
    <w:pPr>
      <w:spacing w:after="0" w:before="0"/>
      <w:ind w:firstLine="480"/>
      <w:jc w:val="both"/>
    </w:pPr>
  </w:style>
  <w:style w:customStyle="1" w:styleId="afff1" w:type="paragraph">
    <w:name w:val="引言"/>
    <w:basedOn w:val="1"/>
    <w:pPr>
      <w:jc w:val="center"/>
    </w:pPr>
    <w:rPr>
      <w:rFonts w:cs="宋体"/>
      <w:bCs w:val="0"/>
      <w:sz w:val="30"/>
      <w:szCs w:val="20"/>
    </w:rPr>
  </w:style>
  <w:style w:customStyle="1" w:styleId="afff2" w:type="paragraph">
    <w:name w:val="参考文献"/>
    <w:basedOn w:val="ac"/>
  </w:style>
  <w:style w:customStyle="1" w:styleId="afff3" w:type="paragraph">
    <w:name w:val="结论"/>
    <w:basedOn w:val="ac"/>
  </w:style>
  <w:style w:customStyle="1" w:styleId="a4" w:type="paragraph">
    <w:name w:val="论文英文题目"/>
    <w:basedOn w:val="a"/>
    <w:link w:val="Char0"/>
    <w:qFormat/>
    <w:pPr>
      <w:ind w:firstLine="0" w:firstLineChars="0"/>
      <w:jc w:val="center"/>
    </w:pPr>
    <w:rPr>
      <w:rFonts w:eastAsia="Times New Roman"/>
      <w:b/>
      <w:sz w:val="32"/>
      <w:szCs w:val="32"/>
    </w:rPr>
  </w:style>
  <w:style w:customStyle="1" w:styleId="ad" w:type="paragraph">
    <w:name w:val="附录"/>
    <w:basedOn w:val="ac"/>
    <w:link w:val="Char4"/>
  </w:style>
  <w:style w:customStyle="1" w:styleId="a3" w:type="paragraph">
    <w:name w:val="英文关键词"/>
    <w:basedOn w:val="a"/>
    <w:link w:val="Char"/>
    <w:qFormat/>
    <w:rPr>
      <w:rFonts w:ascii="Calibri" w:hAnsi="Calibri"/>
    </w:rPr>
  </w:style>
  <w:style w:customStyle="1" w:styleId="afff4" w:type="paragraph">
    <w:name w:val="致谢"/>
    <w:basedOn w:val="ac"/>
  </w:style>
  <w:style w:customStyle="1" w:styleId="afff5" w:type="paragraph">
    <w:name w:val="发表学术论文情况"/>
    <w:basedOn w:val="ac"/>
  </w:style>
  <w:style w:styleId="afff6" w:type="paragraph">
    <w:name w:val="List Paragraph"/>
    <w:basedOn w:val="a"/>
    <w:uiPriority w:val="34"/>
    <w:qFormat/>
    <w:pPr>
      <w:ind w:firstLine="0" w:left="0"/>
      <w:contextualSpacing/>
    </w:pPr>
  </w:style>
  <w:style w:customStyle="1" w:styleId="afe" w:type="paragraph">
    <w:name w:val="首页页脚英文"/>
    <w:basedOn w:val="a"/>
    <w:link w:val="Chara"/>
    <w:qFormat/>
    <w:pPr>
      <w:ind w:firstLine="0" w:firstLineChars="0"/>
      <w:jc w:val="center"/>
    </w:pPr>
    <w:rPr>
      <w:lang w:eastAsia="zh-CN"/>
    </w:rPr>
  </w:style>
  <w:style w:customStyle="1" w:styleId="a6" w:type="paragraph">
    <w:name w:val="关键词题头"/>
    <w:basedOn w:val="a"/>
    <w:link w:val="Char1"/>
    <w:qFormat/>
    <w:rPr>
      <w:rFonts w:ascii="黑体" w:eastAsia="黑体"/>
      <w:lang w:eastAsia="zh-CN"/>
    </w:rPr>
  </w:style>
  <w:style w:customStyle="1" w:styleId="aff4" w:type="paragraph">
    <w:name w:val="目录"/>
    <w:basedOn w:val="a"/>
    <w:link w:val="Charf0"/>
    <w:qFormat/>
    <w:pPr>
      <w:ind w:firstLine="0" w:firstLineChars="0"/>
      <w:jc w:val="center"/>
    </w:pPr>
    <w:rPr>
      <w:rFonts w:ascii="黑体" w:eastAsia="黑体"/>
      <w:sz w:val="30"/>
      <w:szCs w:val="30"/>
      <w:lang w:eastAsia="zh-CN" w:val="en-US"/>
    </w:rPr>
  </w:style>
  <w:style w:customStyle="1" w:styleId="Keywords" w:type="paragraph">
    <w:name w:val="Keywords"/>
    <w:basedOn w:val="a"/>
    <w:link w:val="KeywordsChar"/>
    <w:qFormat/>
    <w:rPr>
      <w:b/>
    </w:rPr>
  </w:style>
  <w:style w:customStyle="1" w:styleId="aff2" w:type="paragraph">
    <w:name w:val="摘要题目"/>
    <w:basedOn w:val="a"/>
    <w:link w:val="Chare"/>
    <w:qFormat/>
    <w:pPr>
      <w:ind w:firstLine="0" w:firstLineChars="0"/>
      <w:jc w:val="center"/>
    </w:pPr>
    <w:rPr>
      <w:sz w:val="30"/>
      <w:szCs w:val="30"/>
    </w:rPr>
  </w:style>
  <w:style w:customStyle="1" w:styleId="12" w:type="paragraph">
    <w:name w:val="标题1居中"/>
    <w:basedOn w:val="1"/>
    <w:link w:val="1Char0"/>
    <w:qFormat/>
    <w:pPr>
      <w:jc w:val="center"/>
    </w:pPr>
  </w:style>
  <w:style w:customStyle="1" w:styleId="aff6" w:type="paragraph">
    <w:name w:val="图名英文"/>
    <w:basedOn w:val="a"/>
    <w:link w:val="Charf2"/>
    <w:qFormat/>
    <w:pPr>
      <w:jc w:val="center"/>
    </w:pPr>
    <w:rPr>
      <w:sz w:val="21"/>
      <w:szCs w:val="21"/>
    </w:rPr>
  </w:style>
  <w:style w:customStyle="1" w:styleId="ab" w:type="paragraph">
    <w:name w:val="参考文献标题"/>
    <w:basedOn w:val="1"/>
    <w:link w:val="Char2"/>
    <w:qFormat/>
    <w:pPr>
      <w:jc w:val="center"/>
    </w:pPr>
  </w:style>
  <w:style w:customStyle="1" w:styleId="aff7" w:type="paragraph">
    <w:name w:val="参考文献正文"/>
    <w:basedOn w:val="a"/>
    <w:link w:val="Charf3"/>
    <w:qFormat/>
    <w:rPr>
      <w:rFonts w:ascii="宋体" w:hAnsi="宋体"/>
      <w:sz w:val="21"/>
      <w:szCs w:val="21"/>
      <w:lang w:eastAsia="zh-CN"/>
    </w:rPr>
  </w:style>
  <w:style w:customStyle="1" w:styleId="af9" w:type="paragraph">
    <w:name w:val="授权说明正文"/>
    <w:basedOn w:val="a"/>
    <w:link w:val="Char5"/>
    <w:qFormat/>
    <w:pPr>
      <w:spacing w:line="360" w:lineRule="auto"/>
      <w:ind w:firstLine="560"/>
    </w:pPr>
    <w:rPr>
      <w:rFonts w:ascii="仿宋_GB2312" w:eastAsia="仿宋_GB2312"/>
      <w:sz w:val="28"/>
      <w:szCs w:val="28"/>
      <w:lang w:eastAsia="zh-CN"/>
    </w:rPr>
  </w:style>
  <w:style w:customStyle="1" w:styleId="110" w:type="paragraph">
    <w:name w:val="样式 标题 1 + 段后: 1 行"/>
    <w:basedOn w:val="1"/>
    <w:pPr>
      <w:spacing w:after="240"/>
    </w:pPr>
    <w:rPr>
      <w:rFonts w:cs="宋体"/>
      <w:bCs w:val="0"/>
      <w:sz w:val="30"/>
      <w:szCs w:val="20"/>
    </w:rPr>
  </w:style>
  <w:style w:customStyle="1" w:styleId="13" w:type="paragraph">
    <w:name w:val="样式 参考文献标题 + 段后: 1 行"/>
    <w:basedOn w:val="ab"/>
    <w:pPr>
      <w:spacing w:after="240"/>
    </w:pPr>
    <w:rPr>
      <w:rFonts w:cs="宋体"/>
      <w:bCs w:val="0"/>
      <w:sz w:val="30"/>
      <w:szCs w:val="20"/>
    </w:rPr>
  </w:style>
  <w:style w:customStyle="1" w:styleId="14" w:type="paragraph">
    <w:name w:val="样式 摘要 + 段后: 1 行"/>
    <w:basedOn w:val="afff0"/>
    <w:pPr>
      <w:spacing w:after="240"/>
    </w:pPr>
    <w:rPr>
      <w:sz w:val="30"/>
    </w:rPr>
  </w:style>
  <w:style w:customStyle="1" w:styleId="afff7" w:type="paragraph">
    <w:name w:val="作者简介"/>
    <w:basedOn w:val="afff2"/>
    <w:pPr>
      <w:keepLines/>
      <w:tabs>
        <w:tab w:pos="377" w:val="left"/>
      </w:tabs>
      <w:snapToGrid/>
      <w:spacing w:afterLines="0"/>
    </w:pPr>
    <w:rPr>
      <w:rFonts w:ascii="黑体" w:hAnsi="Times New Roman"/>
      <w:b/>
      <w:bCs/>
      <w:kern w:val="44"/>
      <w:szCs w:val="32"/>
      <w:lang w:bidi="ar-SA"/>
    </w:rPr>
  </w:style>
  <w:style w:styleId="afff8" w:type="table">
    <w:name w:val="Table Grid"/>
    <w:basedOn w:val="a1"/>
    <w:pPr>
      <w:snapToGrid w:val="0"/>
      <w:spacing w:line="300" w:lineRule="auto"/>
      <w:ind w:firstLine="480" w:firstLineChars="20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f9" w:type="paragraph">
    <w:name w:val="Revision"/>
    <w:hidden/>
    <w:uiPriority w:val="99"/>
    <w:unhideWhenUsed/>
    <w:rsid w:val="004C61AB"/>
    <w:rPr>
      <w:rFonts w:ascii="Times New Roman" w:hAnsi="Times New Roman"/>
      <w:sz w:val="24"/>
      <w:lang w:bidi="en-US" w:eastAsia="en-US"/>
    </w:rPr>
  </w:style>
  <w:style w:customStyle="1" w:styleId="TableText" w:type="paragraph">
    <w:name w:val="Table Text"/>
    <w:basedOn w:val="a"/>
    <w:pPr>
      <w:ind w:firstLine="0" w:left="0"/>
    </w:pPr>
  </w:style>
  <w:style w:customStyle="1" w:styleId="Formula" w:type="paragraph">
    <w:name w:val="Formula"/>
    <w:basedOn w:val="a"/>
    <w:pPr>
      <w:spacing w:after="0" w:before="0" w:line="240" w:lineRule="auto"/>
      <w:ind w:firstLine="0"/>
    </w:pPr>
  </w:style>
  <w:style w:customStyle="1" w:styleId="CompactList" w:type="paragraph">
    <w:name w:val="Compact List"/>
    <w:basedOn w:val="a"/>
    <w:pPr>
      <w:spacing w:after="0" w:line="240" w:lineRule="auto"/>
      <w:ind w:firstLine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5.xml" Type="http://schemas.openxmlformats.org/officeDocument/2006/relationships/header" /><Relationship Id="rId10" Target="header2.xml" Type="http://schemas.openxmlformats.org/officeDocument/2006/relationships/header" /><Relationship Id="rId11" Target="header4.xml" Type="http://schemas.openxmlformats.org/officeDocument/2006/relationships/header" /><Relationship Id="rId12" Target="header1.xml" Type="http://schemas.openxmlformats.org/officeDocument/2006/relationships/header" /><Relationship Id="rId13" Target="header7.xml" Type="http://schemas.openxmlformats.org/officeDocument/2006/relationships/header" /><Relationship Id="rId14" Target="header3.xml" Type="http://schemas.openxmlformats.org/officeDocument/2006/relationships/header" /><Relationship Id="rId15" Target="header6.xml" Type="http://schemas.openxmlformats.org/officeDocument/2006/relationships/header" /><Relationship Id="rId16" Target="footer1.xml" Type="http://schemas.openxmlformats.org/officeDocument/2006/relationships/footer" /><Relationship Id="rId17" Target="footer7.xml" Type="http://schemas.openxmlformats.org/officeDocument/2006/relationships/footer" /><Relationship Id="rId18" Target="footer9.xml" Type="http://schemas.openxmlformats.org/officeDocument/2006/relationships/footer" /><Relationship Id="rId19" Target="footer6.xml" Type="http://schemas.openxmlformats.org/officeDocument/2006/relationships/footer" /><Relationship Id="rId20" Target="footer3.xml" Type="http://schemas.openxmlformats.org/officeDocument/2006/relationships/footer" /><Relationship Id="rId21" Target="footer8.xml" Type="http://schemas.openxmlformats.org/officeDocument/2006/relationships/footer" /><Relationship Id="rId22" Target="footer5.xml" Type="http://schemas.openxmlformats.org/officeDocument/2006/relationships/footer" /><Relationship Id="rId23" Target="footer2.xml" Type="http://schemas.openxmlformats.org/officeDocument/2006/relationships/footer" /><Relationship Id="rId24" Target="footer4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qianfeng\&#26700;&#38754;\&#27169;&#26495;\&#22823;&#36830;&#29702;&#24037;&#22823;&#23398;&#30805;&#22763;&#23398;&#20301;&#35770;&#25991;&#26684;&#24335;&#35268;&#33539;200812(97-2003)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大连理工大学硕士学位论文格式规范200812(97-2003).dot</Template>
  <TotalTime>1</TotalTime>
  <Pages>33</Pages>
  <Words>3134</Words>
  <Characters>17868</Characters>
  <Application>Microsoft Office Word</Application>
  <DocSecurity>0</DocSecurity>
  <Lines>148</Lines>
  <Paragraphs>41</Paragraphs>
  <ScaleCrop>false</ScaleCrop>
  <Company>DUT</Company>
  <LinksUpToDate>false</LinksUpToDate>
  <CharactersWithSpaces>20961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2026-02-22T07:09:06Z</dcterms:created>
  <dcterms:modified xsi:type="dcterms:W3CDTF">2026-02-22T07:09:06Z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