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第4章-实验结果与分析"/>
    <w:p>
      <w:pPr>
        <w:pStyle w:val="1"/>
      </w:pPr>
      <w:r>
        <w:t xml:space="preserve">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Start w:id="25" w:name="实验设置"/>
    <w:p>
      <w:pPr>
        <w:pStyle w:val="2"/>
      </w:pPr>
      <w:r>
        <w:t xml:space="preserve">4.1 实验设置</w:t>
      </w:r>
    </w:p>
    <w:bookmarkStart w:id="20"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01"/>
        </w:numPr>
        <w:pStyle w:val="Compact"/>
      </w:pPr>
      <w:r>
        <w:rPr>
          <w:bCs/>
          <w:b/>
        </w:rPr>
        <w:t xml:space="preserve">2D Shallow Water Equation (SWE)</w:t>
      </w:r>
      <w:r>
        <w:t xml:space="preserve">：</w:t>
      </w:r>
    </w:p>
    <w:p>
      <w:pPr>
        <w:numPr>
          <w:ilvl w:val="1"/>
          <w:numId w:val="1002"/>
        </w:numPr>
        <w:pStyle w:val="Compact"/>
      </w:pPr>
      <w:r>
        <w:rPr>
          <w:bCs/>
          <w:b/>
        </w:rPr>
        <w:t xml:space="preserve">物理特征</w:t>
      </w:r>
      <w:r>
        <w:t xml:space="preserve">：描述自由液面下的流体运动，具有波传播与反射特征，纹理相对平滑。</w:t>
      </w:r>
    </w:p>
    <w:p>
      <w:pPr>
        <w:numPr>
          <w:ilvl w:val="1"/>
          <w:numId w:val="1002"/>
        </w:numPr>
        <w:pStyle w:val="Compact"/>
      </w:pPr>
      <w:r>
        <w:rPr>
          <w:bCs/>
          <w:b/>
        </w:rPr>
        <w:t xml:space="preserve">用途</w:t>
      </w:r>
      <w:r>
        <w:t xml:space="preserve">：作为初筛基准（Pilot Study），用于快速验证模型架构的收敛性与基本性能。</w:t>
      </w:r>
    </w:p>
    <w:p>
      <w:pPr>
        <w:numPr>
          <w:ilvl w:val="0"/>
          <w:numId w:val="1001"/>
        </w:numPr>
        <w:pStyle w:val="Compact"/>
      </w:pPr>
      <w:r>
        <w:rPr>
          <w:bCs/>
          <w:b/>
        </w:rPr>
        <w:t xml:space="preserve">2D Diffusion-Reaction Equation (DRD)</w:t>
      </w:r>
      <w:r>
        <w:t xml:space="preserve">：</w:t>
      </w:r>
    </w:p>
    <w:p>
      <w:pPr>
        <w:numPr>
          <w:ilvl w:val="1"/>
          <w:numId w:val="1003"/>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03"/>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0"/>
    <w:bookmarkStart w:id="21"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bookmarkEnd w:id="21"/>
    <w:bookmarkStart w:id="22"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2"/>
    <w:bookmarkStart w:id="23"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1.57→1.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58→2.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r>
        <w:t xml:space="preserve"> </w:t>
      </w:r>
      <w:r>
        <w:t xml:space="preserve">59→</w:t>
      </w:r>
      <w:r>
        <w:t xml:space="preserve"> </w:t>
      </w:r>
      <w:r>
        <w:t xml:space="preserve">60→### 4.1.5 评测指标体系</w:t>
      </w:r>
      <w:r>
        <w:t xml:space="preserve"> </w:t>
      </w:r>
      <w:r>
        <w:t xml:space="preserve">本章采用多维指标体系，全面评估重建质量与物理一致性：</w:t>
      </w:r>
    </w:p>
    <w:p>
      <w:pPr>
        <w:numPr>
          <w:ilvl w:val="0"/>
          <w:numId w:val="1004"/>
        </w:numPr>
        <w:pStyle w:val="Compact"/>
      </w:pPr>
      <w:r>
        <w:rPr>
          <w:bCs/>
          <w:b/>
        </w:rPr>
        <w:t xml:space="preserve">重建精度指标</w:t>
      </w:r>
      <w:r>
        <w:t xml:space="preserve">：</w:t>
      </w:r>
    </w:p>
    <w:p>
      <w:pPr>
        <w:numPr>
          <w:ilvl w:val="1"/>
          <w:numId w:val="1005"/>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05"/>
        </w:numPr>
        <w:pStyle w:val="Compact"/>
      </w:pPr>
      <w:r>
        <w:rPr>
          <w:bCs/>
          <w:b/>
        </w:rPr>
        <w:t xml:space="preserve">PSNR / SSIM</w:t>
      </w:r>
      <w:r>
        <w:t xml:space="preserve">：图像质量评价指标，衡量视觉保真度与结构相似性。</w:t>
      </w:r>
    </w:p>
    <w:p>
      <w:pPr>
        <w:numPr>
          <w:ilvl w:val="0"/>
          <w:numId w:val="1004"/>
        </w:numPr>
        <w:pStyle w:val="Compact"/>
      </w:pPr>
      <w:r>
        <w:rPr>
          <w:bCs/>
          <w:b/>
        </w:rPr>
        <w:t xml:space="preserve">物理一致性指标</w:t>
      </w:r>
      <w:r>
        <w:t xml:space="preserve">：</w:t>
      </w:r>
    </w:p>
    <w:p>
      <w:pPr>
        <w:numPr>
          <w:ilvl w:val="1"/>
          <w:numId w:val="1006"/>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06"/>
        </w:numPr>
        <w:pStyle w:val="Compact"/>
      </w:pPr>
      <w:r>
        <w:rPr>
          <w:bCs/>
          <w:b/>
        </w:rPr>
        <w:t xml:space="preserve">fRMSE (Frequency RMSE)</w:t>
      </w:r>
      <w:r>
        <w:t xml:space="preserve">：分频段（Low/Mid/High）计算的均方根误差，重点考察低频主模态与高频湍流细节的恢复情况。</w:t>
      </w:r>
    </w:p>
    <w:bookmarkEnd w:id="23"/>
    <w:bookmarkStart w:id="24" w:name="统计协议"/>
    <w:p>
      <w:pPr>
        <w:pStyle w:val="3"/>
      </w:pPr>
      <w:r>
        <w:t xml:space="preserve">4.1.6 统计协议</w:t>
      </w:r>
    </w:p>
    <w:p>
      <w:pPr>
        <w:numPr>
          <w:ilvl w:val="0"/>
          <w:numId w:val="1007"/>
        </w:numPr>
        <w:pStyle w:val="Compact"/>
      </w:pPr>
      <w:r>
        <w:rPr>
          <w:bCs/>
          <w:b/>
        </w:rPr>
        <w:t xml:space="preserve">确定性实验</w:t>
      </w:r>
      <w:r>
        <w:t xml:space="preserve">：所有实验均在固定随机种子（Seed=2025）下执行，确保结果的严格可复现性。</w:t>
      </w:r>
    </w:p>
    <w:p>
      <w:pPr>
        <w:numPr>
          <w:ilvl w:val="0"/>
          <w:numId w:val="1007"/>
        </w:numPr>
        <w:pStyle w:val="Compact"/>
      </w:pPr>
      <w:r>
        <w:rPr>
          <w:bCs/>
          <w:b/>
        </w:rPr>
        <w:t xml:space="preserve">代表性验证</w:t>
      </w:r>
      <w:r>
        <w:t xml:space="preserve">：得益于确定性算法的引入，单一实验结果即具备稳定的代表性，消除了随机波动对性能评估的干扰。</w:t>
      </w:r>
    </w:p>
    <w:p>
      <w:r>
        <w:pict>
          <v:rect style="width:0;height:1.5pt" o:hralign="center" o:hrstd="t" o:hr="t"/>
        </w:pict>
      </w:r>
    </w:p>
    <w:bookmarkEnd w:id="24"/>
    <w:bookmarkEnd w:id="25"/>
    <w:bookmarkStart w:id="32" w:name="主实验结果-main-results"/>
    <w:p>
      <w:pPr>
        <w:pStyle w:val="2"/>
      </w:pPr>
      <w:r>
        <w:t xml:space="preserve">4.2 主实验结果 (Main Results)</w:t>
      </w:r>
    </w:p>
    <w:bookmarkStart w:id="26" w:name="swe-全域重建架构性能扫描"/>
    <w:p>
      <w:pPr>
        <w:pStyle w:val="3"/>
      </w:pPr>
      <w:r>
        <w:t xml:space="preserve">4.2.1 SWE 全域重建：架构性能扫描</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bl>
    <w:p>
      <w:pPr>
        <w:pStyle w:val="11"/>
      </w:pPr>
      <w:r>
        <w:rPr>
          <w:bCs/>
          <w:b/>
        </w:rPr>
        <w:t xml:space="preserve">结果分析</w:t>
      </w:r>
      <w:r>
        <w:t xml:space="preserve">：EDSR 凭借其去归一化（No-BN）设计与深层残差结构，在物理场数值回归任务上展现出压倒性优势（Rel-L2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11"/>
      </w:pPr>
      <w:r>
        <w:t xml:space="preserve">为进一步在有限计算预算下筛选最优基线，我们进行了</w:t>
      </w:r>
      <w:r>
        <w:rPr>
          <w:bCs/>
          <w:b/>
        </w:rPr>
        <w:t xml:space="preserve">1M 参数量预算</w:t>
      </w:r>
      <w:r>
        <w:t xml:space="preserve">下的横向对比（表 4-3）。</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w:r>
              <w:t xml:space="preserve">✅ 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w:r>
              <w:t xml:space="preserve">✅ 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w:r>
              <w:t xml:space="preserve">✅ 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w:r>
              <w:t xml:space="preserve">❌ 严重超标</w:t>
            </w:r>
          </w:p>
        </w:tc>
      </w:tr>
    </w:tbl>
    <w:bookmarkEnd w:id="26"/>
    <w:bookmarkStart w:id="27" w:name="drd-时空预测长时演化稳定性"/>
    <w:p>
      <w:pPr>
        <w:pStyle w:val="3"/>
      </w:pPr>
      <w:r>
        <w:t xml:space="preserve">4.2.2 DRD 时空预测：长时演化稳定性</w:t>
      </w:r>
    </w:p>
    <w:p>
      <w:pPr>
        <w:pStyle w:val="11"/>
      </w:pPr>
      <w:r>
        <w:t xml:space="preserve">在动力学更为复杂的 DRD 数据集上，评估“空间重建 + 时序预测”联合模型的长时演化能力。表 4-4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4-4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bookmarkEnd w:id="27"/>
    <w:bookmarkStart w:id="28" w:name="架构性能归因分析-attribution-analysis"/>
    <w:p>
      <w:pPr>
        <w:pStyle w:val="3"/>
      </w:pPr>
      <w:r>
        <w:t xml:space="preserve">4.2.3 架构性能归因分析 (Attribution Analysis)</w:t>
      </w:r>
    </w:p>
    <w:p>
      <w:pPr>
        <w:pStyle w:val="11"/>
      </w:pPr>
      <w:r>
        <w:t xml:space="preserve">基于表 4-1 与表 4-2 的量化结果，不同模型架构呈现出显著分化。我们结合</w:t>
      </w:r>
      <w:r>
        <w:t xml:space="preserve"> </w:t>
      </w:r>
      <m:oMath>
        <m:sSub>
          <m:e>
            <m:r>
              <m:t>H</m:t>
            </m:r>
          </m:e>
          <m:sub>
            <m:r>
              <m:rPr>
                <m:sty m:val="p"/>
              </m:rPr>
              <m:t>e</m:t>
            </m:r>
            <m:r>
              <m:rPr>
                <m:sty m:val="p"/>
              </m:rPr>
              <m:t>r</m:t>
            </m:r>
            <m:r>
              <m:rPr>
                <m:sty m:val="p"/>
              </m:rPr>
              <m:t>r</m:t>
            </m:r>
          </m:sub>
        </m:sSub>
      </m:oMath>
      <w:r>
        <w:t xml:space="preserve">（观测一致性误差）这一关键指标，对架构的</w:t>
      </w:r>
      <w:r>
        <w:rPr>
          <w:bCs/>
          <w:b/>
        </w:rPr>
        <w:t xml:space="preserve">归纳偏置 (Inductive Bias)</w:t>
      </w:r>
      <w:r>
        <w:t xml:space="preserve"> </w:t>
      </w:r>
      <w:r>
        <w:t xml:space="preserve">与物理场统计结构的匹配程度进行深度归因：</w:t>
      </w:r>
    </w:p>
    <w:p>
      <w:pPr>
        <w:numPr>
          <w:ilvl w:val="0"/>
          <w:numId w:val="1008"/>
        </w:numPr>
        <w:pStyle w:val="Compact"/>
      </w:pPr>
      <w:r>
        <w:rPr>
          <w:bCs/>
          <w:b/>
        </w:rPr>
        <w:t xml:space="preserve">EDSR (ResNet) 为何是精度与一致性之王？</w:t>
      </w:r>
    </w:p>
    <w:p>
      <w:pPr>
        <w:numPr>
          <w:ilvl w:val="1"/>
          <w:numId w:val="1009"/>
        </w:numPr>
        <w:pStyle w:val="Compact"/>
      </w:pPr>
      <w:r>
        <w:rPr>
          <w:bCs/>
          <w:b/>
        </w:rPr>
        <w:t xml:space="preserve">观测真值的“守门人”</w:t>
      </w:r>
      <w:r>
        <w:t xml:space="preserve">：横向对比各模型的观测一致性误差（</w:t>
      </w:r>
      <m:oMath>
        <m:sSub>
          <m:e>
            <m:r>
              <m:t>H</m:t>
            </m:r>
          </m:e>
          <m:sub>
            <m:r>
              <m:rPr>
                <m:sty m:val="p"/>
              </m:rPr>
              <m:t>e</m:t>
            </m:r>
            <m:r>
              <m:rPr>
                <m:sty m:val="p"/>
              </m:rPr>
              <m:t>r</m:t>
            </m:r>
            <m:r>
              <m:rPr>
                <m:sty m:val="p"/>
              </m:rPr>
              <m:t>r</m:t>
            </m:r>
          </m:sub>
        </m:sSub>
      </m:oMath>
      <w:r>
        <w:t xml:space="preserve">），EDSR 取得了惊人的</w:t>
      </w:r>
      <w:r>
        <w:t xml:space="preserve"> </w:t>
      </w:r>
      <w:r>
        <w:rPr>
          <w:bCs/>
          <w:b/>
        </w:rPr>
        <w:t xml:space="preserve">0.0047</w:t>
      </w:r>
      <w:r>
        <w:t xml:space="preserve">，远低于 FNO (</w:t>
      </w:r>
      <w:r>
        <w:rPr>
          <w:bCs/>
          <w:b/>
        </w:rPr>
        <w:t xml:space="preserve">0.0591</w:t>
      </w:r>
      <w:r>
        <w:t xml:space="preserve">)、UNet (</w:t>
      </w:r>
      <w:r>
        <w:rPr>
          <w:bCs/>
          <w:b/>
        </w:rPr>
        <w:t xml:space="preserve">0.0369</w:t>
      </w:r>
      <w:r>
        <w:t xml:space="preserve">) 和 SwinIR (</w:t>
      </w:r>
      <w:r>
        <w:rPr>
          <w:bCs/>
          <w:b/>
        </w:rPr>
        <w:t xml:space="preserve">0.5839</w:t>
      </w:r>
      <w:r>
        <w:t xml:space="preserve">)。这意味着 EDSR 在重建过程中最忠实地保留了原始观测信息，没有产生严重的“幻觉”漂移。</w:t>
      </w:r>
    </w:p>
    <w:p>
      <w:pPr>
        <w:numPr>
          <w:ilvl w:val="1"/>
          <w:numId w:val="1009"/>
        </w:numPr>
        <w:pStyle w:val="Compact"/>
      </w:pPr>
      <w:r>
        <w:rPr>
          <w:bCs/>
          <w:b/>
        </w:rPr>
        <w:t xml:space="preserve">去归一化 (No-BN)</w:t>
      </w:r>
      <w:r>
        <w:t xml:space="preserve">：物理场具备明确量纲与绝对数值意义。Batch Normalization 会破坏分布信息；EDSR 去除 BN 后更适合数值回归。</w:t>
      </w:r>
    </w:p>
    <w:p>
      <w:pPr>
        <w:numPr>
          <w:ilvl w:val="1"/>
          <w:numId w:val="1009"/>
        </w:numPr>
        <w:pStyle w:val="Compact"/>
      </w:pPr>
      <w:r>
        <w:rPr>
          <w:bCs/>
          <w:b/>
        </w:rPr>
        <w:t xml:space="preserve">深层残差</w:t>
      </w:r>
      <w:r>
        <w:t xml:space="preserve">：SR 任务高度依赖局部高频恢复。EDSR 的深层堆叠在保持分辨率的同时增强了细节表达。</w:t>
      </w:r>
    </w:p>
    <w:p>
      <w:pPr>
        <w:numPr>
          <w:ilvl w:val="0"/>
          <w:numId w:val="1008"/>
        </w:numPr>
        <w:pStyle w:val="Compact"/>
      </w:pPr>
      <w:r>
        <w:rPr>
          <w:bCs/>
          <w:b/>
        </w:rPr>
        <w:t xml:space="preserve">Transformer (SegFormer/UNetFormer) 为何推理最快？</w:t>
      </w:r>
    </w:p>
    <w:p>
      <w:pPr>
        <w:numPr>
          <w:ilvl w:val="1"/>
          <w:numId w:val="1010"/>
        </w:numPr>
        <w:pStyle w:val="Compact"/>
      </w:pPr>
      <w:r>
        <w:rPr>
          <w:bCs/>
          <w:b/>
        </w:rPr>
        <w:t xml:space="preserve">高效注意力</w:t>
      </w:r>
      <w:r>
        <w:t xml:space="preserve">：采用空间缩减注意力 (Spatial-Reduction Attention) 降低复杂度，在保留全局感受野的同时提升并行效率；相较大核卷积，其 Latency 具备显著优势（&lt;1ms）。</w:t>
      </w:r>
    </w:p>
    <w:p>
      <w:pPr>
        <w:numPr>
          <w:ilvl w:val="0"/>
          <w:numId w:val="1008"/>
        </w:numPr>
        <w:pStyle w:val="Compact"/>
      </w:pPr>
      <w:r>
        <w:rPr>
          <w:bCs/>
          <w:b/>
        </w:rPr>
        <w:t xml:space="preserve">Operator (UNO) 为何算力极低？</w:t>
      </w:r>
    </w:p>
    <w:p>
      <w:pPr>
        <w:numPr>
          <w:ilvl w:val="1"/>
          <w:numId w:val="1011"/>
        </w:numPr>
        <w:pStyle w:val="Compact"/>
      </w:pPr>
      <w:r>
        <w:rPr>
          <w:bCs/>
          <w:b/>
        </w:rPr>
        <w:t xml:space="preserve">积分算子近似</w:t>
      </w:r>
      <w:r>
        <w:t xml:space="preserve">：UNO 通过 FFT 或低秩近似实现映射，计算复杂度接近</w:t>
      </w:r>
      <w:r>
        <w:t xml:space="preserve"> </w:t>
      </w:r>
      <m:oMath>
        <m:r>
          <m:t>O</m:t>
        </m:r>
        <m:d>
          <m:dPr>
            <m:begChr m:val="("/>
            <m:endChr m:val=")"/>
            <m:sepChr m:val=""/>
            <m:grow/>
          </m:dPr>
          <m:e>
            <m:r>
              <m:t>N</m:t>
            </m:r>
          </m:e>
        </m:d>
      </m:oMath>
      <w:r>
        <w:t xml:space="preserve">，因此 FLOPs 极低 (4.24G)，在高分辨率扩展性方面具备潜力。</w:t>
      </w:r>
    </w:p>
    <w:p>
      <w:pPr>
        <w:numPr>
          <w:ilvl w:val="0"/>
          <w:numId w:val="1008"/>
        </w:numPr>
        <w:pStyle w:val="Compact"/>
      </w:pPr>
      <w:r>
        <w:rPr>
          <w:bCs/>
          <w:b/>
        </w:rPr>
        <w:t xml:space="preserve">NAFNet 与 UNet 的对比启示</w:t>
      </w:r>
    </w:p>
    <w:p>
      <w:pPr>
        <w:numPr>
          <w:ilvl w:val="1"/>
          <w:numId w:val="1012"/>
        </w:numPr>
        <w:pStyle w:val="Compact"/>
      </w:pPr>
      <w:r>
        <w:rPr>
          <w:bCs/>
          <w:b/>
        </w:rPr>
        <w:t xml:space="preserve">算力换精度</w:t>
      </w:r>
      <w:r>
        <w:t xml:space="preserve">：NAFNet 利用门控机制与大核卷积显著提升了感受野与精度，但其 FLOPs 代价巨大（771G vs 161G）。这从侧面反衬了 Transformer 与 Operator 在全局建模效率上的结构优势。</w:t>
      </w:r>
    </w:p>
    <w:bookmarkEnd w:id="28"/>
    <w:bookmarkStart w:id="29" w:name="结果与理论命题的关联验证"/>
    <w:p>
      <w:pPr>
        <w:pStyle w:val="3"/>
      </w:pPr>
      <w:r>
        <w:t xml:space="preserve">4.2.4 结果与理论命题的关联验证</w:t>
      </w:r>
    </w:p>
    <w:p>
      <w:pPr>
        <w:pStyle w:val="11"/>
      </w:pPr>
      <w:r>
        <w:t xml:space="preserve">上述主实验结果直接支撑了第2章的理论假设：</w:t>
      </w:r>
      <w:r>
        <w:t xml:space="preserve"> </w:t>
      </w:r>
      <w:r>
        <w:t xml:space="preserve">*</w:t>
      </w:r>
      <w:r>
        <w:t xml:space="preserve"> </w:t>
      </w:r>
      <w:r>
        <w:rPr>
          <w:bCs/>
          <w:b/>
        </w:rPr>
        <w:t xml:space="preserve">命题 1 验证</w:t>
      </w:r>
      <w:r>
        <w:t xml:space="preserve">：Ours 的</w:t>
      </w:r>
      <w:r>
        <w:t xml:space="preserve"> </w:t>
      </w:r>
      <m:oMath>
        <m:sSub>
          <m:e>
            <m:r>
              <m:t>H</m:t>
            </m:r>
          </m:e>
          <m:sub>
            <m:r>
              <m:rPr>
                <m:sty m:val="p"/>
              </m:rPr>
              <m:t>e</m:t>
            </m:r>
            <m:r>
              <m:rPr>
                <m:sty m:val="p"/>
              </m:rPr>
              <m:t>r</m:t>
            </m:r>
            <m:r>
              <m:rPr>
                <m:sty m:val="p"/>
              </m:rPr>
              <m:t>r</m:t>
            </m:r>
          </m:sub>
        </m:sSub>
      </m:oMath>
      <w:r>
        <w:t xml:space="preserve"> </w:t>
      </w:r>
      <w:r>
        <w:t xml:space="preserve">显著低于 Baseline (0.0046 vs 0.0129)，且 Rel-L2 同步下降，证实了“观测一致性是重建误差有界的必要条件”。</w:t>
      </w:r>
      <w:r>
        <w:t xml:space="preserve"> </w:t>
      </w:r>
      <w:r>
        <w:t xml:space="preserve">*</w:t>
      </w:r>
      <w:r>
        <w:t xml:space="preserve"> </w:t>
      </w:r>
      <w:r>
        <w:rPr>
          <w:bCs/>
          <w:b/>
        </w:rPr>
        <w:t xml:space="preserve">命题 2 验证</w:t>
      </w:r>
      <w:r>
        <w:t xml:space="preserve">：在复杂 DRD 场中，引入</w:t>
      </w:r>
      <w:r>
        <w:t xml:space="preserve"> </w:t>
      </w:r>
      <m:oMath>
        <m:sSub>
          <m:e>
            <m:r>
              <m:t>L</m:t>
            </m:r>
          </m:e>
          <m:sub>
            <m:r>
              <m:rPr>
                <m:sty m:val="p"/>
              </m:rPr>
              <m:t>s</m:t>
            </m:r>
            <m:r>
              <m:rPr>
                <m:sty m:val="p"/>
              </m:rPr>
              <m:t>p</m:t>
            </m:r>
            <m:r>
              <m:rPr>
                <m:sty m:val="p"/>
              </m:rPr>
              <m:t>e</m:t>
            </m:r>
            <m:r>
              <m:rPr>
                <m:sty m:val="p"/>
              </m:rPr>
              <m:t>c</m:t>
            </m:r>
          </m:sub>
        </m:sSub>
      </m:oMath>
      <w:r>
        <w:t xml:space="preserve"> </w:t>
      </w:r>
      <w:r>
        <w:t xml:space="preserve">的 Ours 模型在 SSIM 上表现更优（0.8837 vs 0.8410），验证了频域约束对结构保持的鲁棒性贡献。</w:t>
      </w:r>
    </w:p>
    <w:bookmarkEnd w:id="29"/>
    <w:bookmarkStart w:id="30" w:name="视野受限下的空间重建能力-crop-capability-scan"/>
    <w:p>
      <w:pPr>
        <w:pStyle w:val="3"/>
      </w:pPr>
      <w:r>
        <w:t xml:space="preserve">4.2.5 视野受限下的空间重建能力 (Crop Capability Scan)</w:t>
      </w:r>
    </w:p>
    <w:p>
      <w:pPr>
        <w:pStyle w:val="11"/>
      </w:pPr>
      <w:r>
        <w:t xml:space="preserve">为探究模型在极端视野缺失下的重建极限，我们对 UNet 架构进行了从 112×112 (76.5% 观测) 到 1×1 (0.006% 观测) 的全范围扫描实验。同时，为了验证深层残差网络在 Inpainting 任务中的优势，我们对比了 EDSR、PartialConvUNet 在典型稀疏场景下的表现（见表 4-5）。</w:t>
      </w:r>
    </w:p>
    <w:p>
      <w:pPr>
        <w:pStyle w:val="11"/>
      </w:pPr>
      <w:r>
        <w:rPr>
          <w:bCs/>
          <w:b/>
        </w:rPr>
        <w:t xml:space="preserve">表 4-5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EDSR</w:t>
            </w:r>
            <w:r>
              <w:t xml:space="preserve"> </w:t>
            </w:r>
            <w:r>
              <w:t xml:space="preserve">PSNR</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rPr>
                <w:bCs/>
                <w:b/>
              </w:rPr>
              <w:t xml:space="preserve">0.1096</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0.6289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rPr>
                <w:bCs/>
                <w:b/>
              </w:rPr>
              <w:t xml:space="preserve">0.1097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0.8919</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rPr>
                <w:bCs/>
                <w:b/>
              </w:rPr>
              <w:t xml:space="preserve">0.1095</w:t>
            </w:r>
          </w:p>
        </w:tc>
        <w:tc>
          <w:tcPr/>
          <w:p>
            <w:pPr>
              <w:pStyle w:val="Compact"/>
              <w:jc w:val="center"/>
            </w:pPr>
            <w:r>
              <w:t xml:space="preserve">0.9473</w:t>
            </w:r>
            <m:oMath>
              <m:sSup>
                <m:e>
                  <m:r>
                    <m:t>​</m:t>
                  </m:r>
                </m:e>
                <m:sup>
                  <m:r>
                    <m:rPr>
                      <m:sty m:val="p"/>
                    </m:rPr>
                    <m:t>†</m:t>
                  </m:r>
                </m:sup>
              </m:sSup>
            </m:oMath>
          </w:p>
        </w:tc>
        <w:tc>
          <w:tcPr/>
          <w:p>
            <w:pPr>
              <w:pStyle w:val="Compact"/>
              <w:jc w:val="center"/>
            </w:pPr>
            <w:r>
              <w:t xml:space="preserve">16.87</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0.9692</w:t>
            </w:r>
          </w:p>
        </w:tc>
        <w:tc>
          <w:tcPr/>
          <w:p>
            <w:pPr>
              <w:pStyle w:val="Compact"/>
              <w:jc w:val="center"/>
            </w:pPr>
            <w:r>
              <w:t xml:space="preserve">0.9792</w:t>
            </w:r>
          </w:p>
        </w:tc>
        <w:tc>
          <w:tcPr/>
          <w:p>
            <w:pPr>
              <w:pStyle w:val="Compact"/>
              <w:jc w:val="center"/>
            </w:pPr>
            <w:r>
              <w:t xml:space="preserve">16.58</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w:t>
            </w:r>
          </w:p>
        </w:tc>
        <w:tc>
          <w:tcPr/>
          <w:p>
            <w:pPr>
              <w:pStyle w:val="Compact"/>
              <w:jc w:val="center"/>
            </w:pPr>
            <w:r>
              <w:t xml:space="preserve">0.9875</w:t>
            </w:r>
          </w:p>
        </w:tc>
        <w:tc>
          <w:tcPr/>
          <w:p>
            <w:pPr>
              <w:pStyle w:val="Compact"/>
              <w:jc w:val="center"/>
            </w:pPr>
            <w:r>
              <w:t xml:space="preserve">16.50</w:t>
            </w:r>
          </w:p>
        </w:tc>
        <w:tc>
          <w:tcPr/>
          <w:p>
            <w:pPr>
              <w:pStyle w:val="Compact"/>
              <w:jc w:val="center"/>
            </w:pPr>
            <w:r>
              <w:t xml:space="preserve">-</w:t>
            </w:r>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w:t>
            </w:r>
          </w:p>
        </w:tc>
        <w:tc>
          <w:tcPr/>
          <w:p>
            <w:pPr>
              <w:pStyle w:val="Compact"/>
              <w:jc w:val="center"/>
            </w:pPr>
            <w:r>
              <w:t xml:space="preserve">0.9922</w:t>
            </w:r>
          </w:p>
        </w:tc>
        <w:tc>
          <w:tcPr/>
          <w:p>
            <w:pPr>
              <w:pStyle w:val="Compact"/>
              <w:jc w:val="center"/>
            </w:pPr>
            <w:r>
              <w:t xml:space="preserve">16.46</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0.9950</w:t>
            </w:r>
          </w:p>
        </w:tc>
        <w:tc>
          <w:tcPr/>
          <w:p>
            <w:pPr>
              <w:pStyle w:val="Compact"/>
              <w:jc w:val="center"/>
            </w:pPr>
            <w:r>
              <w:t xml:space="preserve">0.9948</w:t>
            </w:r>
          </w:p>
        </w:tc>
        <w:tc>
          <w:tcPr/>
          <w:p>
            <w:pPr>
              <w:pStyle w:val="Compact"/>
              <w:jc w:val="center"/>
            </w:pPr>
            <w:r>
              <w:t xml:space="preserve">16.44</w:t>
            </w:r>
          </w:p>
        </w:tc>
        <w:tc>
          <w:tcPr/>
          <w:p>
            <w:pPr>
              <w:pStyle w:val="Compact"/>
              <w:jc w:val="center"/>
            </w:pPr>
            <w:r>
              <w:t xml:space="preserve">-</w:t>
            </w:r>
          </w:p>
        </w:tc>
      </w:tr>
    </w:tbl>
    <w:p>
      <w:pPr>
        <w:pStyle w:val="11"/>
      </w:pPr>
      <w:r>
        <w:rPr>
          <w:bCs/>
          <w:b/>
        </w:rPr>
        <w:t xml:space="preserve">结果分析</w:t>
      </w:r>
      <w:r>
        <w:t xml:space="preserve">：</w:t>
      </w:r>
      <w:r>
        <w:t xml:space="preserve"> </w:t>
      </w:r>
      <w:r>
        <w:t xml:space="preserve">1.</w:t>
      </w:r>
      <w:r>
        <w:t xml:space="preserve"> </w:t>
      </w:r>
      <w:r>
        <w:rPr>
          <w:bCs/>
          <w:b/>
        </w:rPr>
        <w:t xml:space="preserve">UNet 的惊人鲁棒性</w:t>
      </w:r>
      <w:r>
        <w:t xml:space="preserve">：实验结果呈现出极具冲击力的对比——简单的全卷积 UNet 在 Size 112、64 甚至 32 的部分实验中展现出了极高的重建精度 (Rel-L2 ~0.11)，远超结构更复杂的 EDSR 和 PartialConvUNet。这表明 UNet 的</w:t>
      </w:r>
      <w:r>
        <w:rPr>
          <w:bCs/>
          <w:b/>
        </w:rPr>
        <w:t xml:space="preserve">跳跃连接 (Skip Connections)</w:t>
      </w:r>
      <w:r>
        <w:t xml:space="preserve"> </w:t>
      </w:r>
      <w:r>
        <w:t xml:space="preserve">机制在将稀疏的观测边界信息传递到缺失区域（Inpainting）时具有不可替代的优势。</w:t>
      </w:r>
      <w:r>
        <w:t xml:space="preserve"> </w:t>
      </w:r>
      <w:r>
        <w:t xml:space="preserve">2.</w:t>
      </w:r>
      <w:r>
        <w:t xml:space="preserve"> </w:t>
      </w:r>
      <w:r>
        <w:rPr>
          <w:bCs/>
          <w:b/>
        </w:rPr>
        <w:t xml:space="preserve">深层网络的过拟合风险</w:t>
      </w:r>
      <w:r>
        <w:t xml:space="preserve">：相比之下，EDSR（标注</w:t>
      </w:r>
      <w:r>
        <w:t xml:space="preserve"> </w:t>
      </w:r>
      <m:oMath>
        <m:sSup>
          <m:e>
            <m:r>
              <m:t>​</m:t>
            </m:r>
          </m:e>
          <m:sup>
            <m:r>
              <m:rPr>
                <m:sty m:val="p"/>
              </m:rPr>
              <m:t>†</m:t>
            </m:r>
          </m:sup>
        </m:sSup>
      </m:oMath>
      <w:r>
        <w:t xml:space="preserve">）和 PartialConvUNet（标注</w:t>
      </w:r>
      <w:r>
        <w:t xml:space="preserve"> </w:t>
      </w:r>
      <m:oMath>
        <m:sSup>
          <m:e>
            <m:r>
              <m:t>​</m:t>
            </m:r>
          </m:e>
          <m:sup>
            <m:r>
              <m:rPr>
                <m:sty m:val="p"/>
              </m:rPr>
              <m:t>†</m:t>
            </m:r>
          </m:sup>
        </m:sSup>
      </m:oMath>
      <w:r>
        <w:t xml:space="preserve">）在多数 Crop 任务中遭遇了训练崩塌（Rel-L2 &gt; 0.8）。EDSR 的深层残差结构虽然在 SR 任务（均匀下采样）中表现优异，但在 Crop 任务（大面积连续缺失）中，由于缺乏长程的特征传递机制（如 Skip Connection），难以有效推断中心缺失区域的内容。</w:t>
      </w:r>
      <w:r>
        <w:t xml:space="preserve"> </w:t>
      </w:r>
      <w:r>
        <w:t xml:space="preserve">3.</w:t>
      </w:r>
      <w:r>
        <w:t xml:space="preserve"> </w:t>
      </w:r>
      <w:r>
        <w:rPr>
          <w:bCs/>
          <w:b/>
        </w:rPr>
        <w:t xml:space="preserve">PartialConv 的失效</w:t>
      </w:r>
      <w:r>
        <w:t xml:space="preserve">：PartialConvUNet 的完全失效（Rel-L2=1.0）进一步证实了针对图像修复设计的“掩码更新”机制并不适用于遵循严格物理守恒律（如能量守恒）的流体场重建。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0.96），这标志着物理信息的可重建极限。</w:t>
      </w:r>
    </w:p>
    <w:bookmarkEnd w:id="30"/>
    <w:bookmarkStart w:id="31" w:name="可视化分析-qualitative-analysis"/>
    <w:p>
      <w:pPr>
        <w:pStyle w:val="3"/>
      </w:pPr>
      <w:r>
        <w:t xml:space="preserve">4.2.6 可视化分析 (Qualitative Analysis)</w:t>
      </w:r>
    </w:p>
    <w:p>
      <w:pPr>
        <w:pStyle w:val="11"/>
      </w:pPr>
      <w:r>
        <w:t xml:space="preserve">为直观评估重建质量，图 4-1 展示了典型测试样本的重建结果。</w:t>
      </w:r>
    </w:p>
    <w:tbl>
      <w:tblPr>
        <w:tblStyle w:val="FigureTable"/>
        <w:tblW w:type="auto" w:w="0"/>
        <w:tblLook w:firstRow="0" w:lastRow="0" w:firstColumn="0" w:lastColumn="0"/>
        <w:jc w:val="center"/>
      </w:tblPr>
      <w:tblGrid>
        <w:gridCol w:w="7920"/>
      </w:tblGrid>
      <w:tr>
        <w:tc>
          <w:tcPr/>
          <w:p>
            <w:pPr>
              <w:pStyle w:val="Compact"/>
              <w:jc w:val="center"/>
            </w:pPr>
            <w:r>
              <w:t xml:space="preserve">图 4-1: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tc>
      </w:tr>
    </w:tbl>
    <w:p>
      <w:pPr>
        <w:pStyle w:val="ImageCaption"/>
      </w:pPr>
      <w:r>
        <w:t xml:space="preserve">图 4-1: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13"/>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13"/>
        </w:numPr>
        <w:pStyle w:val="Compact"/>
      </w:pPr>
      <w:r>
        <w:rPr>
          <w:bCs/>
          <w:b/>
        </w:rPr>
        <w:t xml:space="preserve">物理一致性</w:t>
      </w:r>
      <w:r>
        <w:t xml:space="preserve">：功率谱分析显示，Ours 在低频段与 GT 高度重合，而 UNet 在高频段存在明显的能量衰减，这与 fRMSE 指标一致。</w:t>
      </w:r>
    </w:p>
    <w:tbl>
      <w:tblPr>
        <w:tblStyle w:val="FigureTable"/>
        <w:tblW w:type="auto" w:w="0"/>
        <w:tblLook w:firstRow="0" w:lastRow="0" w:firstColumn="0" w:lastColumn="0"/>
        <w:jc w:val="center"/>
      </w:tblPr>
      <w:tblGrid>
        <w:gridCol w:w="7920"/>
      </w:tblGrid>
      <w:tr>
        <w:tc>
          <w:tcPr/>
          <w:p>
            <w:pPr>
              <w:pStyle w:val="Compact"/>
              <w:jc w:val="center"/>
            </w:pPr>
            <w:r>
              <w:t xml:space="preserve">图 4-2: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模型（红色）能够有效保持物理场的多尺度能量分布，与真实场（黑色）高度重合。</w:t>
            </w:r>
          </w:p>
        </w:tc>
      </w:tr>
    </w:tbl>
    <w:p>
      <w:pPr>
        <w:pStyle w:val="ImageCaption"/>
      </w:pPr>
      <w:r>
        <w:t xml:space="preserve">图 4-2: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模型（红色）能够有效保持物理场的多尺度能量分布，与真实场（黑色）高度重合。</w:t>
      </w:r>
    </w:p>
    <w:p>
      <w:pPr>
        <w:numPr>
          <w:ilvl w:val="0"/>
          <w:numId w:val="1014"/>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r>
        <w:pict>
          <v:rect style="width:0;height:1.5pt" o:hralign="center" o:hrstd="t" o:hr="t"/>
        </w:pict>
      </w:r>
    </w:p>
    <w:bookmarkEnd w:id="31"/>
    <w:bookmarkEnd w:id="32"/>
    <w:bookmarkStart w:id="36" w:name="核心机制分析-mechanism-analysis"/>
    <w:p>
      <w:pPr>
        <w:pStyle w:val="2"/>
      </w:pPr>
      <w:r>
        <w:t xml:space="preserve">4.3 核心机制分析 (Mechanism Analysis)</w:t>
      </w:r>
    </w:p>
    <w:bookmarkStart w:id="33" w:name="口径一致性的作用dc-equiv-h-vs-dc-neq-h"/>
    <w:p>
      <w:pPr>
        <w:pStyle w:val="3"/>
      </w:pPr>
      <w:r>
        <w:t xml:space="preserve">4.3.1 口径一致性的作用：</w:t>
      </w:r>
      <m:oMath>
        <m:r>
          <m:t>D</m:t>
        </m:r>
        <m:r>
          <m:t>C</m:t>
        </m:r>
        <m:r>
          <m:rPr>
            <m:sty m:val="p"/>
          </m:rPr>
          <m:t>≡</m:t>
        </m:r>
        <m:r>
          <m:t>H</m:t>
        </m:r>
      </m:oMath>
      <w:r>
        <w:t xml:space="preserve"> </w:t>
      </w:r>
      <w:r>
        <w:t xml:space="preserve">vs</w:t>
      </w:r>
      <w:r>
        <w:t xml:space="preserve"> </w:t>
      </w:r>
      <m:oMath>
        <m:r>
          <m:t>D</m:t>
        </m:r>
        <m:r>
          <m:t>C</m:t>
        </m:r>
        <m:r>
          <m:rPr>
            <m:sty m:val="p"/>
          </m:rPr>
          <m:t>≠</m:t>
        </m:r>
        <m:r>
          <m:t>H</m:t>
        </m:r>
      </m:oMath>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4-5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p>
        </w:tc>
        <w:tc>
          <w:tcPr/>
          <w:p>
            <w:pPr>
              <w:pStyle w:val="Compact"/>
              <w:jc w:val="center"/>
            </w:pPr>
            <m:oMath>
              <m:sSub>
                <m:e>
                  <m:r>
                    <m:t>σ</m:t>
                  </m:r>
                </m:e>
                <m:sub>
                  <m:r>
                    <m:rPr>
                      <m:nor/>
                      <m:sty m:val="p"/>
                    </m:rPr>
                    <m:t>test</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w:t>
      </w:r>
      <w:r>
        <w:t xml:space="preserve"> </w:t>
      </w:r>
      <w:r>
        <w:t xml:space="preserve">* Rel-L2 衡量的是解</w:t>
      </w:r>
      <w:r>
        <w:t xml:space="preserve"> </w:t>
      </w:r>
      <m:oMath>
        <m:acc>
          <m:accPr>
            <m:chr m:val="̂"/>
          </m:accPr>
          <m:e>
            <m:r>
              <m:t>u</m:t>
            </m:r>
          </m:e>
        </m:acc>
      </m:oMath>
      <w:r>
        <w:t xml:space="preserve"> </w:t>
      </w:r>
      <w:r>
        <w:t xml:space="preserve">在全空间中与真值</w:t>
      </w:r>
      <w:r>
        <w:t xml:space="preserve"> </w:t>
      </w:r>
      <m:oMath>
        <m:r>
          <m:t>u</m:t>
        </m:r>
      </m:oMath>
      <w:r>
        <w:t xml:space="preserve"> </w:t>
      </w:r>
      <w:r>
        <w:t xml:space="preserve">的距离，由数据的主成分（低频轮廓）主导。</w:t>
      </w:r>
      <w:r>
        <w:t xml:space="preserve"> </w:t>
      </w:r>
      <w:r>
        <w:t xml:space="preserve">*</w:t>
      </w:r>
      <w:r>
        <w:t xml:space="preserve"> </w:t>
      </w:r>
      <m:oMath>
        <m:sSub>
          <m:e>
            <m:r>
              <m:t>H</m:t>
            </m:r>
          </m:e>
          <m:sub>
            <m:r>
              <m:rPr>
                <m:sty m:val="p"/>
              </m:rPr>
              <m:t>e</m:t>
            </m:r>
            <m:r>
              <m:rPr>
                <m:sty m:val="p"/>
              </m:rPr>
              <m:t>r</m:t>
            </m:r>
            <m:r>
              <m:rPr>
                <m:sty m:val="p"/>
              </m:rPr>
              <m:t>r</m:t>
            </m:r>
          </m:sub>
        </m:sSub>
      </m:oMath>
      <w:r>
        <w:t xml:space="preserve"> </w:t>
      </w:r>
      <w:r>
        <w:t xml:space="preserve">衡量的是解</w:t>
      </w:r>
      <w:r>
        <w:t xml:space="preserve"> </w:t>
      </w:r>
      <m:oMath>
        <m:acc>
          <m:accPr>
            <m:chr m:val="̂"/>
          </m:accPr>
          <m:e>
            <m:r>
              <m:t>u</m:t>
            </m:r>
          </m:e>
        </m:acc>
      </m:oMath>
      <w:r>
        <w:t xml:space="preserve"> </w:t>
      </w:r>
      <w:r>
        <w:t xml:space="preserve">到真实观测流形</w:t>
      </w:r>
      <w:r>
        <w:t xml:space="preserve"> </w:t>
      </w:r>
      <m:oMath>
        <m:sSub>
          <m:e>
            <m:r>
              <m:rPr>
                <m:sty m:val="p"/>
                <m:scr m:val="script"/>
              </m:rPr>
              <m:t>M</m:t>
            </m:r>
          </m:e>
          <m:sub>
            <m:r>
              <m:t>H</m:t>
            </m:r>
          </m:sub>
        </m:sSub>
      </m:oMath>
      <w:r>
        <w:t xml:space="preserve"> </w:t>
      </w:r>
      <w:r>
        <w:t xml:space="preserve">的距离。</w:t>
      </w:r>
    </w:p>
    <w:p>
      <w:pPr>
        <w:pStyle w:val="11"/>
      </w:pPr>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r>
          <m:rPr>
            <m:sty m:val="p"/>
          </m:rPr>
          <m:t>=</m:t>
        </m:r>
        <m:r>
          <m:rPr>
            <m:sty m:val="p"/>
          </m:rPr>
          <m:t>{</m:t>
        </m:r>
        <m:r>
          <m:t>u</m:t>
        </m:r>
        <m:r>
          <m:rPr>
            <m:sty m:val="p"/>
          </m:rPr>
          <m:t>|</m:t>
        </m:r>
        <m:r>
          <m:t>D</m:t>
        </m:r>
        <m:r>
          <m:t>C</m:t>
        </m:r>
        <m:d>
          <m:dPr>
            <m:begChr m:val="("/>
            <m:endChr m:val=")"/>
            <m:sepChr m:val=""/>
            <m:grow/>
          </m:dPr>
          <m:e>
            <m:r>
              <m:t>u</m:t>
            </m:r>
          </m:e>
        </m:d>
        <m:r>
          <m:rPr>
            <m:sty m:val="p"/>
          </m:rPr>
          <m:t>=</m:t>
        </m:r>
        <m:r>
          <m:t>y</m:t>
        </m:r>
        <m:r>
          <m:rPr>
            <m:sty m:val="p"/>
          </m:rPr>
          <m:t>}</m:t>
        </m:r>
      </m:oMath>
      <w:r>
        <w:t xml:space="preserve"> </w:t>
      </w:r>
      <w:r>
        <w:t xml:space="preserve">上。由于</w:t>
      </w:r>
      <w:r>
        <w:t xml:space="preserve"> </w:t>
      </w:r>
      <m:oMath>
        <m:sSub>
          <m:e>
            <m:r>
              <m:rPr>
                <m:sty m:val="p"/>
                <m:scr m:val="script"/>
              </m:rPr>
              <m:t>M</m:t>
            </m:r>
          </m:e>
          <m:sub>
            <m:r>
              <m:t>D</m:t>
            </m:r>
            <m:r>
              <m:t>C</m:t>
            </m:r>
          </m:sub>
        </m:sSub>
      </m:oMath>
      <w:r>
        <w:t xml:space="preserve"> </w:t>
      </w:r>
      <w:r>
        <w:t xml:space="preserve">与</w:t>
      </w:r>
      <w:r>
        <w:t xml:space="preserve"> </w:t>
      </w:r>
      <m:oMath>
        <m:sSub>
          <m:e>
            <m:r>
              <m:rPr>
                <m:sty m:val="p"/>
                <m:scr m:val="script"/>
              </m:rPr>
              <m:t>M</m:t>
            </m:r>
          </m:e>
          <m:sub>
            <m:r>
              <m:t>H</m:t>
            </m:r>
          </m:sub>
        </m:sSub>
      </m:oMath>
      <w:r>
        <w:t xml:space="preserve"> </w:t>
      </w:r>
      <w:r>
        <w:t xml:space="preserve">并不重合，模型在优化过程中发生了</w:t>
      </w:r>
      <w:r>
        <w:rPr>
          <w:bCs/>
          <w:b/>
        </w:rPr>
        <w:t xml:space="preserve">“</w:t>
      </w:r>
      <w:r>
        <w:rPr>
          <w:bCs/>
          <w:b/>
        </w:rPr>
        <w:t xml:space="preserve">约束流形漂移 (Constraint Manifold Drift)</w:t>
      </w:r>
      <w:r>
        <w:rPr>
          <w:bCs/>
          <w:b/>
        </w:rPr>
        <w:t xml:space="preserve">”</w:t>
      </w:r>
      <w:r>
        <w:t xml:space="preserve">。虽然模型恢复了大尺度的物理结构（Rel-L2 保持低位），但在观测子空间内产生了系统性的偏差（导致</w:t>
      </w:r>
      <w:r>
        <w:t xml:space="preserve"> </w:t>
      </w:r>
      <m:oMath>
        <m:sSub>
          <m:e>
            <m:r>
              <m:t>H</m:t>
            </m:r>
          </m:e>
          <m:sub>
            <m:r>
              <m:rPr>
                <m:sty m:val="p"/>
              </m:rPr>
              <m:t>e</m:t>
            </m:r>
            <m:r>
              <m:rPr>
                <m:sty m:val="p"/>
              </m:rPr>
              <m:t>r</m:t>
            </m:r>
            <m:r>
              <m:rPr>
                <m:sty m:val="p"/>
              </m:rPr>
              <m:t>r</m:t>
            </m:r>
          </m:sub>
        </m:sSub>
      </m:oMath>
      <w:r>
        <w:t xml:space="preserve"> </w:t>
      </w:r>
      <w:r>
        <w:t xml:space="preserve">爆炸）。这种</w:t>
      </w:r>
      <w:r>
        <w:rPr>
          <w:bCs/>
          <w:b/>
        </w:rPr>
        <w:t xml:space="preserve">“</w:t>
      </w:r>
      <w:r>
        <w:rPr>
          <w:bCs/>
          <w:b/>
        </w:rPr>
        <w:t xml:space="preserve">看起来对，但测起来错</w:t>
      </w:r>
      <w:r>
        <w:rPr>
          <w:bCs/>
          <w:b/>
        </w:rPr>
        <w:t xml:space="preserve">”</w:t>
      </w:r>
      <w:r>
        <w:t xml:space="preserve">的解，在数字孪生闭环控制中是极度危险的，因为它会误导数据同化系统产生错误的反馈增益。</w:t>
      </w:r>
    </w:p>
    <w:bookmarkEnd w:id="33"/>
    <w:bookmarkStart w:id="34" w:name="序列化训练的必要性"/>
    <w:p>
      <w:pPr>
        <w:pStyle w:val="3"/>
      </w:pPr>
      <w:r>
        <w:t xml:space="preserve">4.3.2 序列化训练的必要性</w:t>
      </w:r>
    </w:p>
    <w:p>
      <w:pPr>
        <w:pStyle w:val="11"/>
      </w:pPr>
      <w:r>
        <w:t xml:space="preserve">针对时空联合建模难优化的问题，对比了“分步序列化训练 (Stage 2)”与“全参数联合微调 (Stage 3)”两种策略的效果。</w:t>
      </w:r>
    </w:p>
    <w:p>
      <w:pPr>
        <w:pStyle w:val="11"/>
      </w:pPr>
      <w:r>
        <w:rPr>
          <w:bCs/>
          <w:b/>
        </w:rPr>
        <w:t xml:space="preserve">表 4-6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w:t>
      </w:r>
      <w:r>
        <w:t xml:space="preserve"> </w:t>
      </w:r>
      <w:r>
        <w:t xml:space="preserve">*</w:t>
      </w:r>
      <w:r>
        <w:t xml:space="preserve"> </w:t>
      </w:r>
      <w:r>
        <w:rPr>
          <w:bCs/>
          <w:b/>
        </w:rPr>
        <w:t xml:space="preserve">精度与稳定性的权衡</w:t>
      </w:r>
      <w:r>
        <w:t xml:space="preserve">：实验发现，在 Stage 2 (冻结空间骨干) 的基础上进行 Stage 3 (全参数解冻微调)，虽然全场误差指标 (Rel-L2, PSNR) 略有回撤，但结构性指标 (SSIM) 和高频误差 (fRMSE-High) 取得了显著改善。</w:t>
      </w:r>
      <w:r>
        <w:t xml:space="preserve"> </w:t>
      </w:r>
      <w:r>
        <w:t xml:space="preserve">*</w:t>
      </w:r>
      <w:r>
        <w:t xml:space="preserve"> </w:t>
      </w:r>
      <w:r>
        <w:rPr>
          <w:bCs/>
          <w:b/>
        </w:rPr>
        <w:t xml:space="preserve">高频细节的代价</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2.46)。这表明联合微调对于恢复湍流中的微小涡旋结构至关重要，尽管这可能会引入一些低频的统计漂移（导致 PSNR 下降）。</w:t>
      </w:r>
      <w:r>
        <w:t xml:space="preserve"> </w:t>
      </w:r>
      <w:r>
        <w:t xml:space="preserve">*</w:t>
      </w:r>
      <w:r>
        <w:t xml:space="preserve"> </w:t>
      </w:r>
      <w:r>
        <w:rPr>
          <w:bCs/>
          <w:b/>
        </w:rPr>
        <w:t xml:space="preserve">工程建议</w:t>
      </w:r>
      <w:r>
        <w:t xml:space="preserve">：对于追求数值精度的应用（如气候预测），Stage 2 可能是性价比最高的终点；而对于追求视觉保真度和精细结构的应用（如流场超分可视化），建议进行 Stage 3 微调。</w:t>
      </w:r>
    </w:p>
    <w:bookmarkEnd w:id="34"/>
    <w:bookmarkStart w:id="35" w:name="X83b5ee8bb04975b21979d6be08b4cdfeb3bc708"/>
    <w:p>
      <w:pPr>
        <w:pStyle w:val="3"/>
      </w:pPr>
      <w:r>
        <w:t xml:space="preserve">4.3.3 空间重建的必要性分析 (Necessity of Spatial Reconstruction)</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4-7）：</w:t>
      </w:r>
    </w:p>
    <w:p>
      <w:pPr>
        <w:pStyle w:val="11"/>
      </w:pPr>
      <w:r>
        <w:rPr>
          <w:bCs/>
          <w:b/>
        </w:rPr>
        <w:t xml:space="preserve">表 4-7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p>
      <w:pPr>
        <w:pStyle w:val="11"/>
      </w:pPr>
      <w:r>
        <w:rPr>
          <w:bCs/>
          <w:b/>
        </w:rPr>
        <w:t xml:space="preserve">结论</w:t>
      </w:r>
      <w:r>
        <w:t xml:space="preserve">：实验表明，空间重建是防止时空模型崩溃的“安全阀”。当空间结构不可辨识时，强力时序模型（VideoSwin）也无法捕捉演化规律；一旦引入 EDSR 恢复空间结构，模型即可容忍极大的时间稀疏度（Stride 10）。</w:t>
      </w:r>
    </w:p>
    <w:p>
      <w:r>
        <w:pict>
          <v:rect style="width:0;height:1.5pt" o:hralign="center" o:hrstd="t" o:hr="t"/>
        </w:pict>
      </w:r>
    </w:p>
    <w:bookmarkEnd w:id="35"/>
    <w:bookmarkEnd w:id="36"/>
    <w:bookmarkStart w:id="41" w:name="消融实验-ablation-study"/>
    <w:p>
      <w:pPr>
        <w:pStyle w:val="2"/>
      </w:pPr>
      <w:r>
        <w:t xml:space="preserve">4.4 消融实验 (Ablation Study)</w:t>
      </w:r>
    </w:p>
    <w:bookmarkStart w:id="37" w:name="损失函数组件贡献"/>
    <w:p>
      <w:pPr>
        <w:pStyle w:val="3"/>
      </w:pPr>
      <w:r>
        <w:t xml:space="preserve">4.4.1 损失函数组件贡献</w:t>
      </w:r>
    </w:p>
    <w:p>
      <w:pPr>
        <w:pStyle w:val="11"/>
      </w:pPr>
      <w:r>
        <w:t xml:space="preserve">为验证“三件套损失”的有效性，在 UNet（通用基线）与 EDSR（专用基线）上分别进行消融。采用</w:t>
      </w:r>
      <w:r>
        <w:t xml:space="preserve"> </w:t>
      </w:r>
      <w:r>
        <w:rPr>
          <w:bCs/>
          <w:b/>
        </w:rPr>
        <w:t xml:space="preserve">Component-wise Ablation</w:t>
      </w:r>
      <w:r>
        <w:t xml:space="preserve"> </w:t>
      </w:r>
      <w:r>
        <w:t xml:space="preserve">方法，逐步叠加损失项。</w:t>
      </w:r>
    </w:p>
    <w:p>
      <w:pPr>
        <w:pStyle w:val="11"/>
      </w:pPr>
      <w:r>
        <w:rPr>
          <w:bCs/>
          <w:b/>
        </w:rPr>
        <w:t xml:space="preserve">表 4-9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物理感知损失对弱骨干的“救赎”</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56%）。这表明物理约束能有效弥补模型归纳偏置的不足，强行将解空间拉回到物理流形附近。</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变化微乎其微（0.0046</w:t>
      </w:r>
      <w:r>
        <w:t xml:space="preserve"> </w:t>
      </w:r>
      <m:oMath>
        <m:r>
          <m:rPr>
            <m:sty m:val="p"/>
          </m:rPr>
          <m:t>→</m:t>
        </m:r>
      </m:oMath>
      <w:r>
        <w:t xml:space="preserve"> </w:t>
      </w:r>
      <w:r>
        <w:t xml:space="preserve">0.0047）。这揭示了一个深刻的现象：</w:t>
      </w:r>
      <w:r>
        <w:rPr>
          <w:bCs/>
          <w:b/>
        </w:rPr>
        <w:t xml:space="preserve">优秀的残差网络架构本身就具备极强的拟合观测数据的能力</w:t>
      </w:r>
      <w:r>
        <w:t xml:space="preserve">。此时，引入物理损失（特别是</w:t>
      </w:r>
      <w:r>
        <w:t xml:space="preserve"> </w:t>
      </w:r>
      <m:oMath>
        <m:sSub>
          <m:e>
            <m:r>
              <m:t>L</m:t>
            </m:r>
          </m:e>
          <m:sub>
            <m:r>
              <m:rPr>
                <m:sty m:val="p"/>
              </m:rPr>
              <m:t>s</m:t>
            </m:r>
            <m:r>
              <m:rPr>
                <m:sty m:val="p"/>
              </m:rPr>
              <m:t>p</m:t>
            </m:r>
            <m:r>
              <m:rPr>
                <m:sty m:val="p"/>
              </m:rPr>
              <m:t>e</m:t>
            </m:r>
            <m:r>
              <m:rPr>
                <m:sty m:val="p"/>
              </m:rPr>
              <m:t>c</m:t>
            </m:r>
          </m:sub>
        </m:sSub>
      </m:oMath>
      <w:r>
        <w:t xml:space="preserve">）的价值不在于进一步压低观测点误差，而在于</w:t>
      </w:r>
      <w:r>
        <w:rPr>
          <w:bCs/>
          <w:b/>
        </w:rPr>
        <w:t xml:space="preserve">规范未观测区域（Unobserved Region）的物理行为</w:t>
      </w:r>
      <w:r>
        <w:t xml:space="preserve">，防止频谱泄露和非物理的高频噪声堆积，从而提升泛化时的鲁棒性。</w:t>
      </w:r>
    </w:p>
    <w:bookmarkEnd w:id="37"/>
    <w:bookmarkStart w:id="38" w:name="骨干网络架构影响"/>
    <w:p>
      <w:pPr>
        <w:pStyle w:val="3"/>
      </w:pPr>
      <w:r>
        <w:t xml:space="preserve">4.4.2 骨干网络架构影响</w:t>
      </w:r>
    </w:p>
    <w:p>
      <w:pPr>
        <w:pStyle w:val="11"/>
      </w:pPr>
      <w:r>
        <w:t xml:space="preserve">回顾表 4-1 与 4-2，架构的</w:t>
      </w:r>
      <w:r>
        <w:rPr>
          <w:bCs/>
          <w:b/>
        </w:rPr>
        <w:t xml:space="preserve">归纳偏置</w:t>
      </w:r>
      <w:r>
        <w:t xml:space="preserve">起决定性作用：</w:t>
      </w:r>
      <w:r>
        <w:t xml:space="preserve"> </w:t>
      </w:r>
      <w:r>
        <w:t xml:space="preserve">*</w:t>
      </w:r>
      <w:r>
        <w:t xml:space="preserve"> </w:t>
      </w:r>
      <w:r>
        <w:rPr>
          <w:bCs/>
          <w:b/>
        </w:rPr>
        <w:t xml:space="preserve">ResNet (EDSR)</w:t>
      </w:r>
      <w:r>
        <w:t xml:space="preserve">：深层残差极其适合网格数据的数值回归，是高精度重建的首选。</w:t>
      </w:r>
      <w:r>
        <w:t xml:space="preserve"> </w:t>
      </w:r>
      <w:r>
        <w:t xml:space="preserve">*</w:t>
      </w:r>
      <w:r>
        <w:t xml:space="preserve"> </w:t>
      </w:r>
      <w:r>
        <w:rPr>
          <w:bCs/>
          <w:b/>
        </w:rPr>
        <w:t xml:space="preserve">Transformer</w:t>
      </w:r>
      <w:r>
        <w:t xml:space="preserve">：在极度稀疏或非规则网格上潜力大，但在标准 SR 任务中受限于数据量，收敛效率不如 CNN。</w:t>
      </w:r>
      <w:r>
        <w:t xml:space="preserve"> </w:t>
      </w:r>
      <w:r>
        <w:t xml:space="preserve">*</w:t>
      </w:r>
      <w:r>
        <w:t xml:space="preserve"> </w:t>
      </w:r>
      <w:r>
        <w:rPr>
          <w:bCs/>
          <w:b/>
        </w:rPr>
        <w:t xml:space="preserve">Operator</w:t>
      </w:r>
      <w:r>
        <w:t xml:space="preserve">：在跨分辨率泛化上具有理论优势，但在固定分辨率的 Benchmark 上，其参数效率（Params vs Accuracy）略逊于精细设计的 CNN。</w:t>
      </w:r>
    </w:p>
    <w:bookmarkEnd w:id="38"/>
    <w:bookmarkStart w:id="39" w:name="噪声敏感性分析"/>
    <w:p>
      <w:pPr>
        <w:pStyle w:val="3"/>
      </w:pPr>
      <w:r>
        <w:t xml:space="preserve">4.4.3 噪声敏感性分析</w:t>
      </w:r>
    </w:p>
    <w:p>
      <w:pPr>
        <w:pStyle w:val="11"/>
      </w:pPr>
      <w:r>
        <w:t xml:space="preserve">测试 EDSR 在不同输入噪声水平下的表现。</w:t>
      </w:r>
    </w:p>
    <w:p>
      <w:pPr>
        <w:pStyle w:val="11"/>
      </w:pPr>
      <w:r>
        <w:rPr>
          <w:bCs/>
          <w:b/>
        </w:rPr>
        <w:t xml:space="preserve">表 4-9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w:t>
      </w:r>
      <w:r>
        <w:t xml:space="preserve"> </w:t>
      </w:r>
      <w:r>
        <w:t xml:space="preserve">*</w:t>
      </w:r>
      <w:r>
        <w:t xml:space="preserve"> </w:t>
      </w:r>
      <w:r>
        <w:rPr>
          <w:bCs/>
          <w:b/>
        </w:rPr>
        <w:t xml:space="preserve">低噪下的敏感性</w:t>
      </w:r>
      <w:r>
        <w:t xml:space="preserve">：在微弱噪声（</w:t>
      </w:r>
      <m:oMath>
        <m:sSub>
          <m:e>
            <m:r>
              <m:t>σ</m:t>
            </m:r>
          </m:e>
          <m:sub>
            <m:r>
              <m:t>n</m:t>
            </m:r>
          </m:sub>
        </m:sSub>
        <m:r>
          <m:rPr>
            <m:sty m:val="p"/>
          </m:rPr>
          <m:t>=</m:t>
        </m:r>
        <m:r>
          <m:t>0.01</m:t>
        </m:r>
      </m:oMath>
      <w:r>
        <w:t xml:space="preserve">）下，Rel-L2 从 0.0285 升至 0.0540（约 +90%）。尽管绝对误差仍处于可接受水平，但该现象提示：仅在无噪数据上训练的模型对高频噪声较敏感，可能将噪声误判为高频纹理并在重建中放大。</w:t>
      </w:r>
      <w:r>
        <w:t xml:space="preserve"> </w:t>
      </w:r>
      <w:r>
        <w:t xml:space="preserve">*</w:t>
      </w:r>
      <w:r>
        <w:t xml:space="preserve"> </w:t>
      </w:r>
      <w:r>
        <w:rPr>
          <w:bCs/>
          <w:b/>
        </w:rPr>
        <w:t xml:space="preserve">改进建议</w:t>
      </w:r>
      <w:r>
        <w:t xml:space="preserve">：建议在训练时引入</w:t>
      </w:r>
      <w:r>
        <w:t xml:space="preserve"> </w:t>
      </w:r>
      <w:r>
        <w:rPr>
          <w:bCs/>
          <w:b/>
        </w:rPr>
        <w:t xml:space="preserve">Noise Injection</w:t>
      </w:r>
      <w:r>
        <w:t xml:space="preserve"> </w:t>
      </w:r>
      <w:r>
        <w:t xml:space="preserve">策略以增强鲁棒性。</w:t>
      </w:r>
    </w:p>
    <w:bookmarkEnd w:id="39"/>
    <w:bookmarkStart w:id="40" w:name="跨方程泛化性验证-cross-equation-generalization"/>
    <w:p>
      <w:pPr>
        <w:pStyle w:val="3"/>
      </w:pPr>
      <w:r>
        <w:t xml:space="preserve">4.4.4 跨方程泛化性验证 (Cross-Equation Generalization)</w:t>
      </w:r>
    </w:p>
    <w:p>
      <w:pPr>
        <w:pStyle w:val="11"/>
      </w:pPr>
      <w:r>
        <w:t xml:space="preserve">为验证所提框架是否过拟合于特定的 PDE 类型，我们进一步在</w:t>
      </w:r>
      <w:r>
        <w:t xml:space="preserve"> </w:t>
      </w:r>
      <w:r>
        <w:rPr>
          <w:bCs/>
          <w:b/>
        </w:rPr>
        <w:t xml:space="preserve">2D Darcy Flow</w:t>
      </w:r>
      <w:r>
        <w:t xml:space="preserve">（稳态多孔介质流）数据集上进行了验证。在 SR</w:t>
      </w:r>
      <w:r>
        <w:t xml:space="preserve"> </w:t>
      </w:r>
      <m:oMath>
        <m:r>
          <m:rPr>
            <m:sty m:val="p"/>
          </m:rPr>
          <m:t>×</m:t>
        </m:r>
        <m:r>
          <m:t>4</m:t>
        </m:r>
      </m:oMath>
      <w:r>
        <w:t xml:space="preserve"> </w:t>
      </w:r>
      <w:r>
        <w:t xml:space="preserve">任务下，EDSR 模型依然展现出了极强的收敛能力，取得了</w:t>
      </w:r>
      <w:r>
        <w:t xml:space="preserve"> </w:t>
      </w:r>
      <w:r>
        <w:rPr>
          <w:bCs/>
          <w:b/>
        </w:rPr>
        <w:t xml:space="preserve">0.0013</w:t>
      </w:r>
      <w:r>
        <w:t xml:space="preserve"> </w:t>
      </w:r>
      <w:r>
        <w:t xml:space="preserve">的极低</w:t>
      </w:r>
      <w:r>
        <w:t xml:space="preserve"> </w:t>
      </w:r>
      <m:oMath>
        <m:sSub>
          <m:e>
            <m:r>
              <m:t>H</m:t>
            </m:r>
          </m:e>
          <m:sub>
            <m:r>
              <m:rPr>
                <m:sty m:val="p"/>
              </m:rPr>
              <m:t>e</m:t>
            </m:r>
            <m:r>
              <m:rPr>
                <m:sty m:val="p"/>
              </m:rPr>
              <m:t>r</m:t>
            </m:r>
            <m:r>
              <m:rPr>
                <m:sty m:val="p"/>
              </m:rPr>
              <m:t>r</m:t>
            </m:r>
          </m:sub>
        </m:sSub>
      </m:oMath>
      <w:r>
        <w:t xml:space="preserve">（观测一致性误差）。这一结果表明，</w:t>
      </w:r>
      <w:r>
        <w:t xml:space="preserve">“</w:t>
      </w:r>
      <w:r>
        <w:t xml:space="preserve">统一观测算子 + 残差骨干</w:t>
      </w:r>
      <w:r>
        <w:t xml:space="preserve">”</w:t>
      </w:r>
      <w:r>
        <w:t xml:space="preserve">的范式并非仅针对波动方程（SWE）或反应扩散方程（DRD）有效，而是具备处理不同物理机制（如渗透率场映射）的通用潜力，能够作为一种通用的物理场超分基线。</w:t>
      </w:r>
    </w:p>
    <w:p>
      <w:r>
        <w:pict>
          <v:rect style="width:0;height:1.5pt" o:hralign="center" o:hrstd="t" o:hr="t"/>
        </w:pict>
      </w:r>
    </w:p>
    <w:bookmarkEnd w:id="40"/>
    <w:bookmarkEnd w:id="41"/>
    <w:bookmarkStart w:id="42" w:name="极度稀疏场景探索"/>
    <w:p>
      <w:pPr>
        <w:pStyle w:val="2"/>
      </w:pPr>
      <w:r>
        <w:t xml:space="preserve">4.5 极度稀疏场景探索</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4-10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w:r>
        <w:t xml:space="preserve"> </w:t>
      </w:r>
      <w:r>
        <w:t xml:space="preserve">1.</w:t>
      </w:r>
      <w:r>
        <w:t xml:space="preserve"> </w:t>
      </w:r>
      <w:r>
        <w:rPr>
          <w:bCs/>
          <w:b/>
        </w:rPr>
        <w:t xml:space="preserve">性能相变点</w:t>
      </w:r>
      <w:r>
        <w:t xml:space="preserve">：</w:t>
      </w:r>
      <m:oMath>
        <m:r>
          <m:t>16</m:t>
        </m:r>
        <m:r>
          <m:rPr>
            <m:sty m:val="p"/>
          </m:rPr>
          <m:t>×</m:t>
        </m:r>
        <m:r>
          <m:t>16</m:t>
        </m:r>
      </m:oMath>
      <w:r>
        <w:t xml:space="preserve"> </w:t>
      </w:r>
      <w:r>
        <w:t xml:space="preserve">是物理场结构恢复的分水岭。低于此分辨率，单纯的空间超分已无法提取有效特征。</w:t>
      </w:r>
      <w:r>
        <w:t xml:space="preserve"> </w:t>
      </w:r>
      <w:r>
        <w:t xml:space="preserve">2.</w:t>
      </w:r>
      <w:r>
        <w:t xml:space="preserve"> </w:t>
      </w:r>
      <w:r>
        <w:rPr>
          <w:bCs/>
          <w:b/>
        </w:rPr>
        <w:t xml:space="preserve">“</w:t>
      </w:r>
      <w:r>
        <w:rPr>
          <w:bCs/>
          <w:b/>
        </w:rPr>
        <w:t xml:space="preserve">诚实的退化</w:t>
      </w:r>
      <w:r>
        <w:rPr>
          <w:bCs/>
          <w:b/>
        </w:rPr>
        <w:t xml:space="preserve">”</w:t>
      </w:r>
      <w:r>
        <w:rPr>
          <w:bCs/>
          <w:b/>
        </w:rPr>
        <w:t xml:space="preserve"> </w:t>
      </w:r>
      <w:r>
        <w:rPr>
          <w:bCs/>
          <w:b/>
        </w:rPr>
        <w:t xml:space="preserve">(Honest Degradation)</w:t>
      </w:r>
      <w:r>
        <w:t xml:space="preserve">：通过分析极度稀疏条件下的观测一致性误差，我们发现一个有趣的现象：随着输入尺寸从</w:t>
      </w:r>
      <w:r>
        <w:t xml:space="preserve"> </w:t>
      </w:r>
      <m:oMath>
        <m:r>
          <m:t>32</m:t>
        </m:r>
        <m:r>
          <m:rPr>
            <m:sty m:val="p"/>
          </m:rPr>
          <m:t>×</m:t>
        </m:r>
        <m:r>
          <m:t>32</m:t>
        </m:r>
      </m:oMath>
      <w:r>
        <w:t xml:space="preserve"> </w:t>
      </w:r>
      <w:r>
        <w:t xml:space="preserve">缩减至</w:t>
      </w:r>
      <w:r>
        <w:t xml:space="preserve"> </w:t>
      </w:r>
      <m:oMath>
        <m:r>
          <m:t>1</m:t>
        </m:r>
        <m:r>
          <m:rPr>
            <m:sty m:val="p"/>
          </m:rPr>
          <m:t>×</m:t>
        </m:r>
        <m:r>
          <m:t>1</m:t>
        </m:r>
      </m:oMath>
      <w:r>
        <w:t xml:space="preserve">，尽管全场重建误差</w:t>
      </w:r>
      <w:r>
        <w:t xml:space="preserve"> </w:t>
      </w:r>
      <m:oMath>
        <m:r>
          <m:t>R</m:t>
        </m:r>
        <m:r>
          <m:t>e</m:t>
        </m:r>
        <m:r>
          <m:t>l</m:t>
        </m:r>
        <m:r>
          <m:rPr>
            <m:nor/>
            <m:sty m:val="p"/>
          </m:rPr>
          <m:t>-</m:t>
        </m:r>
        <m:r>
          <m:t>L</m:t>
        </m:r>
        <m:r>
          <m:t>2</m:t>
        </m:r>
      </m:oMath>
      <w:r>
        <w:t xml:space="preserve"> </w:t>
      </w:r>
      <w:r>
        <w:t xml:space="preserve">飙升至</w:t>
      </w:r>
      <w:r>
        <w:t xml:space="preserve"> </w:t>
      </w:r>
      <m:oMath>
        <m:r>
          <m:t>0.97</m:t>
        </m:r>
      </m:oMath>
      <w:r>
        <w:t xml:space="preserve">，但</w:t>
      </w:r>
      <w:r>
        <w:t xml:space="preserve"> </w:t>
      </w:r>
      <m:oMath>
        <m:sSub>
          <m:e>
            <m:r>
              <m:t>H</m:t>
            </m:r>
          </m:e>
          <m:sub>
            <m:r>
              <m:rPr>
                <m:sty m:val="p"/>
              </m:rPr>
              <m:t>e</m:t>
            </m:r>
            <m:r>
              <m:rPr>
                <m:sty m:val="p"/>
              </m:rPr>
              <m:t>r</m:t>
            </m:r>
            <m:r>
              <m:rPr>
                <m:sty m:val="p"/>
              </m:rPr>
              <m:t>r</m:t>
            </m:r>
          </m:sub>
        </m:sSub>
      </m:oMath>
      <w:r>
        <w:rPr>
          <w:bCs/>
          <w:b/>
        </w:rPr>
        <w:t xml:space="preserve"> </w:t>
      </w:r>
      <w:r>
        <w:rPr>
          <w:bCs/>
          <w:b/>
        </w:rPr>
        <w:t xml:space="preserve">始终保持在极低水平</w:t>
      </w:r>
      <w:r>
        <w:t xml:space="preserve">（Size 1 时仅为</w:t>
      </w:r>
      <w:r>
        <w:t xml:space="preserve"> </w:t>
      </w:r>
      <w:r>
        <w:rPr>
          <w:bCs/>
          <w:b/>
        </w:rPr>
        <w:t xml:space="preserve">0.0002</w:t>
      </w:r>
      <w:r>
        <w:t xml:space="preserve">，Size 4 时为</w:t>
      </w:r>
      <w:r>
        <w:t xml:space="preserve"> </w:t>
      </w:r>
      <w:r>
        <w:rPr>
          <w:bCs/>
          <w:b/>
        </w:rPr>
        <w:t xml:space="preserve">0.0006</w:t>
      </w:r>
      <w:r>
        <w:t xml:space="preserve">）。这表明，在极度稀疏导致无法重建物理场结构时，模型并没有产生非物理的“幻觉”去强行拟合，而是退化为一种保守的“均值插值”策略，但它</w:t>
      </w:r>
      <w:r>
        <w:rPr>
          <w:bCs/>
          <w:b/>
        </w:rPr>
        <w:t xml:space="preserve">始终严守了仅有的观测点约束</w:t>
      </w:r>
      <w:r>
        <w:t xml:space="preserve">。这种在不确定性下的保守行为对于科学计算应用至关重要，证明了观测一致性约束作为“安全护栏”的有效性。</w:t>
      </w:r>
      <w:r>
        <w:t xml:space="preserve"> </w:t>
      </w:r>
      <w:r>
        <w:t xml:space="preserve">3.</w:t>
      </w:r>
      <w:r>
        <w:t xml:space="preserve"> </w:t>
      </w:r>
      <w:r>
        <w:rPr>
          <w:bCs/>
          <w:b/>
        </w:rPr>
        <w:t xml:space="preserve">效率瓶颈</w:t>
      </w:r>
      <w:r>
        <w:t xml:space="preserve">：随着 Scale 增大（输入变小），为适配更大倍率，网络深度增加导致</w:t>
      </w:r>
      <w:r>
        <w:t xml:space="preserve"> </w:t>
      </w:r>
      <w:r>
        <w:rPr>
          <w:bCs/>
          <w:b/>
        </w:rPr>
        <w:t xml:space="preserve">Params</w:t>
      </w:r>
      <w:r>
        <w:t xml:space="preserve"> </w:t>
      </w:r>
      <w:r>
        <w:t xml:space="preserve">上升（2.70M</w:t>
      </w:r>
      <w:r>
        <w:t xml:space="preserve"> </w:t>
      </w:r>
      <m:oMath>
        <m:r>
          <m:rPr>
            <m:sty m:val="p"/>
          </m:rPr>
          <m:t>→</m:t>
        </m:r>
      </m:oMath>
      <w:r>
        <w:t xml:space="preserve"> </w:t>
      </w:r>
      <w:r>
        <w:t xml:space="preserve">3.44M），同时</w:t>
      </w:r>
      <w:r>
        <w:t xml:space="preserve"> </w:t>
      </w:r>
      <w:r>
        <w:rPr>
          <w:bCs/>
          <w:b/>
        </w:rPr>
        <w:t xml:space="preserve">Latency</w:t>
      </w:r>
      <w:r>
        <w:t xml:space="preserve"> </w:t>
      </w:r>
      <w:r>
        <w:t xml:space="preserve">在</w:t>
      </w:r>
      <w:r>
        <w:t xml:space="preserve"> </w:t>
      </w:r>
      <m:oMath>
        <m:r>
          <m:rPr>
            <m:sty m:val="p"/>
          </m:rPr>
          <m:t>×</m:t>
        </m:r>
        <m:r>
          <m:t>32</m:t>
        </m:r>
      </m:oMath>
      <w:r>
        <w:t xml:space="preserve"> </w:t>
      </w:r>
      <w:r>
        <w:t xml:space="preserve">处激增至 163ms，提示超高倍率 SR 需关注推理成本。</w:t>
      </w:r>
    </w:p>
    <w:p>
      <w:r>
        <w:pict>
          <v:rect style="width:0;height:1.5pt" o:hralign="center" o:hrstd="t" o:hr="t"/>
        </w:pict>
      </w:r>
    </w:p>
    <w:bookmarkEnd w:id="42"/>
    <w:bookmarkStart w:id="44" w:name="资源与效率分析"/>
    <w:p>
      <w:pPr>
        <w:pStyle w:val="2"/>
      </w:pPr>
      <w:r>
        <w:t xml:space="preserve">4.6 资源与效率分析</w:t>
      </w:r>
    </w:p>
    <w:p>
      <w:pPr>
        <w:pStyle w:val="11"/>
      </w:pPr>
      <w:r>
        <w:rPr>
          <w:bCs/>
          <w:b/>
        </w:rPr>
        <w:t xml:space="preserve">表 4-11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：虽然 Transformer 参数量大，但得益于高效的注意力机制设计，其推理延迟反而最低（&lt;1ms），适合对时延敏感的在线监测系统；EDSR 则在存储（Params）与计算（FLOPs）上最为均衡，具备边缘设备部署潜力。我们通过</w:t>
      </w:r>
      <w:r>
        <w:t xml:space="preserve"> </w:t>
      </w:r>
      <w:r>
        <w:rPr>
          <w:bCs/>
          <w:b/>
        </w:rPr>
        <w:t xml:space="preserve">Pareto Frontier Analysis</w:t>
      </w:r>
      <w:r>
        <w:t xml:space="preserve"> </w:t>
      </w:r>
      <w:r>
        <w:t xml:space="preserve">确认了 EDSR 在移动端算力预算（&lt; 20 GFLOPs）下的帕累托最优地位。</w:t>
      </w:r>
    </w:p>
    <w:tbl>
      <w:tblPr>
        <w:tblStyle w:val="FigureTable"/>
        <w:tblW w:type="auto" w:w="0"/>
        <w:tblLook w:firstRow="0" w:lastRow="0" w:firstColumn="0" w:lastColumn="0"/>
        <w:jc w:val="center"/>
      </w:tblPr>
      <w:tblGrid>
        <w:gridCol w:w="7920"/>
      </w:tblGrid>
      <w:tr>
        <w:tc>
          <w:tcPr/>
          <w:p>
            <w:pPr>
              <w:pStyle w:val="Compact"/>
              <w:jc w:val="center"/>
            </w:pPr>
            <w:r>
              <w:t xml:space="preserve">图 4-3: 不同模型架构在 SWE 任务上的资源-精度权衡（Pareto Frontier）。横轴为计算量 (GFLOPs)，纵轴为相对误差 (Rel-L2)。Ours (EDSR) 位于左下角的帕累托最优区域，表明其在有限算力预算下实现了最佳的重建精度，具备边缘部署潜力。</w:t>
            </w:r>
          </w:p>
        </w:tc>
      </w:tr>
    </w:tbl>
    <w:p>
      <w:pPr>
        <w:pStyle w:val="ImageCaption"/>
      </w:pPr>
      <w:r>
        <w:t xml:space="preserve">图 4-3: 不同模型架构在 SWE 任务上的资源-精度权衡（Pareto Frontier）。横轴为计算量 (GFLOPs)，纵轴为相对误差 (Rel-L2)。Ours (EDSR) 位于左下角的帕累托最优区域，表明其在有限算力预算下实现了最佳的重建精度，具备边缘部署潜力。</w:t>
      </w:r>
    </w:p>
    <w:bookmarkStart w:id="43" w:name="时序模块的计算瓶颈分析"/>
    <w:p>
      <w:pPr>
        <w:pStyle w:val="3"/>
      </w:pPr>
      <w:r>
        <w:t xml:space="preserve">4.6.1 时序模块的计算瓶颈分析</w:t>
      </w:r>
    </w:p>
    <w:p>
      <w:pPr>
        <w:pStyle w:val="11"/>
      </w:pPr>
      <w:r>
        <w:t xml:space="preserve">实验观察表明，无论采用何种训练策略，时序建模成本均显著高于空间重建：</w:t>
      </w:r>
    </w:p>
    <w:p>
      <w:pPr>
        <w:numPr>
          <w:ilvl w:val="0"/>
          <w:numId w:val="1015"/>
        </w:numPr>
        <w:pStyle w:val="Compact"/>
      </w:pPr>
      <w:r>
        <w:rPr>
          <w:bCs/>
          <w:b/>
        </w:rPr>
        <w:t xml:space="preserve">空间模块 (EDSR)</w:t>
      </w:r>
      <w:r>
        <w:t xml:space="preserve">：单 Epoch 耗时约</w:t>
      </w:r>
      <w:r>
        <w:t xml:space="preserve"> </w:t>
      </w:r>
      <w:r>
        <w:rPr>
          <w:bCs/>
          <w:b/>
        </w:rPr>
        <w:t xml:space="preserve">55 秒</w:t>
      </w:r>
      <w:r>
        <w:t xml:space="preserve">。</w:t>
      </w:r>
    </w:p>
    <w:p>
      <w:pPr>
        <w:numPr>
          <w:ilvl w:val="0"/>
          <w:numId w:val="1015"/>
        </w:numPr>
        <w:pStyle w:val="Compact"/>
      </w:pPr>
      <w:r>
        <w:rPr>
          <w:bCs/>
          <w:b/>
        </w:rPr>
        <w:t xml:space="preserve">时序模块 (VideoSwin)</w:t>
      </w:r>
      <w:r>
        <w:t xml:space="preserve">：单 Epoch 耗时约</w:t>
      </w:r>
      <w:r>
        <w:t xml:space="preserve"> </w:t>
      </w:r>
      <w:r>
        <w:rPr>
          <w:bCs/>
          <w:b/>
        </w:rPr>
        <w:t xml:space="preserve">650 秒</w:t>
      </w:r>
      <w:r>
        <w:t xml:space="preserve">。</w:t>
      </w:r>
    </w:p>
    <w:p>
      <w:pPr>
        <w:pStyle w:val="11"/>
      </w:pPr>
      <w:r>
        <w:t xml:space="preserve">时序模块耗时约为空间模块的</w:t>
      </w:r>
      <w:r>
        <w:t xml:space="preserve"> </w:t>
      </w:r>
      <w:r>
        <w:rPr>
          <w:bCs/>
          <w:b/>
        </w:rPr>
        <w:t xml:space="preserve">10 倍以上</w:t>
      </w:r>
      <w:r>
        <w:t xml:space="preserve">。这提示未来的优化方向应集中在</w:t>
      </w:r>
      <w:r>
        <w:rPr>
          <w:bCs/>
          <w:b/>
        </w:rPr>
        <w:t xml:space="preserve">降低时序注意力复杂度</w:t>
      </w:r>
      <w:r>
        <w:t xml:space="preserve">（如线性注意力、SSM），而非单纯压缩空间网络。</w:t>
      </w:r>
    </w:p>
    <w:p>
      <w:r>
        <w:pict>
          <v:rect style="width:0;height:1.5pt" o:hralign="center" o:hrstd="t" o:hr="t"/>
        </w:pict>
      </w:r>
    </w:p>
    <w:bookmarkEnd w:id="43"/>
    <w:bookmarkEnd w:id="44"/>
    <w:bookmarkStart w:id="45" w:name="本章小结"/>
    <w:p>
      <w:pPr>
        <w:pStyle w:val="2"/>
      </w:pPr>
      <w:r>
        <w:t xml:space="preserve">4.7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45"/>
    <w:bookmarkStart w:id="46" w:name="参考文献-references"/>
    <w:p>
      <w:pPr>
        <w:pStyle w:val="2"/>
      </w:pPr>
      <w:r>
        <w:t xml:space="preserve">参考文献 (References)</w:t>
      </w:r>
    </w:p>
    <w:p>
      <w:pPr>
        <w:pStyle w:val="aff7"/>
      </w:pPr>
      <w:r>
        <w:t xml:space="preserve">[1] Cohen J. Statistical power analysis for the behavioral sciences[M]. 2nd ed. Lawrence Erlbaum Associates, 1988.</w:t>
      </w:r>
    </w:p>
    <w:p>
      <w:pPr>
        <w:pStyle w:val="aff7"/>
      </w:pPr>
      <w:r>
        <w:t xml:space="preserve">[2] Gosset W S. The probable error of a mean[J]. Biometrika, 1908, 6(1): 1–25.</w:t>
      </w:r>
    </w:p>
    <w:p>
      <w:pPr>
        <w:pStyle w:val="aff7"/>
      </w:pPr>
      <w:r>
        <w:t xml:space="preserve">[3] Takamoto M, Praditia T, Leiteritz R, et al. PDEBench: An extensive benchmark for scientific machine learning[R]. arXiv preprint arXiv:2210.07182, 2022.</w:t>
      </w:r>
    </w:p>
    <w:p>
      <w:pPr>
        <w:pStyle w:val="aff7"/>
      </w:pPr>
      <w:r>
        <w:t xml:space="preserve">[4] Wang Z, Bovik A C, Sheikh H R, et al. Image quality assessment: From error visibility to structural similarity[J]. IEEE Transactions on Image Processing, 2004, 13(4): 600–612.</w:t>
      </w:r>
    </w:p>
    <w:p>
      <w:pPr>
        <w:pStyle w:val="aff7"/>
      </w:pPr>
      <w:r>
        <w:t xml:space="preserve">[5] Wilkinson M D, Dumontier M, Aalbersberg I J, et al. The FAIR Guiding Principles for scientific data management and stewardship[J]. Scientific Data, 2016, 3: 160018.</w:t>
      </w:r>
    </w:p>
    <w:bookmarkEnd w:id="46"/>
    <w:bookmarkEnd w:id="47"/>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2026-02-27T13:03:55Z</dcterms:created>
  <dcterms:modified xsi:type="dcterms:W3CDTF">2026-02-27T13:03:55Z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