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5.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1.xml" ContentType="application/vnd.openxmlformats-officedocument.wordprocessingml.header+xml"/>
  <Override PartName="/word/header7.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footer7.xml" ContentType="application/vnd.openxmlformats-officedocument.wordprocessingml.footer+xml"/>
  <Override PartName="/word/footer9.xml" ContentType="application/vnd.openxmlformats-officedocument.wordprocessingml.footer+xml"/>
  <Override PartName="/word/footer6.xml" ContentType="application/vnd.openxmlformats-officedocument.wordprocessingml.footer+xml"/>
  <Override PartName="/word/footer3.xml" ContentType="application/vnd.openxmlformats-officedocument.wordprocessingml.footer+xml"/>
  <Override PartName="/word/footer8.xml" ContentType="application/vnd.openxmlformats-officedocument.wordprocessingml.footer+xml"/>
  <Override PartName="/word/footer5.xml" ContentType="application/vnd.openxmlformats-officedocument.wordprocessingml.footer+xml"/>
  <Override PartName="/word/footer2.xml" ContentType="application/vnd.openxmlformats-officedocument.wordprocessingml.footer+xml"/>
  <Override PartName="/word/footer4.xml" ContentType="application/vnd.openxmlformats-officedocument.wordprocessingml.footer+xml"/>
  <Override PartName="/word/media/image2.png" ContentType="image/png"/>
  <Override PartName="/word/media/image1.png" ContentType="image/png"/>
  <Override PartName="/word/media/image3.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第5章-总结与展望"/>
    <w:p>
      <w:pPr>
        <w:pStyle w:val="1"/>
      </w:pPr>
      <w:r>
        <w:t xml:space="preserve">第5章 总结与展望</w:t>
      </w:r>
    </w:p>
    <w:bookmarkStart w:id="23" w:name="全文总结"/>
    <w:p>
      <w:pPr>
        <w:pStyle w:val="2"/>
      </w:pPr>
      <w:r>
        <w:t xml:space="preserve">5.1 全文总结</w:t>
      </w:r>
    </w:p>
    <w:p>
      <w:pPr>
        <w:pStyle w:val="11"/>
      </w:pPr>
      <w:r>
        <w:t xml:space="preserve">本文针对稀疏观测条件下的时空物理场重建问题，深入分析了传统方法中“观测过程算子错配”这一核心痛点，提出并验证了一套以</w:t>
      </w:r>
      <w:r>
        <w:rPr>
          <w:bCs/>
          <w:b/>
        </w:rPr>
        <w:t xml:space="preserve">“</w:t>
      </w:r>
      <w:r>
        <w:rPr>
          <w:bCs/>
          <w:b/>
        </w:rPr>
        <w:t xml:space="preserve">观测一致性约束</w:t>
      </w:r>
      <w:r>
        <w:rPr>
          <w:bCs/>
          <w:b/>
        </w:rPr>
        <w:t xml:space="preserve">”</w:t>
      </w:r>
      <w:r>
        <w:t xml:space="preserve">为核心的深度学习重建框架。通过建立从离散观测到连续物理场的逆问题模型，本文系统性地解决了</w:t>
      </w:r>
      <w:r>
        <w:rPr>
          <w:bCs/>
          <w:b/>
        </w:rPr>
        <w:t xml:space="preserve">数据驱动重建中普遍存在的观测算子错配问题</w:t>
      </w:r>
      <w:r>
        <w:t xml:space="preserve">，实现了物理场的高保真度、物理一致性与长时稳定性重建。本文的主要研究成果与核心贡献总结如下：</w:t>
      </w:r>
    </w:p>
    <w:bookmarkStart w:id="20" w:name="Xafa924d0865a962145c7452f0ecf3cbb819e816"/>
    <w:p>
      <w:pPr>
        <w:pStyle w:val="3"/>
      </w:pPr>
      <w:r>
        <w:t xml:space="preserve">1. 提出了统一观测算子与一致性约束范式 (Unified Operator &amp; Consistency Paradigm)</w:t>
      </w:r>
    </w:p>
    <w:p>
      <w:pPr>
        <w:pStyle w:val="11"/>
      </w:pPr>
      <w:r>
        <w:t xml:space="preserve">针对现有研究中训练退化过程（Degradation）与测试观测过程（Observation）不一致导致的“评测断裂”问题，本文建立了</w:t>
      </w:r>
      <m:oMath>
        <m:r>
          <m:t>H</m:t>
        </m:r>
        <m:r>
          <m:rPr>
            <m:sty m:val="p"/>
          </m:rPr>
          <m:t>≡</m:t>
        </m:r>
        <m:r>
          <m:t>D</m:t>
        </m:r>
        <m:r>
          <m:t>C</m:t>
        </m:r>
      </m:oMath>
      <w:r>
        <w:rPr>
          <w:bCs/>
          <w:b/>
        </w:rPr>
        <w:t xml:space="preserve">（观测算子即退化算子）</w:t>
      </w:r>
      <w:r>
        <w:t xml:space="preserve">的强制同源复用机制。通过构建可微的统一观测算子模块，将传感器采样、空间降质、噪声干扰等物理过程显式编码进训练闭环，并从理论上证明了观测一致性是重建误差有界的必要条件。该设计的关键收益在于</w:t>
      </w:r>
      <w:r>
        <w:rPr>
          <w:bCs/>
          <w:b/>
        </w:rPr>
        <w:t xml:space="preserve">误差归因的可解释性</w:t>
      </w:r>
      <w:r>
        <w:t xml:space="preserve">：它消除了由核参数、对齐策略或边界处理引入的隐性域偏移（Domain Shift），使横向对比的性能差异真正反映了模型本身的重建能力，而非工程实现上的口径偏差。本文系统性地解决了</w:t>
      </w:r>
      <w:r>
        <w:rPr>
          <w:bCs/>
          <w:b/>
        </w:rPr>
        <w:t xml:space="preserve">深度学习重建任务中因算子错配导致的隐性偏差问题</w:t>
      </w:r>
      <w:r>
        <w:t xml:space="preserve">，实现了物理场的高保真度、物理一致性与长时稳定性重建。</w:t>
      </w:r>
    </w:p>
    <w:bookmarkEnd w:id="20"/>
    <w:bookmarkStart w:id="21" w:name="X027a573f067f95ba44522b530d5b290b5b41313"/>
    <w:p>
      <w:pPr>
        <w:pStyle w:val="3"/>
      </w:pPr>
      <w:r>
        <w:t xml:space="preserve">2. 设计了频域感知的三元混合损失函数 (Spectral-aware Hybrid Loss)</w:t>
      </w:r>
    </w:p>
    <w:p>
      <w:pPr>
        <w:pStyle w:val="11"/>
      </w:pPr>
      <w:r>
        <w:t xml:space="preserve">为了解决单一像素级损失（如 MSE）导致的“高频丢失”与“物理守恒性差”问题，本文提出了一种互补的三元损失体系：</w:t>
      </w:r>
      <w:r>
        <w:t xml:space="preserve"> </w:t>
      </w:r>
      <w:r>
        <w:t xml:space="preserve">*</w:t>
      </w:r>
      <w:r>
        <w:t xml:space="preserve"> </w:t>
      </w:r>
      <w:r>
        <w:rPr>
          <w:bCs/>
          <w:b/>
        </w:rPr>
        <w:t xml:space="preserve">重建损失 (</w:t>
      </w:r>
      <m:oMath>
        <m:sSub>
          <m:e>
            <m:r>
              <m:rPr>
                <m:sty m:val="p"/>
                <m:scr m:val="script"/>
              </m:rPr>
              <m:t>L</m:t>
            </m:r>
          </m:e>
          <m:sub>
            <m:r>
              <m:rPr>
                <m:nor/>
                <m:sty m:val="p"/>
              </m:rPr>
              <m:t>rec</m:t>
            </m:r>
          </m:sub>
        </m:sSub>
      </m:oMath>
      <w:r>
        <w:rPr>
          <w:bCs/>
          <w:b/>
        </w:rPr>
        <w:t xml:space="preserve">)</w:t>
      </w:r>
      <w:r>
        <w:t xml:space="preserve">：在标准化域提供稳定的梯度流，保证基础物理量的逐点逼近精度；</w:t>
      </w:r>
      <w:r>
        <w:t xml:space="preserve"> </w:t>
      </w:r>
      <w:r>
        <w:t xml:space="preserve">*</w:t>
      </w:r>
      <w:r>
        <w:t xml:space="preserve"> </w:t>
      </w:r>
      <w:r>
        <w:rPr>
          <w:bCs/>
          <w:b/>
        </w:rPr>
        <w:t xml:space="preserve">谱一致性损失 (</w:t>
      </w:r>
      <m:oMath>
        <m:sSub>
          <m:e>
            <m:r>
              <m:rPr>
                <m:sty m:val="p"/>
                <m:scr m:val="script"/>
              </m:rPr>
              <m:t>L</m:t>
            </m:r>
          </m:e>
          <m:sub>
            <m:r>
              <m:rPr>
                <m:nor/>
                <m:sty m:val="p"/>
              </m:rPr>
              <m:t>spec</m:t>
            </m:r>
          </m:sub>
        </m:sSub>
      </m:oMath>
      <w:r>
        <w:rPr>
          <w:bCs/>
          <w:b/>
        </w:rPr>
        <w:t xml:space="preserve">)</w:t>
      </w:r>
      <w:r>
        <w:t xml:space="preserve">：引入频域约束，重点惩罚低频主模态的振幅与相位误差。物理上，这等价于约束多尺度结构的统计分布，有效防止了仅优化点误差时出现的“过平滑”（高频能量抑制）或“伪纹理”（非物理噪声堆积），确保重建场在能谱分布上与真实物理场一致；</w:t>
      </w:r>
      <w:r>
        <w:t xml:space="preserve"> </w:t>
      </w:r>
      <w:r>
        <w:t xml:space="preserve">*</w:t>
      </w:r>
      <w:r>
        <w:t xml:space="preserve"> </w:t>
      </w:r>
      <w:r>
        <w:rPr>
          <w:bCs/>
          <w:b/>
        </w:rPr>
        <w:t xml:space="preserve">观测一致性损失 (</w:t>
      </w:r>
      <m:oMath>
        <m:sSub>
          <m:e>
            <m:r>
              <m:rPr>
                <m:sty m:val="p"/>
                <m:scr m:val="script"/>
              </m:rPr>
              <m:t>L</m:t>
            </m:r>
          </m:e>
          <m:sub>
            <m:r>
              <m:rPr>
                <m:nor/>
                <m:sty m:val="p"/>
              </m:rPr>
              <m:t>dc</m:t>
            </m:r>
          </m:sub>
        </m:sSub>
      </m:oMath>
      <w:r>
        <w:rPr>
          <w:bCs/>
          <w:b/>
        </w:rPr>
        <w:t xml:space="preserve">)</w:t>
      </w:r>
      <w:r>
        <w:t xml:space="preserve">：在原始物理值域施加</w:t>
      </w:r>
      <w:r>
        <w:t xml:space="preserve"> </w:t>
      </w:r>
      <m:oMath>
        <m:r>
          <m:t>H</m:t>
        </m:r>
        <m:d>
          <m:dPr>
            <m:begChr m:val="("/>
            <m:endChr m:val=")"/>
            <m:sepChr m:val=""/>
            <m:grow/>
          </m:dPr>
          <m:e>
            <m:acc>
              <m:accPr>
                <m:chr m:val="̂"/>
              </m:accPr>
              <m:e>
                <m:r>
                  <m:t>u</m:t>
                </m:r>
              </m:e>
            </m:acc>
          </m:e>
        </m:d>
        <m:r>
          <m:rPr>
            <m:sty m:val="p"/>
          </m:rPr>
          <m:t>≈</m:t>
        </m:r>
        <m:r>
          <m:t>y</m:t>
        </m:r>
      </m:oMath>
      <w:r>
        <w:t xml:space="preserve"> </w:t>
      </w:r>
      <w:r>
        <w:t xml:space="preserve">约束，锚定观测口径，确保重建结果严格遵循物理测量数据。</w:t>
      </w:r>
      <w:r>
        <w:t xml:space="preserve"> </w:t>
      </w:r>
      <w:r>
        <w:t xml:space="preserve">三者协同作用，实现了在精度指标（Rel-L2）与物理一致性指标（</w:t>
      </w:r>
      <m:oMath>
        <m:sSub>
          <m:e>
            <m:r>
              <m:t>H</m:t>
            </m:r>
          </m:e>
          <m:sub>
            <m:r>
              <m:rPr>
                <m:nor/>
                <m:sty m:val="p"/>
              </m:rPr>
              <m:t>err</m:t>
            </m:r>
          </m:sub>
        </m:sSub>
      </m:oMath>
      <w:r>
        <w:t xml:space="preserve">、频谱保真度）上的同步提升。本研究并未过分渲染高阶 PDE 方程残差的作用，而是通过上述数据驱动的物理约束，实现了对“广义物理一致性”的高效逼近。</w:t>
      </w:r>
    </w:p>
    <w:bookmarkEnd w:id="21"/>
    <w:bookmarkStart w:id="22" w:name="X4071dee737a00992e726d9d331d515f032eed50"/>
    <w:p>
      <w:pPr>
        <w:pStyle w:val="3"/>
      </w:pPr>
      <w:r>
        <w:t xml:space="preserve">3. 构建了序列化时空课程学习策略 (Sequential Spatiotemporal Curriculum Learning)</w:t>
      </w:r>
    </w:p>
    <w:p>
      <w:pPr>
        <w:pStyle w:val="11"/>
      </w:pPr>
      <w:r>
        <w:t xml:space="preserve">针对时空联合优化中存在的欠定性高、收敛困难问题，本文设计了</w:t>
      </w:r>
      <w:r>
        <w:rPr>
          <w:bCs/>
          <w:b/>
        </w:rPr>
        <w:t xml:space="preserve">“</w:t>
      </w:r>
      <w:r>
        <w:rPr>
          <w:bCs/>
          <w:b/>
        </w:rPr>
        <w:t xml:space="preserve">空间重构</w:t>
      </w:r>
      <w:r>
        <w:rPr>
          <w:bCs/>
          <w:b/>
        </w:rPr>
        <w:t xml:space="preserve"> </w:t>
      </w:r>
      <m:oMath>
        <m:r>
          <m:rPr>
            <m:sty m:val="p"/>
          </m:rPr>
          <m:t>→</m:t>
        </m:r>
      </m:oMath>
      <w:r>
        <w:rPr>
          <w:bCs/>
          <w:b/>
        </w:rPr>
        <w:t xml:space="preserve"> </w:t>
      </w:r>
      <w:r>
        <w:rPr>
          <w:bCs/>
          <w:b/>
        </w:rPr>
        <w:t xml:space="preserve">时序演化</w:t>
      </w:r>
      <w:r>
        <w:rPr>
          <w:bCs/>
          <w:b/>
        </w:rPr>
        <w:t xml:space="preserve"> </w:t>
      </w:r>
      <m:oMath>
        <m:r>
          <m:rPr>
            <m:sty m:val="p"/>
          </m:rPr>
          <m:t>→</m:t>
        </m:r>
      </m:oMath>
      <w:r>
        <w:rPr>
          <w:bCs/>
          <w:b/>
        </w:rPr>
        <w:t xml:space="preserve"> </w:t>
      </w:r>
      <w:r>
        <w:rPr>
          <w:bCs/>
          <w:b/>
        </w:rPr>
        <w:t xml:space="preserve">联合微调</w:t>
      </w:r>
      <w:r>
        <w:rPr>
          <w:bCs/>
          <w:b/>
        </w:rPr>
        <w:t xml:space="preserve">”</w:t>
      </w:r>
      <w:r>
        <w:t xml:space="preserve">的三阶段课程学习策略。该策略首先引导模型学习空间上的稀疏-稠密映射，再学习时间上的动力学演化规律，最后进行端到端的全参数微调。实验验证表明，该策略有效避免了直接端到端训练中的局部极小值陷阱，显著提升了模型在长时序预测任务中的稳定性与鲁棒性。</w:t>
      </w:r>
    </w:p>
    <w:p>
      <w:pPr>
        <w:pStyle w:val="11"/>
      </w:pPr>
      <w:r>
        <w:t xml:space="preserve">综上所述，本文所提出的框架在 PDEBench 数据集的浅水方程（SWE）与反应扩散方程（DRD）任务上均取得了优异性能。基于轻量化 CNN 架构（如 EDSR/ConvUNetLite）的模型在极低参数量（</w:t>
      </w:r>
      <m:oMath>
        <m:r>
          <m:rPr>
            <m:sty m:val="p"/>
          </m:rPr>
          <m:t>≤</m:t>
        </m:r>
      </m:oMath>
      <w:r>
        <w:t xml:space="preserve"> </w:t>
      </w:r>
      <w:r>
        <w:t xml:space="preserve">3M）下，即可在稀疏重建任务中超越参数量大得多的 Transformer 类模型。这揭示了在科学机器学习任务中，</w:t>
      </w:r>
      <w:r>
        <w:rPr>
          <w:bCs/>
          <w:b/>
        </w:rPr>
        <w:t xml:space="preserve">合理的物理归纳偏置（如局部性、平移不变性）往往比单纯增加模型容量更为关键</w:t>
      </w:r>
      <w:r>
        <w:t xml:space="preserve">：强物理一致性（如谱一致性）在轻量模型上起到了“强引导”作用，有效收缩了可行解空间，而在大模型上则更多体现为“正则化”作用，抑制了过拟合与非物理伪影。</w:t>
      </w:r>
    </w:p>
    <w:bookmarkEnd w:id="22"/>
    <w:bookmarkEnd w:id="23"/>
    <w:bookmarkStart w:id="26" w:name="局限性讨论"/>
    <w:p>
      <w:pPr>
        <w:pStyle w:val="2"/>
      </w:pPr>
      <w:r>
        <w:t xml:space="preserve">5.2 局限性讨论</w:t>
      </w:r>
    </w:p>
    <w:p>
      <w:pPr>
        <w:pStyle w:val="11"/>
      </w:pPr>
      <w:r>
        <w:t xml:space="preserve">尽管本文提出的方法在理论完备性与实验性能上取得了显著进展，但在面对更复杂的物理场景与工程约束时，仍存在一定的局限性，需在后续工作中予以关注。</w:t>
      </w:r>
    </w:p>
    <w:bookmarkStart w:id="24" w:name="复杂边界与几何泛化能力的不足"/>
    <w:p>
      <w:pPr>
        <w:pStyle w:val="3"/>
      </w:pPr>
      <w:r>
        <w:t xml:space="preserve">5.2.1 复杂边界与几何泛化能力的不足</w:t>
      </w:r>
    </w:p>
    <w:p>
      <w:pPr>
        <w:pStyle w:val="11"/>
      </w:pPr>
      <w:r>
        <w:t xml:space="preserve">本文目前的实验主要基于规则网格（Regular Grid）与周期性或简单的诺伊曼/狄利克雷边界条件。其中，频谱损失（Spectral Loss）天然依赖于傅里叶变换的周期性假设。当应用于强非周期边界、复杂几何嵌入（如叶片、管道内部）或非结构化网格时，频域表征容易出现</w:t>
      </w:r>
      <w:r>
        <w:rPr>
          <w:bCs/>
          <w:b/>
        </w:rPr>
        <w:t xml:space="preserve">谱泄漏（Spectral Leakage）</w:t>
      </w:r>
      <w:r>
        <w:t xml:space="preserve">与</w:t>
      </w:r>
      <w:r>
        <w:rPr>
          <w:bCs/>
          <w:b/>
        </w:rPr>
        <w:t xml:space="preserve">吉布斯效应（Gibbs Phenomenon）</w:t>
      </w:r>
      <w:r>
        <w:t xml:space="preserve">，导致边界附近的重建误差显著增加（bRMSE 指标恶化）。此外，对于</w:t>
      </w:r>
      <w:r>
        <w:rPr>
          <w:bCs/>
          <w:b/>
        </w:rPr>
        <w:t xml:space="preserve">高雷诺数湍流（High Reynolds Number Turbulence）</w:t>
      </w:r>
      <w:r>
        <w:t xml:space="preserve">等具有宽频多尺度特征的物理系统，固定的谱域权重难以同时兼顾大尺度相干结构与耗散尺度的微小涡旋，容易导致高频细节的过度平滑或非物理截断。</w:t>
      </w:r>
    </w:p>
    <w:bookmarkEnd w:id="24"/>
    <w:bookmarkStart w:id="25" w:name="局限性与改进空间"/>
    <w:p>
      <w:pPr>
        <w:pStyle w:val="3"/>
      </w:pPr>
      <w:r>
        <w:t xml:space="preserve">5.2.2 局限性与改进空间</w:t>
      </w:r>
    </w:p>
    <w:p>
      <w:pPr>
        <w:pStyle w:val="11"/>
      </w:pPr>
      <w:r>
        <w:t xml:space="preserve">尽管本研究取得了一定成果，但仍存在以下局限性：</w:t>
      </w:r>
    </w:p>
    <w:p>
      <w:pPr>
        <w:numPr>
          <w:ilvl w:val="0"/>
          <w:numId w:val="1001"/>
        </w:numPr>
        <w:pStyle w:val="Compact"/>
      </w:pPr>
      <w:r>
        <w:rPr>
          <w:bCs/>
          <w:b/>
        </w:rPr>
        <w:t xml:space="preserve">奈奎斯特边界的硬约束</w:t>
      </w:r>
      <w:r>
        <w:t xml:space="preserve">：实验表明，当观测分辨率低于</w:t>
      </w:r>
      <w:r>
        <w:t xml:space="preserve"> </w:t>
      </w:r>
      <m:oMath>
        <m:r>
          <m:t>16</m:t>
        </m:r>
        <m:r>
          <m:rPr>
            <m:sty m:val="p"/>
          </m:rPr>
          <m:t>×</m:t>
        </m:r>
        <m:r>
          <m:t>16</m:t>
        </m:r>
      </m:oMath>
      <w:r>
        <w:t xml:space="preserve"> </w:t>
      </w:r>
      <w:r>
        <w:t xml:space="preserve">时，重建性能发生相变式衰减。理论分析指出，这是由于观测频率低于物理场截止频率的两倍，导致高频信息发生了不可逆的混叠（Aliasing）。单纯的数据驱动模型无法从原理上突破这一物理极限，未来需引入更强的物理归纳偏置（如 Kolmogorov 谱定律）或生成式先验（Generative Prior）。</w:t>
      </w:r>
    </w:p>
    <w:p>
      <w:pPr>
        <w:numPr>
          <w:ilvl w:val="0"/>
          <w:numId w:val="1001"/>
        </w:numPr>
        <w:pStyle w:val="Compact"/>
      </w:pPr>
      <w:r>
        <w:rPr>
          <w:bCs/>
          <w:b/>
        </w:rPr>
        <w:t xml:space="preserve">确定性估计的风险</w:t>
      </w:r>
      <w:r>
        <w:t xml:space="preserve">：本研究主要关注点估计（Point Estimation），缺乏对重建结果不确定性的量化。在涉及安全关键（Safety-Critical）的工程应用中，提供置信区间（Confidence Interval）往往比单一预测值更具决策价值。</w:t>
      </w:r>
    </w:p>
    <w:p>
      <w:r>
        <w:pict>
          <v:rect style="width:0;height:1.5pt" o:hralign="center" o:hrstd="t" o:hr="t"/>
        </w:pict>
      </w:r>
    </w:p>
    <w:bookmarkEnd w:id="25"/>
    <w:bookmarkEnd w:id="26"/>
    <w:bookmarkStart w:id="29" w:name="未来工作展望"/>
    <w:p>
      <w:pPr>
        <w:pStyle w:val="2"/>
      </w:pPr>
      <w:r>
        <w:t xml:space="preserve">5.3 未来工作展望</w:t>
      </w:r>
    </w:p>
    <w:p>
      <w:pPr>
        <w:pStyle w:val="11"/>
      </w:pPr>
      <w:r>
        <w:t xml:space="preserve">针对上述局限与科学机器学习（SciML）的前沿趋势，未来的研究可从以下维度展开：</w:t>
      </w:r>
    </w:p>
    <w:bookmarkStart w:id="27" w:name="X76411f1e8fbdb24f989e8d358022b6de75619f8"/>
    <w:p>
      <w:pPr>
        <w:pStyle w:val="3"/>
      </w:pPr>
      <w:r>
        <w:t xml:space="preserve">5.3.1 主动感知与强化学习闭环 (Active Sensing &amp; Reinforcement Learning)</w:t>
      </w:r>
    </w:p>
    <w:p>
      <w:pPr>
        <w:pStyle w:val="11"/>
      </w:pPr>
      <w:r>
        <w:t xml:space="preserve">44→突破静态网格观测的限制，未来的观测系统将具备“智能”。结合</w:t>
      </w:r>
      <w:r>
        <w:rPr>
          <w:bCs/>
          <w:b/>
        </w:rPr>
        <w:t xml:space="preserve">深度强化学习（Deep RL）</w:t>
      </w:r>
      <w:r>
        <w:t xml:space="preserve">，可以将物理场重构建模为序列决策过程（Sequential Decision Process）：智能体（Agent）根据当前重建场的信息熵或物理残差分布，动态规划下一个最优观测位置（Next-best View）。这种“感知—决策—行动”的闭环不仅能最大化信息增益（Information Gain），还能针对激波、剪切层等高动态区域实现自适应加密观测，以最小的传感器成本实现物理特征的完备捕获。</w:t>
      </w:r>
    </w:p>
    <w:tbl>
      <w:tblPr>
        <w:tblStyle w:val="FigureTable"/>
        <w:tblW w:type="auto" w:w="0"/>
        <w:tblLook w:firstRow="0" w:lastRow="0" w:firstColumn="0" w:lastColumn="0"/>
        <w:jc w:val="center"/>
      </w:tblPr>
      <w:tblGrid>
        <w:gridCol w:w="7920"/>
      </w:tblGrid>
      <w:tr>
        <w:tc>
          <w:tcPr/>
          <w:p>
            <w:pPr>
              <w:pStyle w:val="Compact"/>
              <w:jc w:val="center"/>
            </w:pPr>
            <w:r>
              <w:t xml:space="preserve">图 5-1: 基于深度强化学习（Deep RL）的物理场主动感知闭环示意图。智能体（Agent）根据当前重建场的不确定性分布，动态规划下一个最优观测位置（Next-best View），以最小化传感器成本实现对关键物理特征（如激波、剪切层）的自适应捕获。</w:t>
            </w:r>
          </w:p>
        </w:tc>
      </w:tr>
    </w:tbl>
    <w:p>
      <w:pPr>
        <w:pStyle w:val="ImageCaption"/>
      </w:pPr>
      <w:r>
        <w:t xml:space="preserve">图 5-1: 基于深度强化学习（Deep RL）的物理场主动感知闭环示意图。智能体（Agent）根据当前重建场的不确定性分布，动态规划下一个最优观测位置（Next-best View），以最小化传感器成本实现对关键物理特征（如激波、剪切层）的自适应捕获。</w:t>
      </w:r>
    </w:p>
    <w:p>
      <w:pPr>
        <w:pStyle w:val="11"/>
      </w:pPr>
      <w:r>
        <w:t xml:space="preserve">46→### 5.3.2 面向 PDE 泛化的物理基础模型 (Foundation Models for PDEs)</w:t>
      </w:r>
      <w:r>
        <w:t xml:space="preserve"> </w:t>
      </w:r>
      <w:r>
        <w:t xml:space="preserve">随着“基础模型（Foundation Model）”范式的兴起，单一物理场景的专用模型正逐渐向多物理场通用模型演进。未来的工作可探索构建</w:t>
      </w:r>
      <w:r>
        <w:rPr>
          <w:bCs/>
          <w:b/>
        </w:rPr>
        <w:t xml:space="preserve">通用神经算子（Generalist Neural Operator）</w:t>
      </w:r>
      <w:r>
        <w:t xml:space="preserve">，在海量不同控制方程（如 Navier-Stokes, Maxwell, Schrödinger）与边界条件的数据上进行预训练。利用</w:t>
      </w:r>
      <w:r>
        <w:rPr>
          <w:bCs/>
          <w:b/>
        </w:rPr>
        <w:t xml:space="preserve">上下文学习（In-context Learning）</w:t>
      </w:r>
      <w:r>
        <w:t xml:space="preserve">或</w:t>
      </w:r>
      <w:r>
        <w:rPr>
          <w:bCs/>
          <w:b/>
        </w:rPr>
        <w:t xml:space="preserve">多模态提示（Multimodal Prompting）</w:t>
      </w:r>
      <w:r>
        <w:t xml:space="preserve">技术，将观测算子</w:t>
      </w:r>
      <w:r>
        <w:t xml:space="preserve"> </w:t>
      </w:r>
      <m:oMath>
        <m:r>
          <m:t>H</m:t>
        </m:r>
      </m:oMath>
      <w:r>
        <w:t xml:space="preserve">、控制方程参数或边界几何作为“提示词（Prompt）”输入模型，实现对未见物理场景的零样本（Zero-shot）或少样本泛化，彻底解决传统方法“一场景一训练”的成本瓶颈。</w:t>
      </w:r>
    </w:p>
    <w:bookmarkEnd w:id="27"/>
    <w:bookmarkStart w:id="28" w:name="可信科学机器学习从贝叶斯到共形预测-trustworthy-sciml"/>
    <w:p>
      <w:pPr>
        <w:pStyle w:val="3"/>
      </w:pPr>
      <w:r>
        <w:t xml:space="preserve">5.3.3 可信科学机器学习：从贝叶斯到共形预测 (Trustworthy SciML)</w:t>
      </w:r>
    </w:p>
    <w:p>
      <w:pPr>
        <w:pStyle w:val="11"/>
      </w:pPr>
      <w:r>
        <w:t xml:space="preserve">50→现有的不确定性量化主要依赖贝叶斯神经网络（BNN）或深度集合（Deep Ensembles），其置信区间往往未经校准（Uncalibrated），难以满足航空航天等高安全领域的严苛标准。未来的研究应引入</w:t>
      </w:r>
      <w:r>
        <w:rPr>
          <w:bCs/>
          <w:b/>
        </w:rPr>
        <w:t xml:space="preserve">共形预测（Conformal Prediction, CP）</w:t>
      </w:r>
      <w:r>
        <w:t xml:space="preserve">框架，这是一种无需分布假设的统计推断方法。通过在物理场重建中构建“共形预测集”，可以在有限样本下提供具有严格数学保证的覆盖率（Coverage Guarantee，例如确保 95% 的真值落在预测区间内）。结合物理守恒律（如残差约束），发展“物理信息共形预测（Physics-informed CP）”，将为稀疏观测下的模型部署颁发“安全证书”。</w:t>
      </w:r>
    </w:p>
    <w:tbl>
      <w:tblPr>
        <w:tblStyle w:val="FigureTable"/>
        <w:tblW w:type="auto" w:w="0"/>
        <w:tblLook w:firstRow="0" w:lastRow="0" w:firstColumn="0" w:lastColumn="0"/>
        <w:jc w:val="center"/>
      </w:tblPr>
      <w:tblGrid>
        <w:gridCol w:w="7920"/>
      </w:tblGrid>
      <w:tr>
        <w:tc>
          <w:tcPr/>
          <w:p>
            <w:pPr>
              <w:pStyle w:val="Compact"/>
              <w:jc w:val="center"/>
            </w:pPr>
            <w:r>
              <w:t xml:space="preserve">图 5-2: 面向可信科学机器学习的几何神经算子与共形预测架构示意图。左侧展示了定义在非欧几何流形上的神经算子（GNO），具备离散化无关性；右侧展示了物理信息共形预测（Physics-Informed Conformal Prediction）模块，为重建结果提供具有严格覆盖率保证（Coverage Guarantee）的置信区间，确保工程应用的安全可靠性。</w:t>
            </w:r>
          </w:p>
        </w:tc>
      </w:tr>
    </w:tbl>
    <w:p>
      <w:pPr>
        <w:pStyle w:val="ImageCaption"/>
      </w:pPr>
      <w:r>
        <w:t xml:space="preserve">图 5-2: 面向可信科学机器学习的几何神经算子与共形预测架构示意图。左侧展示了定义在非欧几何流形上的神经算子（GNO），具备离散化无关性；右侧展示了物理信息共形预测（Physics-Informed Conformal Prediction）模块，为重建结果提供具有严格覆盖率保证（Coverage Guarantee）的置信区间，确保工程应用的安全可靠性。</w:t>
      </w:r>
    </w:p>
    <w:p>
      <w:pPr>
        <w:pStyle w:val="11"/>
      </w:pPr>
      <w:r>
        <w:t xml:space="preserve">52→### 5.3.4 非规则网格与几何神经算子 (Geometric Neural Operators)</w:t>
      </w:r>
      <w:r>
        <w:t xml:space="preserve"> </w:t>
      </w:r>
      <w:r>
        <w:t xml:space="preserve">针对工业界普遍存在的复杂几何（如飞行器气动外形），传统的 CNN 架构因受限于欧氏空间网格而失效。未来的核心方向是发展</w:t>
      </w:r>
      <w:r>
        <w:rPr>
          <w:bCs/>
          <w:b/>
        </w:rPr>
        <w:t xml:space="preserve">几何神经算子（Geometric Neural Operators, GNO）</w:t>
      </w:r>
      <w:r>
        <w:t xml:space="preserve">。GNO 将物理场建模为流形上的函数映射，天然具备</w:t>
      </w:r>
      <w:r>
        <w:rPr>
          <w:bCs/>
          <w:b/>
        </w:rPr>
        <w:t xml:space="preserve">离散化无关性（Discretization-invariance）</w:t>
      </w:r>
      <w:r>
        <w:t xml:space="preserve">，即在任意分辨率和非结构化网格上均能保持算子的一致性。结合几何深度学习，设计具有 SE(3) 等变性（Equivariance）的观测算子与重建网络，将显著提升模型在复杂拓扑结构下的几何泛化能力。</w:t>
      </w:r>
    </w:p>
    <w:bookmarkEnd w:id="28"/>
    <w:bookmarkEnd w:id="29"/>
    <w:bookmarkStart w:id="30" w:name="参考文献-references"/>
    <w:p>
      <w:pPr>
        <w:pStyle w:val="2"/>
      </w:pPr>
      <w:r>
        <w:t xml:space="preserve">参考文献 (References)</w:t>
      </w:r>
    </w:p>
    <w:p>
      <w:pPr>
        <w:pStyle w:val="aff7"/>
      </w:pPr>
      <w:r>
        <w:t xml:space="preserve">[1] Cuomo S, Di Cola V S, Giampaolo F, et al. Scientific machine learning through physics-informed neural networks: Where we are and what’s next[J]. Journal of Scientific Computing, 2022, 92(3): 88.</w:t>
      </w:r>
    </w:p>
    <w:p>
      <w:pPr>
        <w:pStyle w:val="aff7"/>
      </w:pPr>
      <w:r>
        <w:t xml:space="preserve">[2] Takamoto M, Praditia T, Leiteritz R, et al. PDEBench: An extensive benchmark for scientific machine learning[R]. arXiv preprint arXiv:2210.07182, 2022.</w:t>
      </w:r>
    </w:p>
    <w:p>
      <w:pPr>
        <w:pStyle w:val="aff7"/>
      </w:pPr>
      <w:r>
        <w:t xml:space="preserve">[3] Wang S, Yu X, Perdikaris P. When and why PINNs fail to train: A neural tangent kernel perspective[J]. Journal of Computational Physics, 2022, 449: 110768.</w:t>
      </w:r>
    </w:p>
    <w:p>
      <w:pPr>
        <w:pStyle w:val="aff7"/>
      </w:pPr>
      <w:r>
        <w:t xml:space="preserve">[4] Wu C, Zhu M, Tan Q, et al. A comprehensive study of non-adaptive and residual-based adaptive sampling for physics-informed neural networks[R]. arXiv preprint arXiv:2207.10289, 2022.</w:t>
      </w:r>
    </w:p>
    <w:p>
      <w:pPr>
        <w:pStyle w:val="aff7"/>
      </w:pPr>
      <w:r>
        <w:t xml:space="preserve">[5] Berrone S, Canuto C, Pintore S. Variational physics-informed neural networks (VPINNs) for solving partial differential equations[J]. Journal of Scientific Computing, 2022, 92(3): 1–28.</w:t>
      </w:r>
    </w:p>
    <w:p>
      <w:pPr>
        <w:pStyle w:val="aff7"/>
      </w:pPr>
      <w:r>
        <w:t xml:space="preserve">[6] Liu N, Jafarzadeh S, Yu Y. Domain agnostic Fourier neural operators[C]//Advances in Neural Information Processing Systems. 2023, 36.</w:t>
      </w:r>
    </w:p>
    <w:p>
      <w:pPr>
        <w:pStyle w:val="aff7"/>
      </w:pPr>
      <w:r>
        <w:t xml:space="preserve">[7] Linka K, Schäfer A, Meng X, et al. Bayesian physics informed neural networks for real-world nonlinear dynamical systems[J]. Computer Methods in Applied Mechanics and Engineering, 2022, 402: 115346.</w:t>
      </w:r>
    </w:p>
    <w:bookmarkEnd w:id="30"/>
    <w:bookmarkEnd w:id="31"/>
    <w:sectPr w:rsidR="00000000">
      <w:headerReference r:id="rId12" w:type="even"/>
      <w:headerReference r:id="rId10" w:type="default"/>
      <w:footerReference r:id="rId16" w:type="even"/>
      <w:footerReference r:id="rId23" w:type="default"/>
      <w:headerReference r:id="rId14" w:type="first"/>
      <w:footerReference r:id="rId20" w:type="first"/>
      <w:pgSz w:h="16838" w:w="11906"/>
      <w:pgMar w:bottom="1418" w:footer="1134" w:gutter="0" w:header="1418" w:left="1418" w:right="1418" w:top="1985"/>
      <w:cols w:space="720"/>
      <w:docGrid w:charSpace="-2048"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1" w:usb1="080E0000" w:usb2="00000000" w:usb3="00000000" w:csb0="00040000" w:csb1="00000000"/>
  </w:font>
  <w:font w:name="华文细黑">
    <w:panose1 w:val="02010600040101010101"/>
    <w:charset w:val="86"/>
    <w:family w:val="auto"/>
    <w:pitch w:val="variable"/>
    <w:sig w:usb0="00000287" w:usb1="080F0000" w:usb2="00000010" w:usb3="00000000" w:csb0="0004009F" w:csb1="00000000"/>
  </w:font>
  <w:font w:name="华文行楷">
    <w:panose1 w:val="02010800040101010101"/>
    <w:charset w:val="86"/>
    <w:family w:val="auto"/>
    <w:pitch w:val="variable"/>
    <w:sig w:usb0="00000001" w:usb1="080F0000" w:usb2="00000010" w:usb3="00000000" w:csb0="00040000" w:csb1="00000000"/>
  </w:font>
  <w:font w:name="方正小标宋简体">
    <w:altName w:val="微软雅黑"/>
    <w:charset w:val="86"/>
    <w:family w:val="script"/>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0C9C8" w14:textId="77777777" w:rsidR="00000000" w:rsidRDefault="00000000">
    <w:pPr>
      <w:pStyle w:val="aff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F5227" w14:textId="77777777" w:rsidR="00000000" w:rsidRDefault="00000000">
    <w:pPr>
      <w:pStyle w:val="aff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9C481" w14:textId="77777777" w:rsidR="00000000" w:rsidRDefault="00000000">
    <w:pPr>
      <w:pStyle w:val="aff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F96BD" w14:textId="77777777" w:rsidR="00000000" w:rsidRDefault="00000000">
    <w:pPr>
      <w:pStyle w:val="affb"/>
      <w:ind w:firstLine="360"/>
      <w:rPr>
        <w:rFonts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lang w:val="en-US" w:eastAsia="zh-CN"/>
      </w:rPr>
      <w:t>2</w:t>
    </w:r>
    <w:r>
      <w:rPr>
        <w:rFonts w:ascii="宋体" w:hAnsi="宋体"/>
      </w:rPr>
      <w:fldChar w:fldCharType="end"/>
    </w:r>
    <w:r>
      <w:rPr>
        <w:rFonts w:ascii="宋体" w:hAnsi="宋体"/>
      </w:rPr>
      <w:t xml:space="preserve"> -</w:t>
    </w:r>
  </w:p>
  <w:p w14:paraId="6E968123" w14:textId="77777777" w:rsidR="00000000" w:rsidRDefault="0000000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C97E0" w14:textId="77777777" w:rsidR="00000000" w:rsidRDefault="00000000">
    <w:pPr>
      <w:pStyle w:val="affb"/>
      <w:ind w:firstLine="360"/>
    </w:pPr>
    <w:r>
      <w:t xml:space="preserve">- </w:t>
    </w:r>
    <w:r>
      <w:fldChar w:fldCharType="begin"/>
    </w:r>
    <w:r>
      <w:instrText xml:space="preserve"> PAGE </w:instrText>
    </w:r>
    <w:r>
      <w:fldChar w:fldCharType="separate"/>
    </w:r>
    <w:r>
      <w:rPr>
        <w:lang w:val="en-US" w:eastAsia="zh-CN"/>
      </w:rPr>
      <w:t>I</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B714C" w14:textId="77777777" w:rsidR="00000000" w:rsidRDefault="00000000">
    <w:pPr>
      <w:pStyle w:val="affb"/>
      <w:ind w:firstLine="360"/>
    </w:pPr>
    <w:r>
      <w:t xml:space="preserve">- </w:t>
    </w:r>
    <w:r>
      <w:fldChar w:fldCharType="begin"/>
    </w:r>
    <w:r>
      <w:instrText xml:space="preserve"> PAGE </w:instrText>
    </w:r>
    <w:r>
      <w:fldChar w:fldCharType="separate"/>
    </w:r>
    <w:r>
      <w:rPr>
        <w:lang w:val="en-US" w:eastAsia="zh-CN"/>
      </w:rPr>
      <w:t>V</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5083A" w14:textId="77777777" w:rsidR="00000000" w:rsidRDefault="00000000">
    <w:pPr>
      <w:pStyle w:val="affb"/>
      <w:ind w:firstLine="360"/>
      <w:rPr>
        <w:rFonts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lang w:val="en-US" w:eastAsia="zh-CN"/>
      </w:rPr>
      <w:t>1</w:t>
    </w:r>
    <w:r>
      <w:rPr>
        <w:rFonts w:ascii="宋体" w:hAnsi="宋体"/>
      </w:rPr>
      <w:fldChar w:fldCharType="end"/>
    </w:r>
    <w:r>
      <w:rPr>
        <w:rFonts w:ascii="宋体" w:hAnsi="宋体"/>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C3C99" w14:textId="77777777" w:rsidR="00000000" w:rsidRDefault="00000000">
    <w:pPr>
      <w:pStyle w:val="affb"/>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A5220" w14:textId="77777777" w:rsidR="00000000" w:rsidRDefault="00000000">
    <w:pPr>
      <w:pStyle w:val="affb"/>
      <w:ind w:firstLine="360"/>
    </w:pP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F83D6" w14:textId="77777777" w:rsidR="00000000" w:rsidRDefault="00000000">
    <w:pPr>
      <w:pStyle w:val="affc"/>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D6805" w14:textId="77777777" w:rsidR="00000000" w:rsidRDefault="00000000">
    <w:r>
      <w:tab/>
    </w:r>
    <w:r>
      <w:tab/>
    </w:r>
    <w:r>
      <w:tab/>
    </w:r>
    <w:r>
      <w:tab/>
    </w:r>
    <w:r>
      <w:tab/>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A9F6C" w14:textId="77777777" w:rsidR="00000000" w:rsidRDefault="00000000">
    <w:pPr>
      <w:pStyle w:val="affc"/>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1338" w14:textId="77777777" w:rsidR="00000000" w:rsidRDefault="00000000">
    <w:pPr>
      <w:pStyle w:val="affc"/>
      <w:ind w:firstLine="400"/>
    </w:pPr>
    <w:r>
      <w:rPr>
        <w:rFonts w:hint="eastAsia"/>
      </w:rPr>
      <w:t>大连海事大学硕士学位论文格式规范</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F0519" w14:textId="77777777" w:rsidR="00000000" w:rsidRDefault="00000000">
    <w:pPr>
      <w:pStyle w:val="affc"/>
      <w:ind w:firstLine="400"/>
    </w:pPr>
    <w:r>
      <w:rPr>
        <w:rFonts w:hint="eastAsia"/>
      </w:rPr>
      <w:t>大连海事大学硕士学位论文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1FED5" w14:textId="77777777" w:rsidR="00000000" w:rsidRDefault="00000000">
    <w:pPr>
      <w:pStyle w:val="affc"/>
      <w:ind w:firstLine="400"/>
    </w:pPr>
    <w:r>
      <w:rPr>
        <w:rFonts w:hint="eastAsia"/>
      </w:rPr>
      <w:t>大连海事大学硕士学位论文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8998B" w14:textId="77777777" w:rsidR="00000000" w:rsidRDefault="00000000">
    <w:pPr>
      <w:pStyle w:val="affc"/>
      <w:ind w:firstLine="400"/>
    </w:pPr>
    <w:r>
      <w:rPr>
        <w:rFonts w:hint="eastAsia"/>
      </w:rPr>
      <w:t>大连海事大学硕士学位论文</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defaultTabStop w:val="420"/>
  <w:evenAndOddHeaders/>
  <w:drawingGridHorizontalSpacing w:val="2"/>
  <w:drawingGridVerticalSpacing w:val="2"/>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Times New Roman" w:eastAsia="宋体" w:hAnsi="Calibr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6" w:semiHidden="1"/>
    <w:lsdException w:name="toc 7" w:semiHidden="1"/>
    <w:lsdException w:name="caption" w:qFormat="1" w:semiHidden="1" w:unhideWhenUsed="1"/>
    <w:lsdException w:name="Title" w:qFormat="1" w:uiPriority="10"/>
    <w:lsdException w:name="Default Paragraph Font" w:semiHidden="1" w:uiPriority="1" w:unhideWhenUsed="1"/>
    <w:lsdException w:name="Subtitle" w:qFormat="1" w:uiPriority="11"/>
    <w:lsdException w:name="Strong" w:qFormat="1" w:uiPriority="22"/>
    <w:lsdException w:name="Emphasis" w:qFormat="1" w:uiPriority="20"/>
    <w:lsdException w:name="Document Map" w:semiHidden="1"/>
    <w:lsdException w:name="HTML Top of Form" w:semiHidden="1" w:uiPriority="99" w:unhideWhenUsed="1"/>
    <w:lsdException w:name="HTML Bottom of Form" w:semiHidden="1" w:uiPriority="99" w:unhideWhenUsed="1"/>
    <w:lsdException w:name="Normal Table" w:qFormat="1"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napToGrid w:val="0"/>
      <w:spacing w:line="300" w:lineRule="auto"/>
      <w:ind w:firstLine="480" w:firstLineChars="200"/>
    </w:pPr>
    <w:rPr>
      <w:rFonts w:ascii="Times New Roman" w:hAnsi="Times New Roman"/>
      <w:sz w:val="24"/>
      <w:lang w:bidi="en-US" w:eastAsia="en-US"/>
    </w:rPr>
  </w:style>
  <w:style w:styleId="1" w:type="paragraph">
    <w:name w:val="heading 1"/>
    <w:basedOn w:val="a"/>
    <w:next w:val="a"/>
    <w:link w:val="10"/>
    <w:uiPriority w:val="9"/>
    <w:qFormat/>
    <w:pPr>
      <w:keepNext/>
      <w:spacing w:afterLines="100" w:line="360" w:lineRule="auto"/>
      <w:ind w:firstLine="0" w:firstLineChars="0"/>
      <w:outlineLvl w:val="0"/>
    </w:pPr>
    <w:rPr>
      <w:rFonts w:ascii="Cambria" w:eastAsia="黑体" w:hAnsi="Cambria"/>
      <w:bCs/>
      <w:kern w:val="32"/>
      <w:sz w:val="32"/>
      <w:szCs w:val="32"/>
      <w:lang w:eastAsia="zh-CN"/>
    </w:rPr>
  </w:style>
  <w:style w:styleId="2" w:type="paragraph">
    <w:name w:val="heading 2"/>
    <w:basedOn w:val="a"/>
    <w:next w:val="a"/>
    <w:link w:val="20"/>
    <w:uiPriority w:val="9"/>
    <w:qFormat/>
    <w:pPr>
      <w:keepNext/>
      <w:spacing w:beforeLines="50" w:line="360" w:lineRule="auto"/>
      <w:ind w:firstLine="0" w:firstLineChars="0"/>
      <w:outlineLvl w:val="1"/>
    </w:pPr>
    <w:rPr>
      <w:rFonts w:ascii="黑体" w:eastAsia="黑体" w:hAnsi="黑体"/>
      <w:iCs/>
      <w:sz w:val="28"/>
      <w:szCs w:val="28"/>
      <w:lang w:eastAsia="zh-CN"/>
    </w:rPr>
  </w:style>
  <w:style w:styleId="3" w:type="paragraph">
    <w:name w:val="heading 3"/>
    <w:basedOn w:val="a"/>
    <w:next w:val="a"/>
    <w:link w:val="30"/>
    <w:uiPriority w:val="9"/>
    <w:qFormat/>
    <w:pPr>
      <w:keepNext/>
      <w:spacing w:beforeLines="50" w:line="360" w:lineRule="auto"/>
      <w:ind w:firstLine="0" w:firstLineChars="0"/>
      <w:outlineLvl w:val="2"/>
    </w:pPr>
    <w:rPr>
      <w:rFonts w:ascii="黑体" w:eastAsia="黑体" w:hAnsi="黑体"/>
      <w:bCs/>
      <w:lang w:eastAsia="zh-CN"/>
    </w:rPr>
  </w:style>
  <w:style w:styleId="4" w:type="paragraph">
    <w:name w:val="heading 4"/>
    <w:basedOn w:val="a"/>
    <w:next w:val="a"/>
    <w:link w:val="40"/>
    <w:uiPriority w:val="9"/>
    <w:qFormat/>
    <w:pPr>
      <w:keepNext/>
      <w:spacing w:after="60" w:before="240"/>
      <w:outlineLvl w:val="3"/>
    </w:pPr>
    <w:rPr>
      <w:b/>
      <w:bCs/>
      <w:sz w:val="28"/>
      <w:szCs w:val="28"/>
    </w:rPr>
  </w:style>
  <w:style w:styleId="5" w:type="paragraph">
    <w:name w:val="heading 5"/>
    <w:basedOn w:val="a"/>
    <w:next w:val="a"/>
    <w:link w:val="50"/>
    <w:uiPriority w:val="9"/>
    <w:qFormat/>
    <w:pPr>
      <w:spacing w:after="60" w:before="240"/>
      <w:outlineLvl w:val="4"/>
    </w:pPr>
    <w:rPr>
      <w:b/>
      <w:bCs/>
      <w:i/>
      <w:iCs/>
      <w:sz w:val="26"/>
      <w:szCs w:val="26"/>
    </w:rPr>
  </w:style>
  <w:style w:styleId="6" w:type="paragraph">
    <w:name w:val="heading 6"/>
    <w:basedOn w:val="a"/>
    <w:next w:val="a"/>
    <w:link w:val="60"/>
    <w:uiPriority w:val="9"/>
    <w:qFormat/>
    <w:pPr>
      <w:spacing w:after="60" w:before="240"/>
      <w:outlineLvl w:val="5"/>
    </w:pPr>
    <w:rPr>
      <w:b/>
      <w:bCs/>
      <w:sz w:val="22"/>
      <w:szCs w:val="22"/>
    </w:rPr>
  </w:style>
  <w:style w:styleId="7" w:type="paragraph">
    <w:name w:val="heading 7"/>
    <w:basedOn w:val="a"/>
    <w:next w:val="a"/>
    <w:link w:val="70"/>
    <w:uiPriority w:val="9"/>
    <w:qFormat/>
    <w:pPr>
      <w:spacing w:after="60" w:before="240"/>
      <w:outlineLvl w:val="6"/>
    </w:pPr>
  </w:style>
  <w:style w:styleId="8" w:type="paragraph">
    <w:name w:val="heading 8"/>
    <w:basedOn w:val="a"/>
    <w:next w:val="a"/>
    <w:link w:val="80"/>
    <w:uiPriority w:val="9"/>
    <w:qFormat/>
    <w:pPr>
      <w:spacing w:after="60" w:before="240"/>
      <w:outlineLvl w:val="7"/>
    </w:pPr>
    <w:rPr>
      <w:i/>
      <w:iCs/>
    </w:rPr>
  </w:style>
  <w:style w:styleId="9" w:type="paragraph">
    <w:name w:val="heading 9"/>
    <w:basedOn w:val="a"/>
    <w:next w:val="a"/>
    <w:link w:val="90"/>
    <w:uiPriority w:val="9"/>
    <w:qFormat/>
    <w:pPr>
      <w:spacing w:after="60" w:before="240"/>
      <w:outlineLvl w:val="8"/>
    </w:pPr>
    <w:rPr>
      <w:rFonts w:ascii="Cambria" w:hAnsi="Cambria"/>
      <w:sz w:val="22"/>
      <w:szCs w:val="22"/>
    </w:rPr>
  </w:style>
  <w:style w:default="1" w:styleId="a0" w:type="character">
    <w:name w:val="Default Paragraph Font"/>
    <w:uiPriority w:val="1"/>
    <w:unhideWhenUsed/>
  </w:style>
  <w:style w:default="1" w:styleId="a1" w:type="table">
    <w:name w:val="Normal Table"/>
    <w:uiPriority w:val="99"/>
    <w:unhideWhenUsed/>
    <w:qFormat/>
    <w:tblPr>
      <w:tblCellMar>
        <w:top w:type="dxa" w:w="0"/>
        <w:left w:type="dxa" w:w="108"/>
        <w:bottom w:type="dxa" w:w="0"/>
        <w:right w:type="dxa" w:w="108"/>
      </w:tblCellMar>
    </w:tblPr>
  </w:style>
  <w:style w:default="1" w:styleId="a2" w:type="numbering">
    <w:name w:val="No List"/>
    <w:uiPriority w:val="99"/>
    <w:semiHidden/>
    <w:unhideWhenUsed/>
  </w:style>
  <w:style w:customStyle="1" w:styleId="Char" w:type="character">
    <w:name w:val="英文关键词 Char"/>
    <w:basedOn w:val="a0"/>
    <w:link w:val="a3"/>
    <w:rPr>
      <w:rFonts w:ascii="Calibri" w:eastAsia="宋体" w:hAnsi="Calibri"/>
      <w:sz w:val="24"/>
      <w:szCs w:val="24"/>
      <w:lang w:bidi="en-US" w:eastAsia="en-US"/>
    </w:rPr>
  </w:style>
  <w:style w:customStyle="1" w:styleId="Char0" w:type="character">
    <w:name w:val="论文英文题目 Char"/>
    <w:basedOn w:val="a0"/>
    <w:link w:val="a4"/>
    <w:rPr>
      <w:b/>
      <w:sz w:val="32"/>
      <w:szCs w:val="32"/>
      <w:lang w:bidi="en-US" w:eastAsia="en-US" w:val="en-US"/>
    </w:rPr>
  </w:style>
  <w:style w:styleId="a5" w:type="character">
    <w:name w:val="Subtle Emphasis"/>
    <w:uiPriority w:val="19"/>
    <w:qFormat/>
    <w:rPr>
      <w:i/>
      <w:color w:val="5A5A5A"/>
    </w:rPr>
  </w:style>
  <w:style w:customStyle="1" w:styleId="Char1" w:type="character">
    <w:name w:val="关键词题头 Char"/>
    <w:basedOn w:val="a0"/>
    <w:link w:val="a6"/>
    <w:rPr>
      <w:rFonts w:ascii="黑体" w:eastAsia="黑体"/>
      <w:sz w:val="24"/>
      <w:szCs w:val="24"/>
      <w:lang w:bidi="en-US"/>
    </w:rPr>
  </w:style>
  <w:style w:customStyle="1" w:styleId="70" w:type="character">
    <w:name w:val="标题 7 字符"/>
    <w:basedOn w:val="a0"/>
    <w:link w:val="7"/>
    <w:uiPriority w:val="9"/>
    <w:semiHidden/>
    <w:rPr>
      <w:sz w:val="24"/>
      <w:szCs w:val="24"/>
    </w:rPr>
  </w:style>
  <w:style w:styleId="a7" w:type="character">
    <w:name w:val="Strong"/>
    <w:basedOn w:val="a0"/>
    <w:uiPriority w:val="22"/>
    <w:qFormat/>
    <w:rPr>
      <w:b/>
      <w:bCs/>
    </w:rPr>
  </w:style>
  <w:style w:styleId="a8" w:type="character">
    <w:name w:val="page number"/>
    <w:basedOn w:val="a0"/>
  </w:style>
  <w:style w:styleId="a9" w:type="character">
    <w:name w:val="Emphasis"/>
    <w:basedOn w:val="a0"/>
    <w:uiPriority w:val="20"/>
    <w:qFormat/>
    <w:rPr>
      <w:rFonts w:ascii="Calibri" w:hAnsi="Calibri"/>
      <w:b/>
      <w:i/>
      <w:iCs/>
    </w:rPr>
  </w:style>
  <w:style w:styleId="aa" w:type="character">
    <w:name w:val="Hyperlink"/>
    <w:basedOn w:val="a0"/>
    <w:rPr>
      <w:color w:val="0000FF"/>
      <w:u w:val="single"/>
    </w:rPr>
  </w:style>
  <w:style w:customStyle="1" w:styleId="Char2" w:type="character">
    <w:name w:val="参考文献标题 Char"/>
    <w:basedOn w:val="10"/>
    <w:link w:val="ab"/>
    <w:rPr>
      <w:rFonts w:ascii="Cambria" w:eastAsia="黑体" w:hAnsi="Cambria"/>
      <w:bCs/>
      <w:kern w:val="32"/>
      <w:sz w:val="32"/>
      <w:szCs w:val="32"/>
      <w:lang w:bidi="en-US"/>
    </w:rPr>
  </w:style>
  <w:style w:customStyle="1" w:styleId="60" w:type="character">
    <w:name w:val="标题 6 字符"/>
    <w:basedOn w:val="a0"/>
    <w:link w:val="6"/>
    <w:uiPriority w:val="9"/>
    <w:semiHidden/>
    <w:rPr>
      <w:b/>
      <w:bCs/>
    </w:rPr>
  </w:style>
  <w:style w:customStyle="1" w:styleId="10" w:type="character">
    <w:name w:val="标题 1 字符"/>
    <w:basedOn w:val="a0"/>
    <w:link w:val="1"/>
    <w:uiPriority w:val="9"/>
    <w:rPr>
      <w:rFonts w:ascii="Cambria" w:eastAsia="黑体" w:hAnsi="Cambria"/>
      <w:bCs/>
      <w:kern w:val="32"/>
      <w:sz w:val="32"/>
      <w:szCs w:val="32"/>
      <w:lang w:bidi="en-US"/>
    </w:rPr>
  </w:style>
  <w:style w:customStyle="1" w:styleId="Char3" w:type="character">
    <w:name w:val="英文摘要 Char"/>
    <w:basedOn w:val="10"/>
    <w:link w:val="ac"/>
    <w:rPr>
      <w:rFonts w:ascii="Cambria" w:cs="宋体" w:eastAsia="黑体" w:hAnsi="Cambria"/>
      <w:b/>
      <w:bCs/>
      <w:kern w:val="32"/>
      <w:sz w:val="30"/>
      <w:szCs w:val="32"/>
      <w:lang w:bidi="en-US"/>
    </w:rPr>
  </w:style>
  <w:style w:customStyle="1" w:styleId="Char4" w:type="character">
    <w:name w:val="附录 Char"/>
    <w:basedOn w:val="Char3"/>
    <w:link w:val="ad"/>
    <w:rPr>
      <w:rFonts w:ascii="Cambria" w:cs="宋体" w:eastAsia="黑体" w:hAnsi="Cambria"/>
      <w:b/>
      <w:bCs/>
      <w:kern w:val="32"/>
      <w:sz w:val="30"/>
      <w:szCs w:val="32"/>
      <w:lang w:bidi="en-US"/>
    </w:rPr>
  </w:style>
  <w:style w:customStyle="1" w:styleId="20" w:type="character">
    <w:name w:val="标题 2 字符"/>
    <w:basedOn w:val="a0"/>
    <w:link w:val="2"/>
    <w:uiPriority w:val="9"/>
    <w:rPr>
      <w:rFonts w:ascii="黑体" w:eastAsia="黑体" w:hAnsi="黑体"/>
      <w:iCs/>
      <w:sz w:val="28"/>
      <w:szCs w:val="28"/>
      <w:lang w:bidi="en-US"/>
    </w:rPr>
  </w:style>
  <w:style w:customStyle="1" w:styleId="30" w:type="character">
    <w:name w:val="标题 3 字符"/>
    <w:basedOn w:val="a0"/>
    <w:link w:val="3"/>
    <w:uiPriority w:val="9"/>
    <w:rPr>
      <w:rFonts w:ascii="黑体" w:eastAsia="黑体" w:hAnsi="黑体"/>
      <w:bCs/>
      <w:sz w:val="24"/>
      <w:lang w:bidi="en-US"/>
    </w:rPr>
  </w:style>
  <w:style w:customStyle="1" w:styleId="40" w:type="character">
    <w:name w:val="标题 4 字符"/>
    <w:basedOn w:val="a0"/>
    <w:link w:val="4"/>
    <w:uiPriority w:val="9"/>
    <w:rPr>
      <w:b/>
      <w:bCs/>
      <w:sz w:val="28"/>
      <w:szCs w:val="28"/>
    </w:rPr>
  </w:style>
  <w:style w:customStyle="1" w:styleId="50" w:type="character">
    <w:name w:val="标题 5 字符"/>
    <w:basedOn w:val="a0"/>
    <w:link w:val="5"/>
    <w:uiPriority w:val="9"/>
    <w:semiHidden/>
    <w:rPr>
      <w:b/>
      <w:bCs/>
      <w:i/>
      <w:iCs/>
      <w:sz w:val="26"/>
      <w:szCs w:val="26"/>
    </w:rPr>
  </w:style>
  <w:style w:customStyle="1" w:styleId="80" w:type="character">
    <w:name w:val="标题 8 字符"/>
    <w:basedOn w:val="a0"/>
    <w:link w:val="8"/>
    <w:uiPriority w:val="9"/>
    <w:semiHidden/>
    <w:rPr>
      <w:i/>
      <w:iCs/>
      <w:sz w:val="24"/>
      <w:szCs w:val="24"/>
    </w:rPr>
  </w:style>
  <w:style w:customStyle="1" w:styleId="90" w:type="character">
    <w:name w:val="标题 9 字符"/>
    <w:basedOn w:val="a0"/>
    <w:link w:val="9"/>
    <w:uiPriority w:val="9"/>
    <w:semiHidden/>
    <w:rPr>
      <w:rFonts w:ascii="Cambria" w:eastAsia="宋体" w:hAnsi="Cambria"/>
    </w:rPr>
  </w:style>
  <w:style w:customStyle="1" w:styleId="ae" w:type="character">
    <w:name w:val="标题 字符"/>
    <w:basedOn w:val="a0"/>
    <w:link w:val="af"/>
    <w:uiPriority w:val="10"/>
    <w:rPr>
      <w:rFonts w:ascii="Cambria" w:eastAsia="宋体" w:hAnsi="Cambria"/>
      <w:b/>
      <w:bCs/>
      <w:kern w:val="28"/>
      <w:sz w:val="32"/>
      <w:szCs w:val="32"/>
    </w:rPr>
  </w:style>
  <w:style w:customStyle="1" w:styleId="af0" w:type="character">
    <w:name w:val="副标题 字符"/>
    <w:basedOn w:val="a0"/>
    <w:link w:val="af1"/>
    <w:uiPriority w:val="11"/>
    <w:rPr>
      <w:rFonts w:ascii="Cambria" w:eastAsia="宋体" w:hAnsi="Cambria"/>
      <w:sz w:val="24"/>
      <w:szCs w:val="24"/>
    </w:rPr>
  </w:style>
  <w:style w:customStyle="1" w:styleId="af2" w:type="character">
    <w:name w:val="引用 字符"/>
    <w:basedOn w:val="a0"/>
    <w:link w:val="af3"/>
    <w:uiPriority w:val="29"/>
    <w:rPr>
      <w:i/>
      <w:sz w:val="24"/>
      <w:szCs w:val="24"/>
    </w:rPr>
  </w:style>
  <w:style w:customStyle="1" w:styleId="af4" w:type="character">
    <w:name w:val="明显引用 字符"/>
    <w:basedOn w:val="a0"/>
    <w:link w:val="af5"/>
    <w:uiPriority w:val="30"/>
    <w:rPr>
      <w:b/>
      <w:i/>
      <w:sz w:val="24"/>
    </w:rPr>
  </w:style>
  <w:style w:styleId="af6" w:type="character">
    <w:name w:val="Intense Emphasis"/>
    <w:basedOn w:val="a0"/>
    <w:uiPriority w:val="21"/>
    <w:qFormat/>
    <w:rPr>
      <w:b/>
      <w:i/>
      <w:sz w:val="24"/>
      <w:szCs w:val="24"/>
      <w:u w:val="single"/>
    </w:rPr>
  </w:style>
  <w:style w:styleId="af7" w:type="character">
    <w:name w:val="Intense Reference"/>
    <w:basedOn w:val="a0"/>
    <w:uiPriority w:val="32"/>
    <w:qFormat/>
    <w:rPr>
      <w:b/>
      <w:sz w:val="24"/>
      <w:u w:val="single"/>
    </w:rPr>
  </w:style>
  <w:style w:styleId="af8" w:type="character">
    <w:name w:val="Book Title"/>
    <w:basedOn w:val="a0"/>
    <w:uiPriority w:val="33"/>
    <w:qFormat/>
    <w:rPr>
      <w:rFonts w:ascii="Cambria" w:eastAsia="宋体" w:hAnsi="Cambria"/>
      <w:b/>
      <w:i/>
      <w:sz w:val="24"/>
      <w:szCs w:val="24"/>
    </w:rPr>
  </w:style>
  <w:style w:customStyle="1" w:styleId="Char5" w:type="character">
    <w:name w:val="授权说明正文 Char"/>
    <w:basedOn w:val="a0"/>
    <w:link w:val="af9"/>
    <w:rPr>
      <w:rFonts w:ascii="仿宋_GB2312" w:eastAsia="仿宋_GB2312"/>
      <w:sz w:val="28"/>
      <w:szCs w:val="28"/>
      <w:lang w:bidi="en-US"/>
    </w:rPr>
  </w:style>
  <w:style w:customStyle="1" w:styleId="Char6" w:type="character">
    <w:name w:val="硕士学位论文 Char"/>
    <w:basedOn w:val="a0"/>
    <w:link w:val="afa"/>
    <w:rPr>
      <w:rFonts w:ascii="华文细黑" w:eastAsia="宋体" w:hAnsi="华文细黑"/>
      <w:b/>
      <w:sz w:val="48"/>
      <w:szCs w:val="48"/>
      <w:lang w:bidi="en-US" w:eastAsia="zh-CN" w:val="en-US"/>
    </w:rPr>
  </w:style>
  <w:style w:customStyle="1" w:styleId="Char7" w:type="character">
    <w:name w:val="论文题目 Char"/>
    <w:basedOn w:val="a0"/>
    <w:link w:val="afb"/>
    <w:rPr>
      <w:rFonts w:ascii="华文细黑" w:eastAsia="华文细黑" w:hAnsi="华文细黑"/>
      <w:b/>
      <w:sz w:val="44"/>
      <w:szCs w:val="44"/>
      <w:lang w:bidi="en-US"/>
    </w:rPr>
  </w:style>
  <w:style w:customStyle="1" w:styleId="Char8" w:type="character">
    <w:name w:val="首页居中 Char"/>
    <w:basedOn w:val="a0"/>
    <w:link w:val="afc"/>
    <w:rPr>
      <w:sz w:val="30"/>
      <w:szCs w:val="30"/>
      <w:lang w:bidi="en-US"/>
    </w:rPr>
  </w:style>
  <w:style w:customStyle="1" w:styleId="Char9" w:type="character">
    <w:name w:val="首页页脚中文 Char"/>
    <w:basedOn w:val="a0"/>
    <w:link w:val="afd"/>
    <w:rPr>
      <w:rFonts w:ascii="华文行楷" w:eastAsia="华文行楷" w:hAnsi="Times New Roman"/>
      <w:sz w:val="36"/>
      <w:szCs w:val="36"/>
      <w:lang w:bidi="en-US"/>
    </w:rPr>
  </w:style>
  <w:style w:customStyle="1" w:styleId="Chara" w:type="character">
    <w:name w:val="首页页脚英文 Char"/>
    <w:basedOn w:val="a0"/>
    <w:link w:val="afe"/>
    <w:rPr>
      <w:rFonts w:ascii="Times New Roman" w:hAnsi="Times New Roman"/>
      <w:sz w:val="24"/>
      <w:lang w:bidi="en-US"/>
    </w:rPr>
  </w:style>
  <w:style w:customStyle="1" w:styleId="Charb" w:type="character">
    <w:name w:val="独创声明 Char"/>
    <w:basedOn w:val="a0"/>
    <w:link w:val="aff"/>
    <w:rPr>
      <w:rFonts w:ascii="Times New Roman" w:hAnsi="Times New Roman"/>
      <w:sz w:val="36"/>
      <w:szCs w:val="36"/>
      <w:lang w:bidi="en-US"/>
    </w:rPr>
  </w:style>
  <w:style w:customStyle="1" w:styleId="Charc" w:type="character">
    <w:name w:val="独创声明正文 Char"/>
    <w:basedOn w:val="a0"/>
    <w:link w:val="aff0"/>
    <w:rPr>
      <w:rFonts w:ascii="仿宋_GB2312" w:eastAsia="仿宋_GB2312"/>
      <w:sz w:val="28"/>
      <w:szCs w:val="28"/>
      <w:lang w:bidi="en-US" w:eastAsia="en-US"/>
    </w:rPr>
  </w:style>
  <w:style w:customStyle="1" w:styleId="Chard" w:type="character">
    <w:name w:val="关键词 Char"/>
    <w:basedOn w:val="a0"/>
    <w:link w:val="aff1"/>
    <w:rPr>
      <w:rFonts w:ascii="仿宋_GB2312" w:eastAsia="仿宋_GB2312"/>
      <w:sz w:val="24"/>
      <w:szCs w:val="24"/>
      <w:lang w:bidi="en-US"/>
    </w:rPr>
  </w:style>
  <w:style w:customStyle="1" w:styleId="Chare" w:type="character">
    <w:name w:val="摘要题目 Char"/>
    <w:basedOn w:val="a0"/>
    <w:link w:val="aff2"/>
    <w:rPr>
      <w:rFonts w:ascii="Times New Roman" w:hAnsi="Times New Roman"/>
      <w:sz w:val="30"/>
      <w:szCs w:val="30"/>
      <w:lang w:bidi="en-US" w:eastAsia="en-US"/>
    </w:rPr>
  </w:style>
  <w:style w:customStyle="1" w:styleId="1Char" w:type="character">
    <w:name w:val="正文1 Char"/>
    <w:basedOn w:val="a0"/>
    <w:link w:val="11"/>
    <w:rPr>
      <w:rFonts w:ascii="Times New Roman" w:hAnsi="Times New Roman"/>
      <w:sz w:val="24"/>
      <w:lang w:bidi="en-US" w:eastAsia="en-US"/>
    </w:rPr>
  </w:style>
  <w:style w:customStyle="1" w:styleId="Charf" w:type="character">
    <w:name w:val="英文摘要正文 Char"/>
    <w:basedOn w:val="1Char"/>
    <w:link w:val="aff3"/>
    <w:rPr>
      <w:rFonts w:ascii="Times New Roman" w:hAnsi="Times New Roman"/>
      <w:sz w:val="24"/>
      <w:lang w:bidi="en-US" w:eastAsia="en-US"/>
    </w:rPr>
  </w:style>
  <w:style w:customStyle="1" w:styleId="KeywordsChar" w:type="character">
    <w:name w:val="Keywords Char"/>
    <w:basedOn w:val="a0"/>
    <w:link w:val="Keywords"/>
    <w:rPr>
      <w:rFonts w:eastAsia="宋体"/>
      <w:b/>
      <w:sz w:val="24"/>
      <w:szCs w:val="24"/>
      <w:lang w:bidi="en-US" w:eastAsia="en-US"/>
    </w:rPr>
  </w:style>
  <w:style w:customStyle="1" w:styleId="Charf0" w:type="character">
    <w:name w:val="目录 Char"/>
    <w:basedOn w:val="a0"/>
    <w:link w:val="aff4"/>
    <w:rPr>
      <w:rFonts w:ascii="黑体" w:eastAsia="黑体" w:hAnsi="Times New Roman"/>
      <w:sz w:val="30"/>
      <w:szCs w:val="30"/>
      <w:lang w:bidi="en-US" w:eastAsia="en-US" w:val="en-US"/>
    </w:rPr>
  </w:style>
  <w:style w:customStyle="1" w:styleId="1Char0" w:type="character">
    <w:name w:val="标题1居中 Char"/>
    <w:basedOn w:val="10"/>
    <w:link w:val="12"/>
    <w:rPr>
      <w:rFonts w:ascii="Cambria" w:eastAsia="黑体" w:hAnsi="Cambria"/>
      <w:bCs/>
      <w:kern w:val="32"/>
      <w:sz w:val="32"/>
      <w:szCs w:val="32"/>
      <w:lang w:bidi="en-US"/>
    </w:rPr>
  </w:style>
  <w:style w:customStyle="1" w:styleId="Charf1" w:type="character">
    <w:name w:val="图名中文 Char"/>
    <w:basedOn w:val="a0"/>
    <w:link w:val="aff5"/>
    <w:rPr>
      <w:rFonts w:ascii="宋体" w:hAnsi="宋体"/>
      <w:sz w:val="21"/>
      <w:szCs w:val="21"/>
      <w:lang w:bidi="en-US" w:eastAsia="en-US"/>
    </w:rPr>
  </w:style>
  <w:style w:customStyle="1" w:styleId="Charf2" w:type="character">
    <w:name w:val="图名英文 Char"/>
    <w:basedOn w:val="a0"/>
    <w:link w:val="aff6"/>
    <w:rPr>
      <w:rFonts w:ascii="Times New Roman" w:hAnsi="Times New Roman"/>
      <w:sz w:val="21"/>
      <w:szCs w:val="21"/>
      <w:lang w:bidi="en-US" w:eastAsia="en-US"/>
    </w:rPr>
  </w:style>
  <w:style w:customStyle="1" w:styleId="Charf3" w:type="character">
    <w:name w:val="参考文献正文 Char"/>
    <w:basedOn w:val="a0"/>
    <w:link w:val="aff7"/>
    <w:rPr>
      <w:rFonts w:ascii="宋体" w:hAnsi="宋体"/>
      <w:sz w:val="21"/>
      <w:szCs w:val="21"/>
      <w:lang w:bidi="en-US"/>
    </w:rPr>
  </w:style>
  <w:style w:customStyle="1" w:styleId="aff" w:type="paragraph">
    <w:name w:val="独创声明"/>
    <w:basedOn w:val="a"/>
    <w:link w:val="Charb"/>
    <w:qFormat/>
    <w:pPr>
      <w:ind w:firstLine="0" w:firstLineChars="0"/>
      <w:jc w:val="center"/>
    </w:pPr>
    <w:rPr>
      <w:sz w:val="36"/>
      <w:szCs w:val="36"/>
      <w:lang w:eastAsia="zh-CN"/>
    </w:rPr>
  </w:style>
  <w:style w:customStyle="1" w:styleId="aff8" w:type="paragraph">
    <w:name w:val="授权书"/>
    <w:basedOn w:val="1"/>
    <w:pPr>
      <w:spacing w:beforeLines="300"/>
      <w:jc w:val="center"/>
    </w:pPr>
  </w:style>
  <w:style w:customStyle="1" w:styleId="aff5" w:type="paragraph">
    <w:name w:val="图名中文"/>
    <w:basedOn w:val="a"/>
    <w:link w:val="Charf1"/>
    <w:qFormat/>
    <w:pPr>
      <w:jc w:val="center"/>
    </w:pPr>
    <w:rPr>
      <w:rFonts w:ascii="宋体" w:hAnsi="宋体"/>
      <w:sz w:val="21"/>
      <w:szCs w:val="21"/>
    </w:rPr>
  </w:style>
  <w:style w:styleId="TOC7" w:type="paragraph">
    <w:name w:val="toc 7"/>
    <w:basedOn w:val="a"/>
    <w:next w:val="a"/>
    <w:semiHidden/>
    <w:pPr>
      <w:widowControl w:val="0"/>
      <w:ind w:left="2520" w:leftChars="1200"/>
    </w:pPr>
    <w:rPr>
      <w:kern w:val="2"/>
      <w:sz w:val="21"/>
    </w:rPr>
  </w:style>
  <w:style w:styleId="aff9" w:type="paragraph">
    <w:name w:val="Document Map"/>
    <w:basedOn w:val="a"/>
    <w:semiHidden/>
    <w:pPr>
      <w:shd w:color="auto" w:fill="000080" w:val="clear"/>
    </w:pPr>
  </w:style>
  <w:style w:styleId="TOC3" w:type="paragraph">
    <w:name w:val="toc 3"/>
    <w:basedOn w:val="a"/>
    <w:next w:val="a"/>
    <w:uiPriority w:val="39"/>
    <w:pPr>
      <w:ind w:left="840" w:leftChars="400"/>
    </w:pPr>
  </w:style>
  <w:style w:styleId="affa" w:type="paragraph">
    <w:name w:val="Balloon Text"/>
    <w:basedOn w:val="a"/>
    <w:semiHidden/>
    <w:rPr>
      <w:sz w:val="18"/>
      <w:szCs w:val="18"/>
    </w:rPr>
  </w:style>
  <w:style w:customStyle="1" w:styleId="afa" w:type="paragraph">
    <w:name w:val="硕士学位论文"/>
    <w:basedOn w:val="a"/>
    <w:link w:val="Char6"/>
    <w:qFormat/>
    <w:pPr>
      <w:ind w:firstLine="0" w:firstLineChars="0"/>
      <w:jc w:val="center"/>
    </w:pPr>
    <w:rPr>
      <w:rFonts w:ascii="华文细黑" w:hAnsi="华文细黑"/>
      <w:b/>
      <w:sz w:val="48"/>
      <w:szCs w:val="48"/>
      <w:lang w:eastAsia="zh-CN"/>
    </w:rPr>
  </w:style>
  <w:style w:styleId="affb" w:type="paragraph">
    <w:name w:val="footer"/>
    <w:basedOn w:val="a"/>
    <w:pPr>
      <w:tabs>
        <w:tab w:pos="4153" w:val="center"/>
        <w:tab w:pos="8306" w:val="right"/>
      </w:tabs>
      <w:spacing w:before="600" w:line="180" w:lineRule="atLeast"/>
      <w:jc w:val="center"/>
    </w:pPr>
    <w:rPr>
      <w:sz w:val="18"/>
      <w:szCs w:val="18"/>
    </w:rPr>
  </w:style>
  <w:style w:styleId="affc" w:type="paragraph">
    <w:name w:val="header"/>
    <w:basedOn w:val="a"/>
    <w:pPr>
      <w:keepLines/>
      <w:pBdr>
        <w:bottom w:color="auto" w:space="1" w:sz="6" w:val="single"/>
      </w:pBdr>
      <w:tabs>
        <w:tab w:pos="4153" w:val="center"/>
        <w:tab w:pos="8306" w:val="right"/>
      </w:tabs>
      <w:spacing w:after="600" w:line="180" w:lineRule="atLeast"/>
      <w:jc w:val="center"/>
    </w:pPr>
    <w:rPr>
      <w:spacing w:val="-5"/>
      <w:sz w:val="21"/>
      <w:szCs w:val="21"/>
      <w:lang w:eastAsia="zh-CN"/>
    </w:rPr>
  </w:style>
  <w:style w:styleId="TOC1" w:type="paragraph">
    <w:name w:val="toc 1"/>
    <w:basedOn w:val="a"/>
    <w:next w:val="a"/>
    <w:uiPriority w:val="39"/>
    <w:pPr>
      <w:tabs>
        <w:tab w:leader="dot" w:pos="9060" w:val="right"/>
      </w:tabs>
      <w:ind w:firstLine="0" w:firstLineChars="0" w:left="482"/>
    </w:pPr>
  </w:style>
  <w:style w:customStyle="1" w:styleId="aff3" w:type="paragraph">
    <w:name w:val="英文摘要正文"/>
    <w:basedOn w:val="11"/>
    <w:link w:val="Charf"/>
    <w:qFormat/>
    <w:rPr>
      <w:rFonts w:eastAsia="Times New Roman"/>
    </w:rPr>
  </w:style>
  <w:style w:customStyle="1" w:styleId="afd" w:type="paragraph">
    <w:name w:val="首页页脚中文"/>
    <w:basedOn w:val="a"/>
    <w:link w:val="Char9"/>
    <w:qFormat/>
    <w:pPr>
      <w:ind w:firstLine="0" w:firstLineChars="0"/>
      <w:jc w:val="center"/>
    </w:pPr>
    <w:rPr>
      <w:rFonts w:ascii="华文行楷" w:eastAsia="华文行楷"/>
      <w:sz w:val="36"/>
      <w:szCs w:val="36"/>
      <w:lang w:eastAsia="zh-CN"/>
    </w:rPr>
  </w:style>
  <w:style w:styleId="af1" w:type="paragraph">
    <w:name w:val="Subtitle"/>
    <w:basedOn w:val="a"/>
    <w:next w:val="a"/>
    <w:link w:val="af0"/>
    <w:uiPriority w:val="11"/>
    <w:qFormat/>
    <w:pPr>
      <w:spacing w:after="60"/>
      <w:jc w:val="center"/>
      <w:outlineLvl w:val="1"/>
    </w:pPr>
    <w:rPr>
      <w:rFonts w:ascii="Cambria" w:hAnsi="Cambria"/>
    </w:rPr>
  </w:style>
  <w:style w:styleId="TOC6" w:type="paragraph">
    <w:name w:val="toc 6"/>
    <w:basedOn w:val="a"/>
    <w:next w:val="a"/>
    <w:semiHidden/>
    <w:pPr>
      <w:widowControl w:val="0"/>
      <w:ind w:left="2100" w:leftChars="1000"/>
    </w:pPr>
    <w:rPr>
      <w:kern w:val="2"/>
      <w:sz w:val="21"/>
    </w:rPr>
  </w:style>
  <w:style w:customStyle="1" w:styleId="afb" w:type="paragraph">
    <w:name w:val="论文题目"/>
    <w:basedOn w:val="a"/>
    <w:link w:val="Char7"/>
    <w:qFormat/>
    <w:pPr>
      <w:ind w:firstLine="0" w:firstLineChars="0"/>
      <w:jc w:val="center"/>
    </w:pPr>
    <w:rPr>
      <w:rFonts w:ascii="华文细黑" w:eastAsia="华文细黑" w:hAnsi="华文细黑"/>
      <w:b/>
      <w:sz w:val="44"/>
      <w:szCs w:val="44"/>
      <w:lang w:eastAsia="zh-CN"/>
    </w:rPr>
  </w:style>
  <w:style w:styleId="affd" w:type="paragraph">
    <w:name w:val="table of figures"/>
    <w:basedOn w:val="a"/>
    <w:next w:val="a"/>
    <w:pPr>
      <w:ind w:hanging="200" w:hangingChars="200" w:left="200" w:leftChars="200"/>
      <w:jc w:val="both"/>
    </w:pPr>
  </w:style>
  <w:style w:styleId="TOC2" w:type="paragraph">
    <w:name w:val="toc 2"/>
    <w:basedOn w:val="a"/>
    <w:next w:val="a"/>
    <w:uiPriority w:val="39"/>
    <w:pPr>
      <w:ind w:left="420" w:leftChars="200"/>
    </w:pPr>
  </w:style>
  <w:style w:customStyle="1" w:styleId="aff0" w:type="paragraph">
    <w:name w:val="独创声明正文"/>
    <w:basedOn w:val="a"/>
    <w:link w:val="Charc"/>
    <w:qFormat/>
    <w:pPr>
      <w:spacing w:after="100" w:afterAutospacing="1" w:beforeLines="100" w:line="360" w:lineRule="auto"/>
      <w:ind w:firstLine="560"/>
    </w:pPr>
    <w:rPr>
      <w:rFonts w:ascii="仿宋_GB2312" w:eastAsia="仿宋_GB2312"/>
      <w:sz w:val="28"/>
      <w:szCs w:val="28"/>
    </w:rPr>
  </w:style>
  <w:style w:styleId="af5" w:type="paragraph">
    <w:name w:val="Intense Quote"/>
    <w:basedOn w:val="a"/>
    <w:next w:val="a"/>
    <w:link w:val="af4"/>
    <w:uiPriority w:val="30"/>
    <w:qFormat/>
    <w:pPr>
      <w:ind w:left="720" w:right="720"/>
    </w:pPr>
    <w:rPr>
      <w:b/>
      <w:i/>
      <w:szCs w:val="22"/>
    </w:rPr>
  </w:style>
  <w:style w:styleId="affe" w:type="paragraph">
    <w:name w:val="No Spacing"/>
    <w:basedOn w:val="a"/>
    <w:uiPriority w:val="1"/>
    <w:qFormat/>
    <w:rPr>
      <w:szCs w:val="32"/>
    </w:rPr>
  </w:style>
  <w:style w:styleId="af" w:type="paragraph">
    <w:name w:val="Title"/>
    <w:basedOn w:val="a"/>
    <w:next w:val="a"/>
    <w:link w:val="ae"/>
    <w:uiPriority w:val="10"/>
    <w:qFormat/>
    <w:pPr>
      <w:spacing w:after="60" w:before="240"/>
      <w:jc w:val="center"/>
      <w:outlineLvl w:val="0"/>
    </w:pPr>
    <w:rPr>
      <w:rFonts w:ascii="Cambria" w:hAnsi="Cambria"/>
      <w:b/>
      <w:bCs/>
      <w:kern w:val="28"/>
      <w:sz w:val="32"/>
      <w:szCs w:val="32"/>
    </w:rPr>
  </w:style>
  <w:style w:styleId="TOC" w:type="paragraph">
    <w:name w:val="TOC Heading"/>
    <w:basedOn w:val="1"/>
    <w:next w:val="a"/>
    <w:uiPriority w:val="39"/>
    <w:qFormat/>
    <w:pPr>
      <w:outlineLvl w:val="9"/>
    </w:pPr>
  </w:style>
  <w:style w:customStyle="1" w:styleId="afc" w:type="paragraph">
    <w:name w:val="首页居中"/>
    <w:basedOn w:val="a"/>
    <w:link w:val="Char8"/>
    <w:qFormat/>
    <w:pPr>
      <w:spacing w:line="360" w:lineRule="auto"/>
      <w:ind w:firstLine="1977" w:firstLineChars="659"/>
    </w:pPr>
    <w:rPr>
      <w:sz w:val="30"/>
      <w:szCs w:val="30"/>
      <w:lang w:eastAsia="zh-CN"/>
    </w:rPr>
  </w:style>
  <w:style w:customStyle="1" w:styleId="ac" w:type="paragraph">
    <w:name w:val="英文摘要"/>
    <w:basedOn w:val="1"/>
    <w:link w:val="Char3"/>
    <w:pPr>
      <w:jc w:val="center"/>
    </w:pPr>
    <w:rPr>
      <w:rFonts w:cs="宋体"/>
      <w:bCs w:val="0"/>
      <w:sz w:val="30"/>
      <w:szCs w:val="20"/>
    </w:rPr>
  </w:style>
  <w:style w:customStyle="1" w:styleId="aff1" w:type="paragraph">
    <w:name w:val="关键词"/>
    <w:basedOn w:val="a"/>
    <w:link w:val="Chard"/>
    <w:qFormat/>
    <w:rPr>
      <w:rFonts w:ascii="仿宋_GB2312" w:eastAsia="仿宋_GB2312"/>
      <w:lang w:eastAsia="zh-CN"/>
    </w:rPr>
  </w:style>
  <w:style w:styleId="af3" w:type="paragraph">
    <w:name w:val="Quote"/>
    <w:basedOn w:val="a"/>
    <w:next w:val="a"/>
    <w:link w:val="af2"/>
    <w:uiPriority w:val="29"/>
    <w:qFormat/>
    <w:rPr>
      <w:i/>
    </w:rPr>
  </w:style>
  <w:style w:customStyle="1" w:styleId="21" w:type="paragraph">
    <w:name w:val="样式 标题 2"/>
    <w:basedOn w:val="2"/>
    <w:rPr>
      <w:rFonts w:cs="宋体"/>
      <w:szCs w:val="20"/>
    </w:rPr>
  </w:style>
  <w:style w:customStyle="1" w:styleId="afff" w:type="paragraph">
    <w:name w:val="公式"/>
    <w:basedOn w:val="a"/>
    <w:pPr>
      <w:spacing w:after="120" w:before="120"/>
      <w:jc w:val="right"/>
    </w:pPr>
    <w:rPr>
      <w:rFonts w:cs="宋体"/>
    </w:rPr>
  </w:style>
  <w:style w:customStyle="1" w:styleId="afff0" w:type="paragraph">
    <w:name w:val="摘要"/>
    <w:basedOn w:val="1"/>
    <w:pPr>
      <w:jc w:val="center"/>
    </w:pPr>
    <w:rPr>
      <w:rFonts w:cs="宋体"/>
      <w:bCs w:val="0"/>
      <w:szCs w:val="20"/>
      <w:lang w:eastAsia="zh-CN" w:val="en-US"/>
    </w:rPr>
  </w:style>
  <w:style w:customStyle="1" w:styleId="11" w:type="paragraph">
    <w:name w:val="正文1"/>
    <w:basedOn w:val="a"/>
    <w:link w:val="1Char"/>
    <w:pPr>
      <w:spacing w:after="0" w:before="0"/>
      <w:ind w:firstLine="480"/>
      <w:jc w:val="both"/>
    </w:pPr>
  </w:style>
  <w:style w:customStyle="1" w:styleId="afff1" w:type="paragraph">
    <w:name w:val="引言"/>
    <w:basedOn w:val="1"/>
    <w:pPr>
      <w:jc w:val="center"/>
    </w:pPr>
    <w:rPr>
      <w:rFonts w:cs="宋体"/>
      <w:bCs w:val="0"/>
      <w:sz w:val="30"/>
      <w:szCs w:val="20"/>
    </w:rPr>
  </w:style>
  <w:style w:customStyle="1" w:styleId="afff2" w:type="paragraph">
    <w:name w:val="参考文献"/>
    <w:basedOn w:val="ac"/>
  </w:style>
  <w:style w:customStyle="1" w:styleId="afff3" w:type="paragraph">
    <w:name w:val="结论"/>
    <w:basedOn w:val="ac"/>
  </w:style>
  <w:style w:customStyle="1" w:styleId="a4" w:type="paragraph">
    <w:name w:val="论文英文题目"/>
    <w:basedOn w:val="a"/>
    <w:link w:val="Char0"/>
    <w:qFormat/>
    <w:pPr>
      <w:ind w:firstLine="0" w:firstLineChars="0"/>
      <w:jc w:val="center"/>
    </w:pPr>
    <w:rPr>
      <w:rFonts w:eastAsia="Times New Roman"/>
      <w:b/>
      <w:sz w:val="32"/>
      <w:szCs w:val="32"/>
    </w:rPr>
  </w:style>
  <w:style w:customStyle="1" w:styleId="ad" w:type="paragraph">
    <w:name w:val="附录"/>
    <w:basedOn w:val="ac"/>
    <w:link w:val="Char4"/>
  </w:style>
  <w:style w:customStyle="1" w:styleId="a3" w:type="paragraph">
    <w:name w:val="英文关键词"/>
    <w:basedOn w:val="a"/>
    <w:link w:val="Char"/>
    <w:qFormat/>
    <w:rPr>
      <w:rFonts w:ascii="Calibri" w:hAnsi="Calibri"/>
    </w:rPr>
  </w:style>
  <w:style w:customStyle="1" w:styleId="afff4" w:type="paragraph">
    <w:name w:val="致谢"/>
    <w:basedOn w:val="ac"/>
  </w:style>
  <w:style w:customStyle="1" w:styleId="afff5" w:type="paragraph">
    <w:name w:val="发表学术论文情况"/>
    <w:basedOn w:val="ac"/>
  </w:style>
  <w:style w:styleId="afff6" w:type="paragraph">
    <w:name w:val="List Paragraph"/>
    <w:basedOn w:val="a"/>
    <w:uiPriority w:val="34"/>
    <w:qFormat/>
    <w:pPr>
      <w:ind w:firstLine="0" w:left="0"/>
      <w:contextualSpacing/>
    </w:pPr>
  </w:style>
  <w:style w:customStyle="1" w:styleId="afe" w:type="paragraph">
    <w:name w:val="首页页脚英文"/>
    <w:basedOn w:val="a"/>
    <w:link w:val="Chara"/>
    <w:qFormat/>
    <w:pPr>
      <w:ind w:firstLine="0" w:firstLineChars="0"/>
      <w:jc w:val="center"/>
    </w:pPr>
    <w:rPr>
      <w:lang w:eastAsia="zh-CN"/>
    </w:rPr>
  </w:style>
  <w:style w:customStyle="1" w:styleId="a6" w:type="paragraph">
    <w:name w:val="关键词题头"/>
    <w:basedOn w:val="a"/>
    <w:link w:val="Char1"/>
    <w:qFormat/>
    <w:rPr>
      <w:rFonts w:ascii="黑体" w:eastAsia="黑体"/>
      <w:lang w:eastAsia="zh-CN"/>
    </w:rPr>
  </w:style>
  <w:style w:customStyle="1" w:styleId="aff4" w:type="paragraph">
    <w:name w:val="目录"/>
    <w:basedOn w:val="a"/>
    <w:link w:val="Charf0"/>
    <w:qFormat/>
    <w:pPr>
      <w:ind w:firstLine="0" w:firstLineChars="0"/>
      <w:jc w:val="center"/>
    </w:pPr>
    <w:rPr>
      <w:rFonts w:ascii="黑体" w:eastAsia="黑体"/>
      <w:sz w:val="30"/>
      <w:szCs w:val="30"/>
      <w:lang w:eastAsia="zh-CN" w:val="en-US"/>
    </w:rPr>
  </w:style>
  <w:style w:customStyle="1" w:styleId="Keywords" w:type="paragraph">
    <w:name w:val="Keywords"/>
    <w:basedOn w:val="a"/>
    <w:link w:val="KeywordsChar"/>
    <w:qFormat/>
    <w:rPr>
      <w:b/>
    </w:rPr>
  </w:style>
  <w:style w:customStyle="1" w:styleId="aff2" w:type="paragraph">
    <w:name w:val="摘要题目"/>
    <w:basedOn w:val="a"/>
    <w:link w:val="Chare"/>
    <w:qFormat/>
    <w:pPr>
      <w:ind w:firstLine="0" w:firstLineChars="0"/>
      <w:jc w:val="center"/>
    </w:pPr>
    <w:rPr>
      <w:sz w:val="30"/>
      <w:szCs w:val="30"/>
    </w:rPr>
  </w:style>
  <w:style w:customStyle="1" w:styleId="12" w:type="paragraph">
    <w:name w:val="标题1居中"/>
    <w:basedOn w:val="1"/>
    <w:link w:val="1Char0"/>
    <w:qFormat/>
    <w:pPr>
      <w:jc w:val="center"/>
    </w:pPr>
  </w:style>
  <w:style w:customStyle="1" w:styleId="aff6" w:type="paragraph">
    <w:name w:val="图名英文"/>
    <w:basedOn w:val="a"/>
    <w:link w:val="Charf2"/>
    <w:qFormat/>
    <w:pPr>
      <w:jc w:val="center"/>
    </w:pPr>
    <w:rPr>
      <w:sz w:val="21"/>
      <w:szCs w:val="21"/>
    </w:rPr>
  </w:style>
  <w:style w:customStyle="1" w:styleId="ab" w:type="paragraph">
    <w:name w:val="参考文献标题"/>
    <w:basedOn w:val="1"/>
    <w:link w:val="Char2"/>
    <w:qFormat/>
    <w:pPr>
      <w:jc w:val="center"/>
    </w:pPr>
  </w:style>
  <w:style w:customStyle="1" w:styleId="aff7" w:type="paragraph">
    <w:name w:val="参考文献正文"/>
    <w:basedOn w:val="a"/>
    <w:link w:val="Charf3"/>
    <w:qFormat/>
    <w:rPr>
      <w:rFonts w:ascii="宋体" w:hAnsi="宋体"/>
      <w:sz w:val="21"/>
      <w:szCs w:val="21"/>
      <w:lang w:eastAsia="zh-CN"/>
    </w:rPr>
  </w:style>
  <w:style w:customStyle="1" w:styleId="af9" w:type="paragraph">
    <w:name w:val="授权说明正文"/>
    <w:basedOn w:val="a"/>
    <w:link w:val="Char5"/>
    <w:qFormat/>
    <w:pPr>
      <w:spacing w:line="360" w:lineRule="auto"/>
      <w:ind w:firstLine="560"/>
    </w:pPr>
    <w:rPr>
      <w:rFonts w:ascii="仿宋_GB2312" w:eastAsia="仿宋_GB2312"/>
      <w:sz w:val="28"/>
      <w:szCs w:val="28"/>
      <w:lang w:eastAsia="zh-CN"/>
    </w:rPr>
  </w:style>
  <w:style w:customStyle="1" w:styleId="110" w:type="paragraph">
    <w:name w:val="样式 标题 1 + 段后: 1 行"/>
    <w:basedOn w:val="1"/>
    <w:pPr>
      <w:spacing w:after="240"/>
    </w:pPr>
    <w:rPr>
      <w:rFonts w:cs="宋体"/>
      <w:bCs w:val="0"/>
      <w:sz w:val="30"/>
      <w:szCs w:val="20"/>
    </w:rPr>
  </w:style>
  <w:style w:customStyle="1" w:styleId="13" w:type="paragraph">
    <w:name w:val="样式 参考文献标题 + 段后: 1 行"/>
    <w:basedOn w:val="ab"/>
    <w:pPr>
      <w:spacing w:after="240"/>
    </w:pPr>
    <w:rPr>
      <w:rFonts w:cs="宋体"/>
      <w:bCs w:val="0"/>
      <w:sz w:val="30"/>
      <w:szCs w:val="20"/>
    </w:rPr>
  </w:style>
  <w:style w:customStyle="1" w:styleId="14" w:type="paragraph">
    <w:name w:val="样式 摘要 + 段后: 1 行"/>
    <w:basedOn w:val="afff0"/>
    <w:pPr>
      <w:spacing w:after="240"/>
    </w:pPr>
    <w:rPr>
      <w:sz w:val="30"/>
    </w:rPr>
  </w:style>
  <w:style w:customStyle="1" w:styleId="afff7" w:type="paragraph">
    <w:name w:val="作者简介"/>
    <w:basedOn w:val="afff2"/>
    <w:pPr>
      <w:keepLines/>
      <w:tabs>
        <w:tab w:pos="377" w:val="left"/>
      </w:tabs>
      <w:snapToGrid/>
      <w:spacing w:afterLines="0"/>
    </w:pPr>
    <w:rPr>
      <w:rFonts w:ascii="黑体" w:hAnsi="Times New Roman"/>
      <w:b/>
      <w:bCs/>
      <w:kern w:val="44"/>
      <w:szCs w:val="32"/>
      <w:lang w:bidi="ar-SA"/>
    </w:rPr>
  </w:style>
  <w:style w:styleId="afff8" w:type="table">
    <w:name w:val="Table Grid"/>
    <w:basedOn w:val="a1"/>
    <w:pPr>
      <w:snapToGrid w:val="0"/>
      <w:spacing w:line="300" w:lineRule="auto"/>
      <w:ind w:firstLine="480" w:firstLineChars="20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ff9" w:type="paragraph">
    <w:name w:val="Revision"/>
    <w:hidden/>
    <w:uiPriority w:val="99"/>
    <w:unhideWhenUsed/>
    <w:rsid w:val="004C61AB"/>
    <w:rPr>
      <w:rFonts w:ascii="Times New Roman" w:hAnsi="Times New Roman"/>
      <w:sz w:val="24"/>
      <w:lang w:bidi="en-US" w:eastAsia="en-US"/>
    </w:rPr>
  </w:style>
  <w:style w:customStyle="1" w:styleId="TableText" w:type="paragraph">
    <w:name w:val="Table Text"/>
    <w:basedOn w:val="a"/>
    <w:pPr>
      <w:ind w:firstLine="0" w:left="0"/>
    </w:pPr>
  </w:style>
  <w:style w:customStyle="1" w:styleId="Formula" w:type="paragraph">
    <w:name w:val="Formula"/>
    <w:basedOn w:val="a"/>
    <w:pPr>
      <w:spacing w:after="0" w:before="0" w:line="240" w:lineRule="auto"/>
      <w:ind w:firstLine="0"/>
    </w:pPr>
  </w:style>
  <w:style w:customStyle="1" w:styleId="CompactList" w:type="paragraph">
    <w:name w:val="Compact List"/>
    <w:basedOn w:val="a"/>
    <w:pPr>
      <w:spacing w:after="0" w:line="240" w:lineRule="auto"/>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5.xml" Type="http://schemas.openxmlformats.org/officeDocument/2006/relationships/header" /><Relationship Id="rId10" Target="header2.xml" Type="http://schemas.openxmlformats.org/officeDocument/2006/relationships/header" /><Relationship Id="rId11" Target="header4.xml" Type="http://schemas.openxmlformats.org/officeDocument/2006/relationships/header" /><Relationship Id="rId12" Target="header1.xml" Type="http://schemas.openxmlformats.org/officeDocument/2006/relationships/header" /><Relationship Id="rId13" Target="header7.xml" Type="http://schemas.openxmlformats.org/officeDocument/2006/relationships/header" /><Relationship Id="rId14" Target="header3.xml" Type="http://schemas.openxmlformats.org/officeDocument/2006/relationships/header" /><Relationship Id="rId15" Target="header6.xml" Type="http://schemas.openxmlformats.org/officeDocument/2006/relationships/header" /><Relationship Id="rId16" Target="footer1.xml" Type="http://schemas.openxmlformats.org/officeDocument/2006/relationships/footer" /><Relationship Id="rId17" Target="footer7.xml" Type="http://schemas.openxmlformats.org/officeDocument/2006/relationships/footer" /><Relationship Id="rId18" Target="footer9.xml" Type="http://schemas.openxmlformats.org/officeDocument/2006/relationships/footer" /><Relationship Id="rId19" Target="footer6.xml" Type="http://schemas.openxmlformats.org/officeDocument/2006/relationships/footer" /><Relationship Id="rId20" Target="footer3.xml" Type="http://schemas.openxmlformats.org/officeDocument/2006/relationships/footer" /><Relationship Id="rId21" Target="footer8.xml" Type="http://schemas.openxmlformats.org/officeDocument/2006/relationships/footer" /><Relationship Id="rId22" Target="footer5.xml" Type="http://schemas.openxmlformats.org/officeDocument/2006/relationships/footer" /><Relationship Id="rId23" Target="footer2.xml" Type="http://schemas.openxmlformats.org/officeDocument/2006/relationships/footer" /><Relationship Id="rId24" Target="footer4.xml" Type="http://schemas.openxmlformats.org/officeDocument/2006/relationships/footer"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qianfeng\&#26700;&#38754;\&#27169;&#26495;\&#22823;&#36830;&#29702;&#24037;&#22823;&#23398;&#30805;&#22763;&#23398;&#20301;&#35770;&#25991;&#26684;&#24335;&#35268;&#33539;200812(97-2003).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大连理工大学硕士学位论文格式规范200812(97-2003).dot</Template>
  <TotalTime>1</TotalTime>
  <Pages>33</Pages>
  <Words>3134</Words>
  <Characters>17868</Characters>
  <Application>Microsoft Office Word</Application>
  <DocSecurity>0</DocSecurity>
  <Lines>148</Lines>
  <Paragraphs>41</Paragraphs>
  <ScaleCrop>false</ScaleCrop>
  <Company>DUT</Company>
  <LinksUpToDate>false</LinksUpToDate>
  <CharactersWithSpaces>20961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2026-02-27T13:03:55Z</dcterms:created>
  <dcterms:modified xsi:type="dcterms:W3CDTF">2026-02-27T13:03:55Z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/share/fandixiaLab/suguangsheng/PycharmProjects/Sparse2Full/thesis_paper/manuscript_5_chapter/references.bib</vt:lpwstr>
  </property>
  <property fmtid="{D5CDD505-2E9C-101B-9397-08002B2CF9AE}" pid="3" name="csl">
    <vt:lpwstr>/share/fandixiaLab/suguangsheng/PycharmProjects/Sparse2Full/tools/china-national-standard-gb-t-7714-2015-numeric.csl</vt:lpwstr>
  </property>
</Properties>
</file>