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44C2A" w14:textId="093BAC46" w:rsidR="0024761D" w:rsidRPr="004E384A" w:rsidRDefault="0024761D" w:rsidP="00F32A04">
      <w:pPr>
        <w:spacing w:before="1200" w:after="600"/>
        <w:jc w:val="center"/>
        <w:rPr>
          <w:rFonts w:ascii="Calibri" w:hAnsi="Calibri" w:cs="Calibri"/>
          <w:sz w:val="32"/>
          <w:szCs w:val="32"/>
        </w:rPr>
      </w:pPr>
      <w:r w:rsidRPr="004E384A">
        <w:rPr>
          <w:rFonts w:ascii="Calibri" w:hAnsi="Calibri" w:cs="Calibri"/>
          <w:b/>
          <w:sz w:val="32"/>
          <w:szCs w:val="32"/>
        </w:rPr>
        <w:t>Predicting Student Failure in Distance Learning Using Machine Learning and Explainability</w:t>
      </w:r>
    </w:p>
    <w:p w14:paraId="5C1AD733" w14:textId="77777777" w:rsidR="0024761D" w:rsidRPr="004E384A" w:rsidRDefault="0024761D" w:rsidP="00F32A04">
      <w:pPr>
        <w:spacing w:after="80"/>
        <w:jc w:val="center"/>
        <w:rPr>
          <w:rFonts w:ascii="Calibri" w:hAnsi="Calibri" w:cs="Calibri"/>
          <w:sz w:val="24"/>
          <w:szCs w:val="24"/>
        </w:rPr>
      </w:pPr>
      <w:r w:rsidRPr="004E384A">
        <w:rPr>
          <w:rFonts w:ascii="Calibri" w:hAnsi="Calibri" w:cs="Calibri"/>
          <w:sz w:val="24"/>
          <w:szCs w:val="24"/>
        </w:rPr>
        <w:t>MSc Artificial Intelligence and Data Science</w:t>
      </w:r>
    </w:p>
    <w:p w14:paraId="0CBEA79B" w14:textId="77777777" w:rsidR="0024761D" w:rsidRPr="004E384A" w:rsidRDefault="0024761D" w:rsidP="00F32A04">
      <w:pPr>
        <w:spacing w:after="80"/>
        <w:jc w:val="center"/>
        <w:rPr>
          <w:rFonts w:ascii="Calibri" w:hAnsi="Calibri" w:cs="Calibri"/>
          <w:sz w:val="24"/>
          <w:szCs w:val="24"/>
        </w:rPr>
      </w:pPr>
      <w:r w:rsidRPr="004E384A">
        <w:rPr>
          <w:rFonts w:ascii="Calibri" w:hAnsi="Calibri" w:cs="Calibri"/>
          <w:sz w:val="24"/>
          <w:szCs w:val="24"/>
        </w:rPr>
        <w:t>Final Research Project (Module 771764)</w:t>
      </w:r>
    </w:p>
    <w:p w14:paraId="50E20A6C" w14:textId="77777777" w:rsidR="006C2EA9" w:rsidRPr="004E384A" w:rsidRDefault="006C2EA9" w:rsidP="00F32A04">
      <w:pPr>
        <w:spacing w:after="80"/>
        <w:jc w:val="center"/>
        <w:rPr>
          <w:rFonts w:ascii="Calibri" w:hAnsi="Calibri" w:cs="Calibri"/>
          <w:sz w:val="24"/>
          <w:szCs w:val="24"/>
        </w:rPr>
      </w:pPr>
    </w:p>
    <w:p w14:paraId="2A19F4E8" w14:textId="1760F26F" w:rsidR="0024761D" w:rsidRPr="00F620D0" w:rsidRDefault="00F620D0" w:rsidP="00F32A04">
      <w:pPr>
        <w:spacing w:after="80"/>
        <w:jc w:val="center"/>
        <w:rPr>
          <w:rFonts w:ascii="Calibri" w:hAnsi="Calibri" w:cs="Calibri"/>
          <w:b/>
          <w:bCs/>
          <w:i/>
          <w:iCs/>
          <w:sz w:val="24"/>
          <w:szCs w:val="24"/>
        </w:rPr>
      </w:pPr>
      <w:r w:rsidRPr="00F620D0">
        <w:rPr>
          <w:rFonts w:ascii="Calibri" w:hAnsi="Calibri" w:cs="Calibri"/>
          <w:b/>
          <w:bCs/>
          <w:i/>
          <w:iCs/>
          <w:sz w:val="24"/>
          <w:szCs w:val="24"/>
        </w:rPr>
        <w:t>N</w:t>
      </w:r>
      <w:r w:rsidR="0024761D" w:rsidRPr="00F620D0">
        <w:rPr>
          <w:rFonts w:ascii="Calibri" w:hAnsi="Calibri" w:cs="Calibri"/>
          <w:b/>
          <w:bCs/>
          <w:i/>
          <w:iCs/>
          <w:sz w:val="24"/>
          <w:szCs w:val="24"/>
        </w:rPr>
        <w:t xml:space="preserve">ame: </w:t>
      </w:r>
      <w:r w:rsidR="00B46A46" w:rsidRPr="00F620D0">
        <w:rPr>
          <w:rFonts w:ascii="Calibri" w:hAnsi="Calibri" w:cs="Calibri"/>
          <w:b/>
          <w:bCs/>
          <w:i/>
          <w:iCs/>
          <w:sz w:val="24"/>
          <w:szCs w:val="24"/>
        </w:rPr>
        <w:t>Pius Twumasi</w:t>
      </w:r>
    </w:p>
    <w:p w14:paraId="40D530F6" w14:textId="2ACE865E" w:rsidR="0024761D" w:rsidRPr="00F620D0" w:rsidRDefault="0024761D" w:rsidP="00F32A04">
      <w:pPr>
        <w:spacing w:after="80"/>
        <w:jc w:val="center"/>
        <w:rPr>
          <w:rFonts w:ascii="Calibri" w:hAnsi="Calibri" w:cs="Calibri"/>
          <w:b/>
          <w:bCs/>
          <w:i/>
          <w:iCs/>
          <w:sz w:val="24"/>
          <w:szCs w:val="24"/>
        </w:rPr>
      </w:pPr>
      <w:r w:rsidRPr="00F620D0">
        <w:rPr>
          <w:rFonts w:ascii="Calibri" w:hAnsi="Calibri" w:cs="Calibri"/>
          <w:b/>
          <w:bCs/>
          <w:i/>
          <w:iCs/>
          <w:sz w:val="24"/>
          <w:szCs w:val="24"/>
        </w:rPr>
        <w:t>Student</w:t>
      </w:r>
      <w:r w:rsidR="00F620D0" w:rsidRPr="00F620D0">
        <w:rPr>
          <w:rFonts w:ascii="Calibri" w:hAnsi="Calibri" w:cs="Calibri"/>
          <w:b/>
          <w:bCs/>
          <w:i/>
          <w:iCs/>
          <w:sz w:val="24"/>
          <w:szCs w:val="24"/>
        </w:rPr>
        <w:t xml:space="preserve"> ID</w:t>
      </w:r>
      <w:r w:rsidRPr="00F620D0">
        <w:rPr>
          <w:rFonts w:ascii="Calibri" w:hAnsi="Calibri" w:cs="Calibri"/>
          <w:b/>
          <w:bCs/>
          <w:i/>
          <w:iCs/>
          <w:sz w:val="24"/>
          <w:szCs w:val="24"/>
        </w:rPr>
        <w:t xml:space="preserve">: </w:t>
      </w:r>
      <w:r w:rsidR="00BB5EAC" w:rsidRPr="00F620D0">
        <w:rPr>
          <w:rFonts w:ascii="Calibri" w:hAnsi="Calibri" w:cs="Calibri"/>
          <w:b/>
          <w:bCs/>
          <w:i/>
          <w:iCs/>
          <w:sz w:val="24"/>
          <w:szCs w:val="24"/>
        </w:rPr>
        <w:t>202374354</w:t>
      </w:r>
    </w:p>
    <w:p w14:paraId="4DC42E8C" w14:textId="39511C62" w:rsidR="0024761D" w:rsidRPr="00F620D0" w:rsidRDefault="0024761D" w:rsidP="00F32A04">
      <w:pPr>
        <w:spacing w:after="80"/>
        <w:jc w:val="center"/>
        <w:rPr>
          <w:rFonts w:ascii="Calibri" w:hAnsi="Calibri" w:cs="Calibri"/>
          <w:b/>
          <w:bCs/>
          <w:i/>
          <w:iCs/>
          <w:sz w:val="24"/>
          <w:szCs w:val="24"/>
        </w:rPr>
      </w:pPr>
      <w:r w:rsidRPr="00F620D0">
        <w:rPr>
          <w:rFonts w:ascii="Calibri" w:hAnsi="Calibri" w:cs="Calibri"/>
          <w:b/>
          <w:bCs/>
          <w:i/>
          <w:iCs/>
          <w:sz w:val="24"/>
          <w:szCs w:val="24"/>
        </w:rPr>
        <w:t xml:space="preserve">Supervisor: </w:t>
      </w:r>
      <w:r w:rsidR="00B101A9" w:rsidRPr="00F620D0">
        <w:rPr>
          <w:rFonts w:ascii="Calibri" w:hAnsi="Calibri" w:cs="Calibri"/>
          <w:b/>
          <w:bCs/>
          <w:i/>
          <w:iCs/>
          <w:sz w:val="24"/>
          <w:szCs w:val="24"/>
        </w:rPr>
        <w:t>Dr Aoife Curran</w:t>
      </w:r>
    </w:p>
    <w:p w14:paraId="3E70678A" w14:textId="77777777" w:rsidR="00AF523F" w:rsidRDefault="00AF523F" w:rsidP="00F32A04">
      <w:pPr>
        <w:spacing w:after="80"/>
        <w:jc w:val="center"/>
        <w:rPr>
          <w:rFonts w:ascii="Calibri" w:hAnsi="Calibri" w:cs="Calibri"/>
          <w:i/>
          <w:iCs/>
          <w:sz w:val="24"/>
          <w:szCs w:val="24"/>
        </w:rPr>
      </w:pPr>
    </w:p>
    <w:p w14:paraId="4D5FE94C" w14:textId="294669F4" w:rsidR="004C0147" w:rsidRPr="00AE54AD" w:rsidRDefault="00AF523F" w:rsidP="00F32A04">
      <w:pPr>
        <w:spacing w:after="80"/>
        <w:jc w:val="center"/>
        <w:rPr>
          <w:rFonts w:ascii="Calibri" w:hAnsi="Calibri" w:cs="Calibri"/>
          <w:sz w:val="24"/>
          <w:szCs w:val="24"/>
        </w:rPr>
      </w:pPr>
      <w:r w:rsidRPr="00AE54AD">
        <w:rPr>
          <w:rFonts w:ascii="Calibri" w:hAnsi="Calibri" w:cs="Calibri"/>
          <w:sz w:val="24"/>
          <w:szCs w:val="24"/>
        </w:rPr>
        <w:t>August</w:t>
      </w:r>
      <w:r w:rsidR="00606596">
        <w:rPr>
          <w:rFonts w:ascii="Calibri" w:hAnsi="Calibri" w:cs="Calibri"/>
          <w:sz w:val="24"/>
          <w:szCs w:val="24"/>
        </w:rPr>
        <w:t xml:space="preserve"> </w:t>
      </w:r>
      <w:r w:rsidRPr="00AE54AD">
        <w:rPr>
          <w:rFonts w:ascii="Calibri" w:hAnsi="Calibri" w:cs="Calibri"/>
          <w:sz w:val="24"/>
          <w:szCs w:val="24"/>
        </w:rPr>
        <w:t>2026</w:t>
      </w:r>
      <w:r w:rsidR="00132C43">
        <w:rPr>
          <w:rFonts w:ascii="Calibri" w:hAnsi="Calibri" w:cs="Calibri"/>
          <w:sz w:val="24"/>
          <w:szCs w:val="24"/>
        </w:rPr>
        <w:t>.</w:t>
      </w:r>
    </w:p>
    <w:p w14:paraId="4679143C" w14:textId="77777777" w:rsidR="00260434" w:rsidRPr="004E384A" w:rsidRDefault="00260434" w:rsidP="00F32A04">
      <w:pPr>
        <w:spacing w:after="80"/>
        <w:jc w:val="center"/>
        <w:rPr>
          <w:rFonts w:ascii="Calibri" w:hAnsi="Calibri" w:cs="Calibri"/>
          <w:sz w:val="24"/>
          <w:szCs w:val="24"/>
        </w:rPr>
      </w:pPr>
    </w:p>
    <w:p w14:paraId="7A3AA140" w14:textId="60133B85" w:rsidR="0024761D" w:rsidRPr="004E384A" w:rsidRDefault="0062049B" w:rsidP="00F32A04">
      <w:pPr>
        <w:spacing w:after="80"/>
        <w:jc w:val="center"/>
        <w:rPr>
          <w:rFonts w:ascii="Calibri" w:hAnsi="Calibri" w:cs="Calibri"/>
          <w:sz w:val="24"/>
          <w:szCs w:val="24"/>
        </w:rPr>
      </w:pPr>
      <w:r w:rsidRPr="004E384A">
        <w:rPr>
          <w:rFonts w:ascii="Calibri" w:hAnsi="Calibri" w:cs="Calibri"/>
          <w:sz w:val="24"/>
          <w:szCs w:val="24"/>
        </w:rPr>
        <w:t xml:space="preserve">Word Count: </w:t>
      </w:r>
      <w:r w:rsidR="000B56F2" w:rsidRPr="004E384A">
        <w:rPr>
          <w:rFonts w:ascii="Calibri" w:hAnsi="Calibri" w:cs="Calibri"/>
          <w:sz w:val="24"/>
          <w:szCs w:val="24"/>
        </w:rPr>
        <w:t>5</w:t>
      </w:r>
      <w:r w:rsidR="00515754" w:rsidRPr="004E384A">
        <w:rPr>
          <w:rFonts w:ascii="Calibri" w:hAnsi="Calibri" w:cs="Calibri"/>
          <w:sz w:val="24"/>
          <w:szCs w:val="24"/>
        </w:rPr>
        <w:t>4</w:t>
      </w:r>
      <w:r w:rsidR="00AC2994">
        <w:rPr>
          <w:rFonts w:ascii="Calibri" w:hAnsi="Calibri" w:cs="Calibri"/>
          <w:sz w:val="24"/>
          <w:szCs w:val="24"/>
        </w:rPr>
        <w:t>7</w:t>
      </w:r>
      <w:r w:rsidR="008E57E9">
        <w:rPr>
          <w:rFonts w:ascii="Calibri" w:hAnsi="Calibri" w:cs="Calibri"/>
          <w:sz w:val="24"/>
          <w:szCs w:val="24"/>
        </w:rPr>
        <w:t>7</w:t>
      </w:r>
    </w:p>
    <w:p w14:paraId="3648FFC6" w14:textId="77777777" w:rsidR="0024761D" w:rsidRPr="004E384A" w:rsidRDefault="0024761D" w:rsidP="00F32A04">
      <w:pPr>
        <w:spacing w:after="80"/>
        <w:jc w:val="center"/>
        <w:rPr>
          <w:rFonts w:ascii="Calibri" w:hAnsi="Calibri" w:cs="Calibri"/>
          <w:sz w:val="24"/>
          <w:szCs w:val="24"/>
        </w:rPr>
      </w:pPr>
      <w:r w:rsidRPr="004E384A">
        <w:rPr>
          <w:rFonts w:ascii="Calibri" w:hAnsi="Calibri" w:cs="Calibri"/>
          <w:sz w:val="24"/>
          <w:szCs w:val="24"/>
        </w:rPr>
        <w:t>Faculty of Science and Engineering</w:t>
      </w:r>
    </w:p>
    <w:p w14:paraId="29891B95" w14:textId="77777777" w:rsidR="0024761D" w:rsidRPr="004E384A" w:rsidRDefault="0024761D" w:rsidP="00F32A04">
      <w:pPr>
        <w:spacing w:after="80"/>
        <w:jc w:val="center"/>
        <w:rPr>
          <w:rFonts w:ascii="Calibri" w:hAnsi="Calibri" w:cs="Calibri"/>
          <w:sz w:val="24"/>
          <w:szCs w:val="24"/>
        </w:rPr>
      </w:pPr>
      <w:r w:rsidRPr="004E384A">
        <w:rPr>
          <w:rFonts w:ascii="Calibri" w:hAnsi="Calibri" w:cs="Calibri"/>
          <w:sz w:val="24"/>
          <w:szCs w:val="24"/>
        </w:rPr>
        <w:t>University of Hull</w:t>
      </w:r>
    </w:p>
    <w:p w14:paraId="18D8D089" w14:textId="4D1293F3" w:rsidR="0062049B" w:rsidRPr="004E384A" w:rsidRDefault="0024761D" w:rsidP="00F32A04">
      <w:pPr>
        <w:rPr>
          <w:rFonts w:ascii="Calibri" w:hAnsi="Calibri" w:cs="Calibri"/>
          <w:sz w:val="24"/>
          <w:szCs w:val="24"/>
        </w:rPr>
      </w:pPr>
      <w:r w:rsidRPr="004E384A">
        <w:rPr>
          <w:rFonts w:ascii="Calibri" w:hAnsi="Calibri" w:cs="Calibri"/>
          <w:sz w:val="24"/>
          <w:szCs w:val="24"/>
        </w:rPr>
        <w:br w:type="page"/>
      </w:r>
    </w:p>
    <w:p w14:paraId="293133CB" w14:textId="77777777" w:rsidR="0024761D" w:rsidRPr="004E384A" w:rsidRDefault="0024761D" w:rsidP="00F32A04">
      <w:pPr>
        <w:pStyle w:val="Heading1"/>
        <w:spacing w:before="200" w:line="360" w:lineRule="auto"/>
        <w:rPr>
          <w:rFonts w:ascii="Calibri" w:hAnsi="Calibri" w:cs="Calibri"/>
          <w:sz w:val="24"/>
          <w:szCs w:val="24"/>
        </w:rPr>
      </w:pPr>
      <w:r w:rsidRPr="004E384A">
        <w:rPr>
          <w:rFonts w:ascii="Calibri" w:hAnsi="Calibri" w:cs="Calibri"/>
          <w:b/>
          <w:color w:val="000000"/>
          <w:sz w:val="24"/>
          <w:szCs w:val="24"/>
        </w:rPr>
        <w:t>Abstract</w:t>
      </w:r>
    </w:p>
    <w:p w14:paraId="5F9CCBC2" w14:textId="655C4775" w:rsidR="0024761D" w:rsidRPr="004E384A" w:rsidRDefault="0024761D" w:rsidP="00F32A04">
      <w:pPr>
        <w:spacing w:after="80"/>
        <w:jc w:val="both"/>
        <w:rPr>
          <w:rFonts w:ascii="Calibri" w:hAnsi="Calibri" w:cs="Calibri"/>
          <w:sz w:val="24"/>
          <w:szCs w:val="24"/>
        </w:rPr>
      </w:pPr>
      <w:r w:rsidRPr="004E384A">
        <w:rPr>
          <w:rFonts w:ascii="Calibri" w:hAnsi="Calibri" w:cs="Calibri"/>
          <w:b/>
          <w:sz w:val="24"/>
          <w:szCs w:val="24"/>
        </w:rPr>
        <w:t xml:space="preserve">Background: </w:t>
      </w:r>
      <w:r w:rsidRPr="004E384A">
        <w:rPr>
          <w:rFonts w:ascii="Calibri" w:hAnsi="Calibri" w:cs="Calibri"/>
          <w:sz w:val="24"/>
          <w:szCs w:val="24"/>
        </w:rPr>
        <w:t>Distance-learning modules record higher failure and withdrawal rates than campus study, and by the time a student formally fails</w:t>
      </w:r>
      <w:r w:rsidR="00B93FC1">
        <w:rPr>
          <w:rFonts w:ascii="Calibri" w:hAnsi="Calibri" w:cs="Calibri"/>
          <w:sz w:val="24"/>
          <w:szCs w:val="24"/>
        </w:rPr>
        <w:t>,</w:t>
      </w:r>
      <w:r w:rsidRPr="004E384A">
        <w:rPr>
          <w:rFonts w:ascii="Calibri" w:hAnsi="Calibri" w:cs="Calibri"/>
          <w:sz w:val="24"/>
          <w:szCs w:val="24"/>
        </w:rPr>
        <w:t xml:space="preserve"> the window for support has usually closed. Institutions capture rich engagement data but rarely turn it into early, explainable warning</w:t>
      </w:r>
      <w:r w:rsidR="009E0495">
        <w:rPr>
          <w:rFonts w:ascii="Calibri" w:hAnsi="Calibri" w:cs="Calibri"/>
          <w:sz w:val="24"/>
          <w:szCs w:val="24"/>
        </w:rPr>
        <w:t>s</w:t>
      </w:r>
      <w:r w:rsidRPr="004E384A">
        <w:rPr>
          <w:rFonts w:ascii="Calibri" w:hAnsi="Calibri" w:cs="Calibri"/>
          <w:sz w:val="24"/>
          <w:szCs w:val="24"/>
        </w:rPr>
        <w:t>.</w:t>
      </w:r>
    </w:p>
    <w:p w14:paraId="1D41C997" w14:textId="77777777" w:rsidR="0024761D" w:rsidRPr="004E384A" w:rsidRDefault="0024761D" w:rsidP="00F32A04">
      <w:pPr>
        <w:spacing w:after="80"/>
        <w:jc w:val="both"/>
        <w:rPr>
          <w:rFonts w:ascii="Calibri" w:hAnsi="Calibri" w:cs="Calibri"/>
          <w:sz w:val="24"/>
          <w:szCs w:val="24"/>
        </w:rPr>
      </w:pPr>
      <w:r w:rsidRPr="004E384A">
        <w:rPr>
          <w:rFonts w:ascii="Calibri" w:hAnsi="Calibri" w:cs="Calibri"/>
          <w:b/>
          <w:sz w:val="24"/>
          <w:szCs w:val="24"/>
        </w:rPr>
        <w:t xml:space="preserve">Aim: </w:t>
      </w:r>
      <w:r w:rsidRPr="004E384A">
        <w:rPr>
          <w:rFonts w:ascii="Calibri" w:hAnsi="Calibri" w:cs="Calibri"/>
          <w:sz w:val="24"/>
          <w:szCs w:val="24"/>
        </w:rPr>
        <w:t>To develop and evaluate an interpretable machine-learning pipeline that identifies at-risk students early in a course and explains the drivers behind each prediction.</w:t>
      </w:r>
    </w:p>
    <w:p w14:paraId="7FDF5FD9" w14:textId="77777777" w:rsidR="0024761D" w:rsidRPr="004E384A" w:rsidRDefault="0024761D" w:rsidP="00F32A04">
      <w:pPr>
        <w:spacing w:after="80"/>
        <w:jc w:val="both"/>
        <w:rPr>
          <w:rFonts w:ascii="Calibri" w:hAnsi="Calibri" w:cs="Calibri"/>
          <w:sz w:val="24"/>
          <w:szCs w:val="24"/>
        </w:rPr>
      </w:pPr>
      <w:r w:rsidRPr="004E384A">
        <w:rPr>
          <w:rFonts w:ascii="Calibri" w:hAnsi="Calibri" w:cs="Calibri"/>
          <w:b/>
          <w:sz w:val="24"/>
          <w:szCs w:val="24"/>
        </w:rPr>
        <w:t xml:space="preserve">Dataset: </w:t>
      </w:r>
      <w:r w:rsidRPr="004E384A">
        <w:rPr>
          <w:rFonts w:ascii="Calibri" w:hAnsi="Calibri" w:cs="Calibri"/>
          <w:sz w:val="24"/>
          <w:szCs w:val="24"/>
        </w:rPr>
        <w:t>The Open University Learning Analytics Dataset (OULAD), restricted to four Level-1 modules (BBB, DDD, EEE, FFF); 22,749 students were modelled after removing pre-census withdrawals.</w:t>
      </w:r>
    </w:p>
    <w:p w14:paraId="376CF84D" w14:textId="0297733C" w:rsidR="0024761D" w:rsidRPr="004E384A" w:rsidRDefault="0024761D" w:rsidP="00F32A04">
      <w:pPr>
        <w:spacing w:after="80"/>
        <w:jc w:val="both"/>
        <w:rPr>
          <w:rFonts w:ascii="Calibri" w:hAnsi="Calibri" w:cs="Calibri"/>
          <w:sz w:val="24"/>
          <w:szCs w:val="24"/>
        </w:rPr>
      </w:pPr>
      <w:r w:rsidRPr="004E384A">
        <w:rPr>
          <w:rFonts w:ascii="Calibri" w:hAnsi="Calibri" w:cs="Calibri"/>
          <w:b/>
          <w:sz w:val="24"/>
          <w:szCs w:val="24"/>
        </w:rPr>
        <w:t xml:space="preserve">Methods: </w:t>
      </w:r>
      <w:r w:rsidRPr="004E384A">
        <w:rPr>
          <w:rFonts w:ascii="Calibri" w:hAnsi="Calibri" w:cs="Calibri"/>
          <w:sz w:val="24"/>
          <w:szCs w:val="24"/>
        </w:rPr>
        <w:t xml:space="preserve">A binary pass/fail target was defined with census-aware withdrawal handling, and all predictors were restricted to information available on or before the first assessment, a leakage-safe early-warning horizon. Three feature families (demographic, VLE engagement and first-assessment </w:t>
      </w:r>
      <w:proofErr w:type="spellStart"/>
      <w:r w:rsidRPr="004E384A">
        <w:rPr>
          <w:rFonts w:ascii="Calibri" w:hAnsi="Calibri" w:cs="Calibri"/>
          <w:sz w:val="24"/>
          <w:szCs w:val="24"/>
        </w:rPr>
        <w:t>behaviour</w:t>
      </w:r>
      <w:proofErr w:type="spellEnd"/>
      <w:r w:rsidRPr="004E384A">
        <w:rPr>
          <w:rFonts w:ascii="Calibri" w:hAnsi="Calibri" w:cs="Calibri"/>
          <w:sz w:val="24"/>
          <w:szCs w:val="24"/>
        </w:rPr>
        <w:t xml:space="preserve">) were engineered. Four models, logistic regression, random forest, </w:t>
      </w:r>
      <w:proofErr w:type="spellStart"/>
      <w:r w:rsidRPr="004E384A">
        <w:rPr>
          <w:rFonts w:ascii="Calibri" w:hAnsi="Calibri" w:cs="Calibri"/>
          <w:sz w:val="24"/>
          <w:szCs w:val="24"/>
        </w:rPr>
        <w:t>XGBoost</w:t>
      </w:r>
      <w:proofErr w:type="spellEnd"/>
      <w:r w:rsidRPr="004E384A">
        <w:rPr>
          <w:rFonts w:ascii="Calibri" w:hAnsi="Calibri" w:cs="Calibri"/>
          <w:sz w:val="24"/>
          <w:szCs w:val="24"/>
        </w:rPr>
        <w:t xml:space="preserve"> and a </w:t>
      </w:r>
      <w:proofErr w:type="spellStart"/>
      <w:r w:rsidRPr="004E384A">
        <w:rPr>
          <w:rFonts w:ascii="Calibri" w:hAnsi="Calibri" w:cs="Calibri"/>
          <w:sz w:val="24"/>
          <w:szCs w:val="24"/>
        </w:rPr>
        <w:t>regularised</w:t>
      </w:r>
      <w:proofErr w:type="spellEnd"/>
      <w:r w:rsidRPr="004E384A">
        <w:rPr>
          <w:rFonts w:ascii="Calibri" w:hAnsi="Calibri" w:cs="Calibri"/>
          <w:sz w:val="24"/>
          <w:szCs w:val="24"/>
        </w:rPr>
        <w:t xml:space="preserve"> multilayer percept</w:t>
      </w:r>
      <w:r w:rsidR="00AC0F79">
        <w:rPr>
          <w:rFonts w:ascii="Calibri" w:hAnsi="Calibri" w:cs="Calibri"/>
          <w:sz w:val="24"/>
          <w:szCs w:val="24"/>
        </w:rPr>
        <w:t>ron</w:t>
      </w:r>
      <w:r w:rsidR="00C96546">
        <w:rPr>
          <w:rFonts w:ascii="Calibri" w:hAnsi="Calibri" w:cs="Calibri"/>
          <w:sz w:val="24"/>
          <w:szCs w:val="24"/>
        </w:rPr>
        <w:t xml:space="preserve"> (MLP)</w:t>
      </w:r>
      <w:r w:rsidRPr="004E384A">
        <w:rPr>
          <w:rFonts w:ascii="Calibri" w:hAnsi="Calibri" w:cs="Calibri"/>
          <w:sz w:val="24"/>
          <w:szCs w:val="24"/>
        </w:rPr>
        <w:t>, were tuned under stratified cross-validation, comparing SMOTE with cost-sensitive weighting. Models were evaluated by area under the precision-recall curve (PR-AUC), explained with SHAP, and tested for cross-course transfer; an ablation withheld the first-assessment mark to isolate engagement's contribution.</w:t>
      </w:r>
    </w:p>
    <w:p w14:paraId="6A7E6E2C" w14:textId="434B0C32" w:rsidR="0024761D" w:rsidRPr="004E384A" w:rsidRDefault="0024761D" w:rsidP="00F32A04">
      <w:pPr>
        <w:spacing w:after="80"/>
        <w:jc w:val="both"/>
        <w:rPr>
          <w:rFonts w:ascii="Calibri" w:hAnsi="Calibri" w:cs="Calibri"/>
          <w:sz w:val="24"/>
          <w:szCs w:val="24"/>
        </w:rPr>
      </w:pPr>
      <w:r w:rsidRPr="004E384A">
        <w:rPr>
          <w:rFonts w:ascii="Calibri" w:hAnsi="Calibri" w:cs="Calibri"/>
          <w:b/>
          <w:sz w:val="24"/>
          <w:szCs w:val="24"/>
        </w:rPr>
        <w:t xml:space="preserve">Results: </w:t>
      </w:r>
      <w:proofErr w:type="spellStart"/>
      <w:r w:rsidRPr="004E384A">
        <w:rPr>
          <w:rFonts w:ascii="Calibri" w:hAnsi="Calibri" w:cs="Calibri"/>
          <w:sz w:val="24"/>
          <w:szCs w:val="24"/>
        </w:rPr>
        <w:t>XGBoost</w:t>
      </w:r>
      <w:proofErr w:type="spellEnd"/>
      <w:r w:rsidRPr="004E384A">
        <w:rPr>
          <w:rFonts w:ascii="Calibri" w:hAnsi="Calibri" w:cs="Calibri"/>
          <w:sz w:val="24"/>
          <w:szCs w:val="24"/>
        </w:rPr>
        <w:t xml:space="preserve"> was the strongest model, reaching a held-out PR-AUC of 0.877 on DDD and 0.829-0.877 across the four modules; </w:t>
      </w:r>
      <w:r w:rsidR="005C1570" w:rsidRPr="004E384A">
        <w:rPr>
          <w:rFonts w:ascii="Calibri" w:hAnsi="Calibri" w:cs="Calibri"/>
          <w:sz w:val="24"/>
          <w:szCs w:val="24"/>
        </w:rPr>
        <w:t>the</w:t>
      </w:r>
      <w:r w:rsidRPr="004E384A">
        <w:rPr>
          <w:rFonts w:ascii="Calibri" w:hAnsi="Calibri" w:cs="Calibri"/>
          <w:sz w:val="24"/>
          <w:szCs w:val="24"/>
        </w:rPr>
        <w:t xml:space="preserve"> logistic</w:t>
      </w:r>
      <w:r w:rsidR="00460FFC">
        <w:rPr>
          <w:rFonts w:ascii="Calibri" w:hAnsi="Calibri" w:cs="Calibri"/>
          <w:sz w:val="24"/>
          <w:szCs w:val="24"/>
        </w:rPr>
        <w:t xml:space="preserve"> </w:t>
      </w:r>
      <w:r w:rsidRPr="004E384A">
        <w:rPr>
          <w:rFonts w:ascii="Calibri" w:hAnsi="Calibri" w:cs="Calibri"/>
          <w:sz w:val="24"/>
          <w:szCs w:val="24"/>
        </w:rPr>
        <w:t>regression model was within 0.02 PR-AUC</w:t>
      </w:r>
      <w:r w:rsidR="00ED4F7A" w:rsidRPr="004E384A">
        <w:rPr>
          <w:rFonts w:ascii="Calibri" w:hAnsi="Calibri" w:cs="Calibri"/>
          <w:sz w:val="24"/>
          <w:szCs w:val="24"/>
        </w:rPr>
        <w:t xml:space="preserve"> </w:t>
      </w:r>
      <w:r w:rsidRPr="004E384A">
        <w:rPr>
          <w:rFonts w:ascii="Calibri" w:hAnsi="Calibri" w:cs="Calibri"/>
          <w:sz w:val="24"/>
          <w:szCs w:val="24"/>
        </w:rPr>
        <w:t>on every course and won on EEE. Cross-validation variance was small (about ±0.005 to ±0.0</w:t>
      </w:r>
      <w:r w:rsidR="00485F64" w:rsidRPr="004E384A">
        <w:rPr>
          <w:rFonts w:ascii="Calibri" w:hAnsi="Calibri" w:cs="Calibri"/>
          <w:sz w:val="24"/>
          <w:szCs w:val="24"/>
        </w:rPr>
        <w:t>24</w:t>
      </w:r>
      <w:r w:rsidRPr="004E384A">
        <w:rPr>
          <w:rFonts w:ascii="Calibri" w:hAnsi="Calibri" w:cs="Calibri"/>
          <w:sz w:val="24"/>
          <w:szCs w:val="24"/>
        </w:rPr>
        <w:t>), and test scores tracked cross-validation means. First-assessment and engagement features dominated the SHAP rankings, with four recurring in the top ten of all four courses, while demographics contributed little. Withholding the first-assessment mark reduced mean PR-AUC by only about 0.017, and cross-course transfer fell to 0.72-0.87.</w:t>
      </w:r>
    </w:p>
    <w:p w14:paraId="0F5583C6" w14:textId="4D1A3DB8" w:rsidR="0024761D" w:rsidRPr="004E384A" w:rsidRDefault="0024761D" w:rsidP="00F32A04">
      <w:pPr>
        <w:spacing w:after="80"/>
        <w:jc w:val="both"/>
        <w:rPr>
          <w:rFonts w:ascii="Calibri" w:hAnsi="Calibri" w:cs="Calibri"/>
          <w:sz w:val="24"/>
          <w:szCs w:val="24"/>
        </w:rPr>
      </w:pPr>
      <w:r w:rsidRPr="004E384A">
        <w:rPr>
          <w:rFonts w:ascii="Calibri" w:hAnsi="Calibri" w:cs="Calibri"/>
          <w:b/>
          <w:sz w:val="24"/>
          <w:szCs w:val="24"/>
        </w:rPr>
        <w:t xml:space="preserve">Conclusions: </w:t>
      </w:r>
      <w:r w:rsidRPr="004E384A">
        <w:rPr>
          <w:rFonts w:ascii="Calibri" w:hAnsi="Calibri" w:cs="Calibri"/>
          <w:sz w:val="24"/>
          <w:szCs w:val="24"/>
        </w:rPr>
        <w:t xml:space="preserve">Engagement and first-assessment </w:t>
      </w:r>
      <w:proofErr w:type="spellStart"/>
      <w:r w:rsidRPr="004E384A">
        <w:rPr>
          <w:rFonts w:ascii="Calibri" w:hAnsi="Calibri" w:cs="Calibri"/>
          <w:sz w:val="24"/>
          <w:szCs w:val="24"/>
        </w:rPr>
        <w:t>behaviour</w:t>
      </w:r>
      <w:proofErr w:type="spellEnd"/>
      <w:r w:rsidRPr="004E384A">
        <w:rPr>
          <w:rFonts w:ascii="Calibri" w:hAnsi="Calibri" w:cs="Calibri"/>
          <w:sz w:val="24"/>
          <w:szCs w:val="24"/>
        </w:rPr>
        <w:t xml:space="preserve"> support accurate, interpretable early identification of at-risk distance learners. The small ablation penalty </w:t>
      </w:r>
      <w:r w:rsidR="00AD4DD4">
        <w:rPr>
          <w:rFonts w:ascii="Calibri" w:hAnsi="Calibri" w:cs="Calibri"/>
          <w:sz w:val="24"/>
          <w:szCs w:val="24"/>
        </w:rPr>
        <w:t>suggests</w:t>
      </w:r>
      <w:r w:rsidR="00843DAE">
        <w:rPr>
          <w:rFonts w:ascii="Calibri" w:hAnsi="Calibri" w:cs="Calibri"/>
          <w:sz w:val="24"/>
          <w:szCs w:val="24"/>
        </w:rPr>
        <w:t xml:space="preserve"> that</w:t>
      </w:r>
      <w:r w:rsidRPr="004E384A">
        <w:rPr>
          <w:rFonts w:ascii="Calibri" w:hAnsi="Calibri" w:cs="Calibri"/>
          <w:sz w:val="24"/>
          <w:szCs w:val="24"/>
        </w:rPr>
        <w:t xml:space="preserve"> the signal is broad rather than resting on a single predictor, and the leading drivers are stable across courses, but partial transfer means per-course validation remains necessary before deployment.</w:t>
      </w:r>
    </w:p>
    <w:p w14:paraId="5EAD0B16" w14:textId="77777777" w:rsidR="0024761D" w:rsidRPr="004E384A" w:rsidRDefault="0024761D" w:rsidP="00F32A04">
      <w:pPr>
        <w:rPr>
          <w:rFonts w:ascii="Calibri" w:hAnsi="Calibri" w:cs="Calibri"/>
          <w:sz w:val="24"/>
          <w:szCs w:val="24"/>
        </w:rPr>
      </w:pPr>
      <w:r w:rsidRPr="004E384A">
        <w:rPr>
          <w:rFonts w:ascii="Calibri" w:hAnsi="Calibri" w:cs="Calibri"/>
          <w:sz w:val="24"/>
          <w:szCs w:val="24"/>
        </w:rPr>
        <w:br w:type="page"/>
      </w:r>
    </w:p>
    <w:p w14:paraId="2F8F21C3" w14:textId="77777777" w:rsidR="0024761D" w:rsidRPr="004E384A" w:rsidRDefault="0024761D" w:rsidP="00F32A04">
      <w:pPr>
        <w:pStyle w:val="Heading1"/>
        <w:spacing w:before="200" w:line="360" w:lineRule="auto"/>
        <w:rPr>
          <w:rFonts w:ascii="Calibri" w:hAnsi="Calibri" w:cs="Calibri"/>
          <w:sz w:val="24"/>
          <w:szCs w:val="24"/>
        </w:rPr>
      </w:pPr>
      <w:r w:rsidRPr="004E384A">
        <w:rPr>
          <w:rFonts w:ascii="Calibri" w:hAnsi="Calibri" w:cs="Calibri"/>
          <w:b/>
          <w:color w:val="000000"/>
          <w:sz w:val="24"/>
          <w:szCs w:val="24"/>
        </w:rPr>
        <w:t>1. Introduction</w:t>
      </w:r>
    </w:p>
    <w:p w14:paraId="210EF65B" w14:textId="77777777"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1.1 Background</w:t>
      </w:r>
    </w:p>
    <w:p w14:paraId="560DC398" w14:textId="55DB3F94" w:rsidR="0024761D" w:rsidRPr="004E384A" w:rsidRDefault="0024761D" w:rsidP="00F32A04">
      <w:pPr>
        <w:jc w:val="both"/>
        <w:rPr>
          <w:rFonts w:ascii="Calibri" w:hAnsi="Calibri" w:cs="Calibri"/>
          <w:sz w:val="24"/>
          <w:szCs w:val="24"/>
        </w:rPr>
      </w:pPr>
      <w:r w:rsidRPr="004E384A">
        <w:rPr>
          <w:rFonts w:ascii="Calibri" w:hAnsi="Calibri" w:cs="Calibri"/>
          <w:sz w:val="24"/>
          <w:szCs w:val="24"/>
        </w:rPr>
        <w:t>Online and distance higher education has expanded rapidly, yet it continues to record higher rates of failure and withdrawal than campus-based study (Levy, 2007; Rahmani et al., 2024). Learners work remotely, often part-time and around employment, and the informal cues that let a classroom tutor notice a struggling student are absent. By the time a student formally fails or withdraws, the opportunity for timely support has usually passed. Virtual learning environments (VLEs) now log detailed traces of students</w:t>
      </w:r>
      <w:r w:rsidR="001930FB" w:rsidRPr="004E384A">
        <w:rPr>
          <w:rFonts w:ascii="Calibri" w:hAnsi="Calibri" w:cs="Calibri"/>
          <w:sz w:val="24"/>
          <w:szCs w:val="24"/>
        </w:rPr>
        <w:t>’</w:t>
      </w:r>
      <w:r w:rsidRPr="004E384A">
        <w:rPr>
          <w:rFonts w:ascii="Calibri" w:hAnsi="Calibri" w:cs="Calibri"/>
          <w:sz w:val="24"/>
          <w:szCs w:val="24"/>
        </w:rPr>
        <w:t xml:space="preserve"> engage</w:t>
      </w:r>
      <w:r w:rsidR="001930FB" w:rsidRPr="004E384A">
        <w:rPr>
          <w:rFonts w:ascii="Calibri" w:hAnsi="Calibri" w:cs="Calibri"/>
          <w:sz w:val="24"/>
          <w:szCs w:val="24"/>
        </w:rPr>
        <w:t>ment</w:t>
      </w:r>
      <w:r w:rsidRPr="004E384A">
        <w:rPr>
          <w:rFonts w:ascii="Calibri" w:hAnsi="Calibri" w:cs="Calibri"/>
          <w:sz w:val="24"/>
          <w:szCs w:val="24"/>
        </w:rPr>
        <w:t>, alongside assessment records and demographic data. Converting these traces into an accurate and timely signal of academic risk is the central promise of learning analytics (Rahmani et al., 2024), and the problem this project addresses. Such a signal is useful only if it is both early enough to act on and clear enough for a tutor to trust.</w:t>
      </w:r>
    </w:p>
    <w:p w14:paraId="69158372" w14:textId="77777777"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1.2 Related work</w:t>
      </w:r>
    </w:p>
    <w:p w14:paraId="79609576" w14:textId="1E6F87A5" w:rsidR="0024761D" w:rsidRPr="004E384A" w:rsidRDefault="0024761D" w:rsidP="00F32A04">
      <w:pPr>
        <w:jc w:val="both"/>
        <w:rPr>
          <w:rFonts w:ascii="Calibri" w:hAnsi="Calibri" w:cs="Calibri"/>
          <w:sz w:val="24"/>
          <w:szCs w:val="24"/>
        </w:rPr>
      </w:pPr>
      <w:r w:rsidRPr="004E384A">
        <w:rPr>
          <w:rFonts w:ascii="Calibri" w:hAnsi="Calibri" w:cs="Calibri"/>
          <w:sz w:val="24"/>
          <w:szCs w:val="24"/>
        </w:rPr>
        <w:t>Predicting at-risk students from VLE data is a mature strand of learning analytics, and OULAD (</w:t>
      </w:r>
      <w:proofErr w:type="spellStart"/>
      <w:r w:rsidRPr="004E384A">
        <w:rPr>
          <w:rFonts w:ascii="Calibri" w:hAnsi="Calibri" w:cs="Calibri"/>
          <w:sz w:val="24"/>
          <w:szCs w:val="24"/>
        </w:rPr>
        <w:t>Kuzilek</w:t>
      </w:r>
      <w:proofErr w:type="spellEnd"/>
      <w:r w:rsidR="007B3EA2" w:rsidRPr="004E384A">
        <w:rPr>
          <w:rFonts w:ascii="Calibri" w:hAnsi="Calibri" w:cs="Calibri"/>
          <w:sz w:val="24"/>
          <w:szCs w:val="24"/>
        </w:rPr>
        <w:t xml:space="preserve"> et al.,</w:t>
      </w:r>
      <w:r w:rsidRPr="004E384A">
        <w:rPr>
          <w:rFonts w:ascii="Calibri" w:hAnsi="Calibri" w:cs="Calibri"/>
          <w:sz w:val="24"/>
          <w:szCs w:val="24"/>
        </w:rPr>
        <w:t xml:space="preserve"> 2017) has become a common benchmark (Jin et al., 2024). Most work treats it as</w:t>
      </w:r>
      <w:r w:rsidR="00203DD3">
        <w:rPr>
          <w:rFonts w:ascii="Calibri" w:hAnsi="Calibri" w:cs="Calibri"/>
          <w:sz w:val="24"/>
          <w:szCs w:val="24"/>
        </w:rPr>
        <w:t xml:space="preserve"> a</w:t>
      </w:r>
      <w:r w:rsidRPr="004E384A">
        <w:rPr>
          <w:rFonts w:ascii="Calibri" w:hAnsi="Calibri" w:cs="Calibri"/>
          <w:sz w:val="24"/>
          <w:szCs w:val="24"/>
        </w:rPr>
        <w:t xml:space="preserve"> binary classification of clickstream and assessment features. </w:t>
      </w:r>
      <w:proofErr w:type="spellStart"/>
      <w:r w:rsidRPr="004E384A">
        <w:rPr>
          <w:rFonts w:ascii="Calibri" w:hAnsi="Calibri" w:cs="Calibri"/>
          <w:sz w:val="24"/>
          <w:szCs w:val="24"/>
        </w:rPr>
        <w:t>Aljohani</w:t>
      </w:r>
      <w:proofErr w:type="spellEnd"/>
      <w:r w:rsidR="006B6124" w:rsidRPr="004E384A">
        <w:rPr>
          <w:rFonts w:ascii="Calibri" w:hAnsi="Calibri" w:cs="Calibri"/>
          <w:sz w:val="24"/>
          <w:szCs w:val="24"/>
        </w:rPr>
        <w:t xml:space="preserve"> et al.</w:t>
      </w:r>
      <w:r w:rsidRPr="004E384A">
        <w:rPr>
          <w:rFonts w:ascii="Calibri" w:hAnsi="Calibri" w:cs="Calibri"/>
          <w:sz w:val="24"/>
          <w:szCs w:val="24"/>
        </w:rPr>
        <w:t xml:space="preserve"> (2019) used a long short-term memory network on weekly clickstream data, separating pass from fail with around 90% accuracy by the tenth week, and Adnan et al. (2021) showed accuracy climbing as the course elapses, with assessment scores and clickstream intensity</w:t>
      </w:r>
      <w:r w:rsidR="005F2015" w:rsidRPr="004E384A">
        <w:rPr>
          <w:rFonts w:ascii="Calibri" w:hAnsi="Calibri" w:cs="Calibri"/>
          <w:sz w:val="24"/>
          <w:szCs w:val="24"/>
        </w:rPr>
        <w:t xml:space="preserve"> the</w:t>
      </w:r>
      <w:r w:rsidRPr="004E384A">
        <w:rPr>
          <w:rFonts w:ascii="Calibri" w:hAnsi="Calibri" w:cs="Calibri"/>
          <w:sz w:val="24"/>
          <w:szCs w:val="24"/>
        </w:rPr>
        <w:t xml:space="preserve"> most informative</w:t>
      </w:r>
      <w:r w:rsidR="005F2015" w:rsidRPr="004E384A">
        <w:rPr>
          <w:rFonts w:ascii="Calibri" w:hAnsi="Calibri" w:cs="Calibri"/>
          <w:sz w:val="24"/>
          <w:szCs w:val="24"/>
        </w:rPr>
        <w:t xml:space="preserve"> inputs</w:t>
      </w:r>
      <w:r w:rsidRPr="004E384A">
        <w:rPr>
          <w:rFonts w:ascii="Calibri" w:hAnsi="Calibri" w:cs="Calibri"/>
          <w:sz w:val="24"/>
          <w:szCs w:val="24"/>
        </w:rPr>
        <w:t>. Gupta</w:t>
      </w:r>
      <w:r w:rsidR="00502F9F" w:rsidRPr="004E384A">
        <w:rPr>
          <w:rFonts w:ascii="Calibri" w:hAnsi="Calibri" w:cs="Calibri"/>
          <w:sz w:val="24"/>
          <w:szCs w:val="24"/>
        </w:rPr>
        <w:t xml:space="preserve"> et al.</w:t>
      </w:r>
      <w:r w:rsidRPr="004E384A">
        <w:rPr>
          <w:rFonts w:ascii="Calibri" w:hAnsi="Calibri" w:cs="Calibri"/>
          <w:sz w:val="24"/>
          <w:szCs w:val="24"/>
        </w:rPr>
        <w:t xml:space="preserve"> (2022) reached AUC above 0.92 with an interpretable hidden Markov model over early-quarter assessments. Together</w:t>
      </w:r>
      <w:r w:rsidR="00811192" w:rsidRPr="004E384A">
        <w:rPr>
          <w:rFonts w:ascii="Calibri" w:hAnsi="Calibri" w:cs="Calibri"/>
          <w:sz w:val="24"/>
          <w:szCs w:val="24"/>
        </w:rPr>
        <w:t>,</w:t>
      </w:r>
      <w:r w:rsidRPr="004E384A">
        <w:rPr>
          <w:rFonts w:ascii="Calibri" w:hAnsi="Calibri" w:cs="Calibri"/>
          <w:sz w:val="24"/>
          <w:szCs w:val="24"/>
        </w:rPr>
        <w:t xml:space="preserve"> these</w:t>
      </w:r>
      <w:r w:rsidR="00F06E21" w:rsidRPr="004E384A">
        <w:rPr>
          <w:rFonts w:ascii="Calibri" w:hAnsi="Calibri" w:cs="Calibri"/>
          <w:sz w:val="24"/>
          <w:szCs w:val="24"/>
        </w:rPr>
        <w:t xml:space="preserve"> studies</w:t>
      </w:r>
      <w:r w:rsidRPr="004E384A">
        <w:rPr>
          <w:rFonts w:ascii="Calibri" w:hAnsi="Calibri" w:cs="Calibri"/>
          <w:sz w:val="24"/>
          <w:szCs w:val="24"/>
        </w:rPr>
        <w:t xml:space="preserve"> establish that engagement data carries genuine predictive signal.</w:t>
      </w:r>
    </w:p>
    <w:p w14:paraId="0952C309" w14:textId="7CADCCD2" w:rsidR="0024761D" w:rsidRPr="004E384A" w:rsidRDefault="0024761D" w:rsidP="00F32A04">
      <w:pPr>
        <w:jc w:val="both"/>
        <w:rPr>
          <w:rFonts w:ascii="Calibri" w:hAnsi="Calibri" w:cs="Calibri"/>
          <w:sz w:val="24"/>
          <w:szCs w:val="24"/>
        </w:rPr>
      </w:pPr>
      <w:r w:rsidRPr="004E384A">
        <w:rPr>
          <w:rFonts w:ascii="Calibri" w:hAnsi="Calibri" w:cs="Calibri"/>
          <w:sz w:val="24"/>
          <w:szCs w:val="24"/>
        </w:rPr>
        <w:t>What they share is also their limitation. Most report performance well into the course: the LSTM result is a week-ten figure, and Adnan et al.</w:t>
      </w:r>
      <w:r w:rsidR="00D82E06">
        <w:rPr>
          <w:rFonts w:ascii="Calibri" w:hAnsi="Calibri" w:cs="Calibri"/>
          <w:sz w:val="24"/>
          <w:szCs w:val="24"/>
        </w:rPr>
        <w:t xml:space="preserve"> </w:t>
      </w:r>
      <w:r w:rsidR="0059561B">
        <w:rPr>
          <w:rFonts w:ascii="Calibri" w:hAnsi="Calibri" w:cs="Calibri"/>
          <w:sz w:val="24"/>
          <w:szCs w:val="24"/>
        </w:rPr>
        <w:t>(2021)</w:t>
      </w:r>
      <w:r w:rsidRPr="004E384A">
        <w:rPr>
          <w:rFonts w:ascii="Calibri" w:hAnsi="Calibri" w:cs="Calibri"/>
          <w:sz w:val="24"/>
          <w:szCs w:val="24"/>
        </w:rPr>
        <w:t xml:space="preserve"> report accuracy at 20%, 40% and later fractions of course length. The earlier the checkpoint, the more useful the warning and the harder the task,</w:t>
      </w:r>
      <w:r w:rsidR="00971D23">
        <w:rPr>
          <w:rFonts w:ascii="Calibri" w:hAnsi="Calibri" w:cs="Calibri"/>
          <w:sz w:val="24"/>
          <w:szCs w:val="24"/>
        </w:rPr>
        <w:t xml:space="preserve"> </w:t>
      </w:r>
      <w:r w:rsidRPr="004E384A">
        <w:rPr>
          <w:rFonts w:ascii="Calibri" w:hAnsi="Calibri" w:cs="Calibri"/>
          <w:sz w:val="24"/>
          <w:szCs w:val="24"/>
        </w:rPr>
        <w:t xml:space="preserve">so mid-course results say little about how a genuinely early system would perform. </w:t>
      </w:r>
      <w:proofErr w:type="spellStart"/>
      <w:r w:rsidRPr="004E384A">
        <w:rPr>
          <w:rFonts w:ascii="Calibri" w:hAnsi="Calibri" w:cs="Calibri"/>
          <w:sz w:val="24"/>
          <w:szCs w:val="24"/>
        </w:rPr>
        <w:t>Akçapınar</w:t>
      </w:r>
      <w:proofErr w:type="spellEnd"/>
      <w:r w:rsidR="002377A6" w:rsidRPr="004E384A">
        <w:rPr>
          <w:rFonts w:ascii="Calibri" w:hAnsi="Calibri" w:cs="Calibri"/>
          <w:sz w:val="24"/>
          <w:szCs w:val="24"/>
        </w:rPr>
        <w:t xml:space="preserve"> et al.</w:t>
      </w:r>
      <w:r w:rsidRPr="004E384A">
        <w:rPr>
          <w:rFonts w:ascii="Calibri" w:hAnsi="Calibri" w:cs="Calibri"/>
          <w:sz w:val="24"/>
          <w:szCs w:val="24"/>
        </w:rPr>
        <w:t xml:space="preserve"> (2019) confirmed this tension, flagging unsuccessful students within the first three weeks but at markedly lower accuracy than later. A second limitation is interpretability: accuracy is often pursued through models whose decisions cannot be inspected, which suits a league table but not an early-warning tool, where a tutor needs to know why a student was flagged. Interest in explainable analytics has grown in response, with SHAP (Lundberg </w:t>
      </w:r>
      <w:r w:rsidR="00556B23" w:rsidRPr="004E384A">
        <w:rPr>
          <w:rFonts w:ascii="Calibri" w:hAnsi="Calibri" w:cs="Calibri"/>
          <w:sz w:val="24"/>
          <w:szCs w:val="24"/>
        </w:rPr>
        <w:t>&amp;</w:t>
      </w:r>
      <w:r w:rsidRPr="004E384A">
        <w:rPr>
          <w:rFonts w:ascii="Calibri" w:hAnsi="Calibri" w:cs="Calibri"/>
          <w:sz w:val="24"/>
          <w:szCs w:val="24"/>
        </w:rPr>
        <w:t xml:space="preserve"> Lee, 2017) used to attribute predictions to features (</w:t>
      </w:r>
      <w:proofErr w:type="spellStart"/>
      <w:r w:rsidRPr="004E384A">
        <w:rPr>
          <w:rFonts w:ascii="Calibri" w:hAnsi="Calibri" w:cs="Calibri"/>
          <w:sz w:val="24"/>
          <w:szCs w:val="24"/>
        </w:rPr>
        <w:t>Sahlaoui</w:t>
      </w:r>
      <w:proofErr w:type="spellEnd"/>
      <w:r w:rsidRPr="004E384A">
        <w:rPr>
          <w:rFonts w:ascii="Calibri" w:hAnsi="Calibri" w:cs="Calibri"/>
          <w:sz w:val="24"/>
          <w:szCs w:val="24"/>
        </w:rPr>
        <w:t xml:space="preserve"> et al., 2021). Working directly on OULAD, </w:t>
      </w:r>
      <w:proofErr w:type="spellStart"/>
      <w:r w:rsidRPr="004E384A">
        <w:rPr>
          <w:rFonts w:ascii="Calibri" w:hAnsi="Calibri" w:cs="Calibri"/>
          <w:sz w:val="24"/>
          <w:szCs w:val="24"/>
        </w:rPr>
        <w:t>Oyedotun</w:t>
      </w:r>
      <w:proofErr w:type="spellEnd"/>
      <w:r w:rsidRPr="004E384A">
        <w:rPr>
          <w:rFonts w:ascii="Calibri" w:hAnsi="Calibri" w:cs="Calibri"/>
          <w:sz w:val="24"/>
          <w:szCs w:val="24"/>
        </w:rPr>
        <w:t xml:space="preserve"> et al. (2025) combined a model with SHAP and found engagement features, especially total clicks, dominant while demographics contributed little, reaching a ROC-AUC of about 0.79. A third limitation is scope: models are usually trained and evaluated on a single course, so whether their patterns transfer</w:t>
      </w:r>
      <w:r w:rsidR="00372BDD" w:rsidRPr="004E384A">
        <w:rPr>
          <w:rFonts w:ascii="Calibri" w:hAnsi="Calibri" w:cs="Calibri"/>
          <w:sz w:val="24"/>
          <w:szCs w:val="24"/>
        </w:rPr>
        <w:t xml:space="preserve"> to other courses</w:t>
      </w:r>
      <w:r w:rsidRPr="004E384A">
        <w:rPr>
          <w:rFonts w:ascii="Calibri" w:hAnsi="Calibri" w:cs="Calibri"/>
          <w:sz w:val="24"/>
          <w:szCs w:val="24"/>
        </w:rPr>
        <w:t xml:space="preserve"> is left untested. Dai et al. (2025) is a notable exception, showing that a model trained on one presentation could identify at-risk students in a later presentation of the same course, but transfer across different courses, where content and engagement rhythms differ, is rarely examined.</w:t>
      </w:r>
    </w:p>
    <w:p w14:paraId="4710EACA" w14:textId="77777777" w:rsidR="0024761D" w:rsidRPr="004E384A" w:rsidRDefault="0024761D" w:rsidP="00F32A04">
      <w:pPr>
        <w:jc w:val="both"/>
        <w:rPr>
          <w:rFonts w:ascii="Calibri" w:hAnsi="Calibri" w:cs="Calibri"/>
          <w:sz w:val="24"/>
          <w:szCs w:val="24"/>
        </w:rPr>
      </w:pPr>
    </w:p>
    <w:p w14:paraId="6F0C1BE6" w14:textId="77777777"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1.3 Contribution</w:t>
      </w:r>
    </w:p>
    <w:p w14:paraId="3E974290" w14:textId="544CD0DE" w:rsidR="0024761D" w:rsidRPr="004E384A" w:rsidRDefault="0024761D" w:rsidP="00F32A04">
      <w:pPr>
        <w:jc w:val="both"/>
        <w:rPr>
          <w:rFonts w:ascii="Calibri" w:hAnsi="Calibri" w:cs="Calibri"/>
          <w:sz w:val="24"/>
          <w:szCs w:val="24"/>
        </w:rPr>
      </w:pPr>
      <w:r w:rsidRPr="004E384A">
        <w:rPr>
          <w:rFonts w:ascii="Calibri" w:hAnsi="Calibri" w:cs="Calibri"/>
          <w:sz w:val="24"/>
          <w:szCs w:val="24"/>
        </w:rPr>
        <w:t xml:space="preserve">This project addresses those three limitations; each addition is a deliberate step beyond a standard single-course classifier. First, it fixes an explicitly leakage-safe early-warning horizon at the first assessment, so no outcome information can leak into the predictors and reported performance reflects what a system could actually know then. Second, it pairs every prediction with a SHAP explanation at </w:t>
      </w:r>
      <w:r w:rsidR="00DE1183">
        <w:rPr>
          <w:rFonts w:ascii="Calibri" w:hAnsi="Calibri" w:cs="Calibri"/>
          <w:sz w:val="24"/>
          <w:szCs w:val="24"/>
        </w:rPr>
        <w:t xml:space="preserve">the </w:t>
      </w:r>
      <w:r w:rsidRPr="004E384A">
        <w:rPr>
          <w:rFonts w:ascii="Calibri" w:hAnsi="Calibri" w:cs="Calibri"/>
          <w:sz w:val="24"/>
          <w:szCs w:val="24"/>
        </w:rPr>
        <w:t xml:space="preserve">global and individual level, so the model can be interrogated rather than merely trusted. Third, it tests cross-course </w:t>
      </w:r>
      <w:proofErr w:type="spellStart"/>
      <w:r w:rsidRPr="004E384A">
        <w:rPr>
          <w:rFonts w:ascii="Calibri" w:hAnsi="Calibri" w:cs="Calibri"/>
          <w:sz w:val="24"/>
          <w:szCs w:val="24"/>
        </w:rPr>
        <w:t>generalisation</w:t>
      </w:r>
      <w:proofErr w:type="spellEnd"/>
      <w:r w:rsidRPr="004E384A">
        <w:rPr>
          <w:rFonts w:ascii="Calibri" w:hAnsi="Calibri" w:cs="Calibri"/>
          <w:sz w:val="24"/>
          <w:szCs w:val="24"/>
        </w:rPr>
        <w:t>, both by transferring</w:t>
      </w:r>
      <w:r w:rsidR="00411449">
        <w:rPr>
          <w:rFonts w:ascii="Calibri" w:hAnsi="Calibri" w:cs="Calibri"/>
          <w:sz w:val="24"/>
          <w:szCs w:val="24"/>
        </w:rPr>
        <w:t xml:space="preserve"> a</w:t>
      </w:r>
      <w:r w:rsidRPr="004E384A">
        <w:rPr>
          <w:rFonts w:ascii="Calibri" w:hAnsi="Calibri" w:cs="Calibri"/>
          <w:sz w:val="24"/>
          <w:szCs w:val="24"/>
        </w:rPr>
        <w:t xml:space="preserve"> trained model between courses and by measuring whether the most important predictors recur. A controlled ablation withholding the first-assessment mark quantifies how much of the signal </w:t>
      </w:r>
      <w:proofErr w:type="spellStart"/>
      <w:r w:rsidRPr="004E384A">
        <w:rPr>
          <w:rFonts w:ascii="Calibri" w:hAnsi="Calibri" w:cs="Calibri"/>
          <w:sz w:val="24"/>
          <w:szCs w:val="24"/>
        </w:rPr>
        <w:t>behaviour</w:t>
      </w:r>
      <w:proofErr w:type="spellEnd"/>
      <w:r w:rsidRPr="004E384A">
        <w:rPr>
          <w:rFonts w:ascii="Calibri" w:hAnsi="Calibri" w:cs="Calibri"/>
          <w:sz w:val="24"/>
          <w:szCs w:val="24"/>
        </w:rPr>
        <w:t xml:space="preserve"> </w:t>
      </w:r>
      <w:r w:rsidR="00A4671E">
        <w:rPr>
          <w:rFonts w:ascii="Calibri" w:hAnsi="Calibri" w:cs="Calibri"/>
          <w:sz w:val="24"/>
          <w:szCs w:val="24"/>
        </w:rPr>
        <w:t xml:space="preserve">it </w:t>
      </w:r>
      <w:r w:rsidRPr="004E384A">
        <w:rPr>
          <w:rFonts w:ascii="Calibri" w:hAnsi="Calibri" w:cs="Calibri"/>
          <w:sz w:val="24"/>
          <w:szCs w:val="24"/>
        </w:rPr>
        <w:t>carries, separating a genuinely predictive model from one that merely restates the first grade.</w:t>
      </w:r>
    </w:p>
    <w:p w14:paraId="4BE15977" w14:textId="44FE7F66"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1.4 Aim</w:t>
      </w:r>
      <w:r w:rsidR="001A4528">
        <w:rPr>
          <w:rFonts w:ascii="Calibri" w:hAnsi="Calibri" w:cs="Calibri"/>
          <w:b/>
          <w:color w:val="000000"/>
          <w:sz w:val="24"/>
          <w:szCs w:val="24"/>
        </w:rPr>
        <w:t xml:space="preserve"> and </w:t>
      </w:r>
      <w:r w:rsidRPr="004E384A">
        <w:rPr>
          <w:rFonts w:ascii="Calibri" w:hAnsi="Calibri" w:cs="Calibri"/>
          <w:b/>
          <w:color w:val="000000"/>
          <w:sz w:val="24"/>
          <w:szCs w:val="24"/>
        </w:rPr>
        <w:t>research questions</w:t>
      </w:r>
    </w:p>
    <w:p w14:paraId="1F320B31" w14:textId="5389B166" w:rsidR="0024761D" w:rsidRPr="004E384A" w:rsidRDefault="0024761D" w:rsidP="00F32A04">
      <w:pPr>
        <w:jc w:val="both"/>
        <w:rPr>
          <w:rFonts w:ascii="Calibri" w:hAnsi="Calibri" w:cs="Calibri"/>
          <w:sz w:val="24"/>
          <w:szCs w:val="24"/>
        </w:rPr>
      </w:pPr>
      <w:r w:rsidRPr="004E384A">
        <w:rPr>
          <w:rFonts w:ascii="Calibri" w:hAnsi="Calibri" w:cs="Calibri"/>
          <w:sz w:val="24"/>
          <w:szCs w:val="24"/>
        </w:rPr>
        <w:t>The aim is to develop and evaluate an interpretable</w:t>
      </w:r>
      <w:r w:rsidR="0095599B" w:rsidRPr="004E384A">
        <w:rPr>
          <w:rFonts w:ascii="Calibri" w:hAnsi="Calibri" w:cs="Calibri"/>
          <w:sz w:val="24"/>
          <w:szCs w:val="24"/>
        </w:rPr>
        <w:t xml:space="preserve"> machine-learning</w:t>
      </w:r>
      <w:r w:rsidRPr="004E384A">
        <w:rPr>
          <w:rFonts w:ascii="Calibri" w:hAnsi="Calibri" w:cs="Calibri"/>
          <w:sz w:val="24"/>
          <w:szCs w:val="24"/>
        </w:rPr>
        <w:t xml:space="preserve"> pipeline that predicts, early in a course, which distance-learning students risk failing, and explains the drivers of each prediction. Three research questions follow:</w:t>
      </w:r>
    </w:p>
    <w:p w14:paraId="5DE40BEC" w14:textId="77777777" w:rsidR="0024761D" w:rsidRPr="004E384A" w:rsidRDefault="0024761D" w:rsidP="00F32A04">
      <w:pPr>
        <w:pStyle w:val="ListParagraph"/>
        <w:spacing w:after="60" w:line="360" w:lineRule="auto"/>
        <w:jc w:val="both"/>
        <w:rPr>
          <w:rFonts w:ascii="Calibri" w:hAnsi="Calibri" w:cs="Calibri"/>
          <w:sz w:val="24"/>
          <w:szCs w:val="24"/>
        </w:rPr>
      </w:pPr>
      <w:r w:rsidRPr="004E384A">
        <w:rPr>
          <w:rFonts w:ascii="Calibri" w:hAnsi="Calibri" w:cs="Calibri"/>
          <w:sz w:val="24"/>
          <w:szCs w:val="24"/>
        </w:rPr>
        <w:t>RQ1. How accurately can student failure be predicted from demographic, engagement and first-assessment data available at an early-warning checkpoint, and which model family performs best?</w:t>
      </w:r>
    </w:p>
    <w:p w14:paraId="10AA549F" w14:textId="67F008C9" w:rsidR="0024761D" w:rsidRPr="004E384A" w:rsidRDefault="0024761D" w:rsidP="00F32A04">
      <w:pPr>
        <w:pStyle w:val="ListParagraph"/>
        <w:spacing w:after="60" w:line="360" w:lineRule="auto"/>
        <w:jc w:val="both"/>
        <w:rPr>
          <w:rFonts w:ascii="Calibri" w:hAnsi="Calibri" w:cs="Calibri"/>
          <w:sz w:val="24"/>
          <w:szCs w:val="24"/>
        </w:rPr>
      </w:pPr>
      <w:r w:rsidRPr="004E384A">
        <w:rPr>
          <w:rFonts w:ascii="Calibri" w:hAnsi="Calibri" w:cs="Calibri"/>
          <w:sz w:val="24"/>
          <w:szCs w:val="24"/>
        </w:rPr>
        <w:t>RQ2. Which factors most influence predicted risk, and how much of the predictive signal depends on the first-assessment mark?</w:t>
      </w:r>
    </w:p>
    <w:p w14:paraId="717D2336" w14:textId="77777777" w:rsidR="0024761D" w:rsidRPr="004E384A" w:rsidRDefault="0024761D" w:rsidP="00F32A04">
      <w:pPr>
        <w:pStyle w:val="ListParagraph"/>
        <w:spacing w:after="60" w:line="360" w:lineRule="auto"/>
        <w:jc w:val="both"/>
        <w:rPr>
          <w:rFonts w:ascii="Calibri" w:hAnsi="Calibri" w:cs="Calibri"/>
          <w:sz w:val="24"/>
          <w:szCs w:val="24"/>
        </w:rPr>
      </w:pPr>
      <w:r w:rsidRPr="004E384A">
        <w:rPr>
          <w:rFonts w:ascii="Calibri" w:hAnsi="Calibri" w:cs="Calibri"/>
          <w:sz w:val="24"/>
          <w:szCs w:val="24"/>
        </w:rPr>
        <w:t>RQ3. Do the predictive patterns generalise across different courses?</w:t>
      </w:r>
    </w:p>
    <w:p w14:paraId="68BCCB72" w14:textId="77777777" w:rsidR="0024761D" w:rsidRPr="004E384A" w:rsidRDefault="0024761D" w:rsidP="00F32A04">
      <w:pPr>
        <w:pStyle w:val="Heading1"/>
        <w:spacing w:before="200" w:line="360" w:lineRule="auto"/>
        <w:rPr>
          <w:rFonts w:ascii="Calibri" w:hAnsi="Calibri" w:cs="Calibri"/>
          <w:sz w:val="24"/>
          <w:szCs w:val="24"/>
        </w:rPr>
      </w:pPr>
      <w:r w:rsidRPr="004E384A">
        <w:rPr>
          <w:rFonts w:ascii="Calibri" w:hAnsi="Calibri" w:cs="Calibri"/>
          <w:b/>
          <w:color w:val="000000"/>
          <w:sz w:val="24"/>
          <w:szCs w:val="24"/>
        </w:rPr>
        <w:t>2. Approach</w:t>
      </w:r>
    </w:p>
    <w:p w14:paraId="2DD5C5EF" w14:textId="77777777"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2.1 Dataset</w:t>
      </w:r>
    </w:p>
    <w:p w14:paraId="7D171C6A" w14:textId="035F8B9B" w:rsidR="0024761D" w:rsidRPr="004E384A" w:rsidRDefault="0024761D" w:rsidP="00F32A04">
      <w:pPr>
        <w:jc w:val="both"/>
        <w:rPr>
          <w:rFonts w:ascii="Calibri" w:hAnsi="Calibri" w:cs="Calibri"/>
          <w:sz w:val="24"/>
          <w:szCs w:val="24"/>
        </w:rPr>
      </w:pPr>
      <w:r w:rsidRPr="004E384A">
        <w:rPr>
          <w:rFonts w:ascii="Calibri" w:hAnsi="Calibri" w:cs="Calibri"/>
          <w:sz w:val="24"/>
          <w:szCs w:val="24"/>
        </w:rPr>
        <w:t>OULAD contains 32,593 students across 22 module presentations at the Open University, combining demographic records, assessment results and daily VLE click summaries of more than 10.6 million interaction records (</w:t>
      </w:r>
      <w:proofErr w:type="spellStart"/>
      <w:r w:rsidRPr="004E384A">
        <w:rPr>
          <w:rFonts w:ascii="Calibri" w:hAnsi="Calibri" w:cs="Calibri"/>
          <w:sz w:val="24"/>
          <w:szCs w:val="24"/>
        </w:rPr>
        <w:t>Kuzilek</w:t>
      </w:r>
      <w:proofErr w:type="spellEnd"/>
      <w:r w:rsidR="00802458" w:rsidRPr="004E384A">
        <w:rPr>
          <w:rFonts w:ascii="Calibri" w:hAnsi="Calibri" w:cs="Calibri"/>
          <w:sz w:val="24"/>
          <w:szCs w:val="24"/>
        </w:rPr>
        <w:t xml:space="preserve"> et al.</w:t>
      </w:r>
      <w:r w:rsidRPr="004E384A">
        <w:rPr>
          <w:rFonts w:ascii="Calibri" w:hAnsi="Calibri" w:cs="Calibri"/>
          <w:sz w:val="24"/>
          <w:szCs w:val="24"/>
        </w:rPr>
        <w:t>, 2017). Analysis was restricted to four Level-1 modules, BBB, DDD, EEE and FFF, chosen for their size and s</w:t>
      </w:r>
      <w:r w:rsidR="004D6249" w:rsidRPr="004E384A">
        <w:rPr>
          <w:rFonts w:ascii="Calibri" w:hAnsi="Calibri" w:cs="Calibri"/>
          <w:sz w:val="24"/>
          <w:szCs w:val="24"/>
        </w:rPr>
        <w:t>pan</w:t>
      </w:r>
      <w:r w:rsidRPr="004E384A">
        <w:rPr>
          <w:rFonts w:ascii="Calibri" w:hAnsi="Calibri" w:cs="Calibri"/>
          <w:sz w:val="24"/>
          <w:szCs w:val="24"/>
        </w:rPr>
        <w:t xml:space="preserve"> of subject areas, which makes the RQ3 cross-course comparison meaningful. These comprise 24,877 students before target construction, modelled identically for comparison.</w:t>
      </w:r>
    </w:p>
    <w:p w14:paraId="7AAA105B" w14:textId="77777777"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2.2 Target definition and early-warning horizon</w:t>
      </w:r>
    </w:p>
    <w:p w14:paraId="69426B04" w14:textId="2607A368" w:rsidR="0024761D" w:rsidRPr="004E384A" w:rsidRDefault="0024761D" w:rsidP="00F32A04">
      <w:pPr>
        <w:jc w:val="both"/>
        <w:rPr>
          <w:rFonts w:ascii="Calibri" w:hAnsi="Calibri" w:cs="Calibri"/>
          <w:sz w:val="24"/>
          <w:szCs w:val="24"/>
        </w:rPr>
      </w:pPr>
      <w:r w:rsidRPr="004E384A">
        <w:rPr>
          <w:rFonts w:ascii="Calibri" w:hAnsi="Calibri" w:cs="Calibri"/>
          <w:sz w:val="24"/>
          <w:szCs w:val="24"/>
        </w:rPr>
        <w:t>The four OULAD outcomes were mapped to a binary target: Pass and Distinction as success, Fail as failure. Withdrawal was handled by census date. Students who withdrew before census (2,128 across the four modules) were removed as non-starters rather than academic failures; post-census withdrawals were treated as failures. This yielded 22,749 modelled students with an overall failure rate of 0.487, a near-balanced problem (class ratio about 1.1 to 1). The prediction horizon was fixed at each presentation's first assessment, and every predictor uses only information available on or before that date; cutoff days ranged from 12 to 33, reflecting genuine differences in when the first assignment falls (Figure 1). This makes the model a true early-warning system and removes the target leakage that arises when whole-course engagement predicts an end-of-course outcome.</w:t>
      </w:r>
    </w:p>
    <w:p w14:paraId="75D7E360" w14:textId="7C1633FA" w:rsidR="0024761D" w:rsidRPr="004E384A" w:rsidRDefault="001D5DC5" w:rsidP="00084791">
      <w:pPr>
        <w:spacing w:line="240" w:lineRule="auto"/>
        <w:jc w:val="center"/>
        <w:rPr>
          <w:rFonts w:ascii="Calibri" w:hAnsi="Calibri" w:cs="Calibri"/>
          <w:sz w:val="24"/>
          <w:szCs w:val="24"/>
          <w:lang w:val="en-GB"/>
        </w:rPr>
      </w:pPr>
      <w:r w:rsidRPr="004E384A">
        <w:rPr>
          <w:rFonts w:ascii="Calibri" w:hAnsi="Calibri" w:cs="Calibri"/>
          <w:noProof/>
          <w:sz w:val="24"/>
          <w:szCs w:val="24"/>
          <w:lang w:val="en-GB"/>
        </w:rPr>
        <w:drawing>
          <wp:inline distT="0" distB="0" distL="0" distR="0" wp14:anchorId="33BEE889" wp14:editId="56EE6F27">
            <wp:extent cx="6858000" cy="3857625"/>
            <wp:effectExtent l="0" t="0" r="0" b="9525"/>
            <wp:docPr id="435259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r w:rsidR="0024761D" w:rsidRPr="004E384A">
        <w:rPr>
          <w:rFonts w:ascii="Calibri" w:hAnsi="Calibri" w:cs="Calibri"/>
          <w:i/>
          <w:sz w:val="24"/>
          <w:szCs w:val="24"/>
        </w:rPr>
        <w:t>Figure 1: Study design. Each course presentation has a first-assessment cutoff (day 12-33); only demographic, engagement and first-assessment data observed up to that cutoff enters the model, which predicts the end-of-course pass/fail outcome.</w:t>
      </w:r>
    </w:p>
    <w:p w14:paraId="4D1FFCE7" w14:textId="77777777" w:rsidR="00E67929" w:rsidRPr="004E384A" w:rsidRDefault="00E67929" w:rsidP="00E67929">
      <w:pPr>
        <w:spacing w:line="240" w:lineRule="auto"/>
        <w:jc w:val="center"/>
        <w:rPr>
          <w:rFonts w:ascii="Calibri" w:hAnsi="Calibri" w:cs="Calibri"/>
          <w:sz w:val="24"/>
          <w:szCs w:val="24"/>
          <w:lang w:val="en-GB"/>
        </w:rPr>
      </w:pPr>
    </w:p>
    <w:p w14:paraId="763AC77E" w14:textId="77777777"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2.3 Feature engineering</w:t>
      </w:r>
    </w:p>
    <w:p w14:paraId="48042316" w14:textId="56FD092A" w:rsidR="0024761D" w:rsidRPr="004E384A" w:rsidRDefault="0024761D" w:rsidP="00F32A04">
      <w:pPr>
        <w:jc w:val="both"/>
        <w:rPr>
          <w:rFonts w:ascii="Calibri" w:hAnsi="Calibri" w:cs="Calibri"/>
          <w:sz w:val="24"/>
          <w:szCs w:val="24"/>
        </w:rPr>
      </w:pPr>
      <w:r w:rsidRPr="004E384A">
        <w:rPr>
          <w:rFonts w:ascii="Calibri" w:hAnsi="Calibri" w:cs="Calibri"/>
          <w:sz w:val="24"/>
          <w:szCs w:val="24"/>
        </w:rPr>
        <w:t>T</w:t>
      </w:r>
      <w:r w:rsidR="00EE2296" w:rsidRPr="004E384A">
        <w:rPr>
          <w:rFonts w:ascii="Calibri" w:hAnsi="Calibri" w:cs="Calibri"/>
          <w:sz w:val="24"/>
          <w:szCs w:val="24"/>
        </w:rPr>
        <w:t>wenty</w:t>
      </w:r>
      <w:r w:rsidRPr="004E384A">
        <w:rPr>
          <w:rFonts w:ascii="Calibri" w:hAnsi="Calibri" w:cs="Calibri"/>
          <w:sz w:val="24"/>
          <w:szCs w:val="24"/>
        </w:rPr>
        <w:t>-</w:t>
      </w:r>
      <w:r w:rsidR="00EE2296" w:rsidRPr="004E384A">
        <w:rPr>
          <w:rFonts w:ascii="Calibri" w:hAnsi="Calibri" w:cs="Calibri"/>
          <w:sz w:val="24"/>
          <w:szCs w:val="24"/>
        </w:rPr>
        <w:t>nine</w:t>
      </w:r>
      <w:r w:rsidRPr="004E384A">
        <w:rPr>
          <w:rFonts w:ascii="Calibri" w:hAnsi="Calibri" w:cs="Calibri"/>
          <w:sz w:val="24"/>
          <w:szCs w:val="24"/>
        </w:rPr>
        <w:t xml:space="preserve"> features were engineered across three families. Demographic features came from student records: gender, region, highest education, IMD band, age band, disability, prior attempts</w:t>
      </w:r>
      <w:r w:rsidR="00313165" w:rsidRPr="004E384A">
        <w:rPr>
          <w:rFonts w:ascii="Calibri" w:hAnsi="Calibri" w:cs="Calibri"/>
          <w:sz w:val="24"/>
          <w:szCs w:val="24"/>
        </w:rPr>
        <w:t xml:space="preserve">, </w:t>
      </w:r>
      <w:r w:rsidRPr="004E384A">
        <w:rPr>
          <w:rFonts w:ascii="Calibri" w:hAnsi="Calibri" w:cs="Calibri"/>
          <w:sz w:val="24"/>
          <w:szCs w:val="24"/>
        </w:rPr>
        <w:t>studied credits</w:t>
      </w:r>
      <w:r w:rsidR="00313165" w:rsidRPr="004E384A">
        <w:rPr>
          <w:rFonts w:ascii="Calibri" w:hAnsi="Calibri" w:cs="Calibri"/>
          <w:sz w:val="24"/>
          <w:szCs w:val="24"/>
        </w:rPr>
        <w:t xml:space="preserve"> and </w:t>
      </w:r>
      <w:r w:rsidR="0034589B" w:rsidRPr="004E384A">
        <w:rPr>
          <w:rFonts w:ascii="Calibri" w:hAnsi="Calibri" w:cs="Calibri"/>
          <w:sz w:val="24"/>
          <w:szCs w:val="24"/>
        </w:rPr>
        <w:t>registration date</w:t>
      </w:r>
      <w:r w:rsidRPr="004E384A">
        <w:rPr>
          <w:rFonts w:ascii="Calibri" w:hAnsi="Calibri" w:cs="Calibri"/>
          <w:sz w:val="24"/>
          <w:szCs w:val="24"/>
        </w:rPr>
        <w:t xml:space="preserve">. Engagement features </w:t>
      </w:r>
      <w:proofErr w:type="spellStart"/>
      <w:r w:rsidRPr="004E384A">
        <w:rPr>
          <w:rFonts w:ascii="Calibri" w:hAnsi="Calibri" w:cs="Calibri"/>
          <w:sz w:val="24"/>
          <w:szCs w:val="24"/>
        </w:rPr>
        <w:t>summarised</w:t>
      </w:r>
      <w:proofErr w:type="spellEnd"/>
      <w:r w:rsidRPr="004E384A">
        <w:rPr>
          <w:rFonts w:ascii="Calibri" w:hAnsi="Calibri" w:cs="Calibri"/>
          <w:sz w:val="24"/>
          <w:szCs w:val="24"/>
        </w:rPr>
        <w:t xml:space="preserve"> VLE clickstream activity up to the cutoff, including total clicks, active days, the active-to-elapsed-day ratio, first-week clicks, an engagement trend, days since last login,</w:t>
      </w:r>
      <w:r w:rsidR="00306AC4">
        <w:rPr>
          <w:rFonts w:ascii="Calibri" w:hAnsi="Calibri" w:cs="Calibri"/>
          <w:sz w:val="24"/>
          <w:szCs w:val="24"/>
        </w:rPr>
        <w:t xml:space="preserve"> and </w:t>
      </w:r>
      <w:r w:rsidRPr="004E384A">
        <w:rPr>
          <w:rFonts w:ascii="Calibri" w:hAnsi="Calibri" w:cs="Calibri"/>
          <w:sz w:val="24"/>
          <w:szCs w:val="24"/>
        </w:rPr>
        <w:t>counts of distinct sites and activity types</w:t>
      </w:r>
      <w:r w:rsidR="003820A6" w:rsidRPr="004E384A">
        <w:rPr>
          <w:rFonts w:ascii="Calibri" w:hAnsi="Calibri" w:cs="Calibri"/>
          <w:sz w:val="24"/>
          <w:szCs w:val="24"/>
        </w:rPr>
        <w:t xml:space="preserve"> (1</w:t>
      </w:r>
      <w:r w:rsidR="008B1FE0" w:rsidRPr="004E384A">
        <w:rPr>
          <w:rFonts w:ascii="Calibri" w:hAnsi="Calibri" w:cs="Calibri"/>
          <w:sz w:val="24"/>
          <w:szCs w:val="24"/>
        </w:rPr>
        <w:t>4 in total</w:t>
      </w:r>
      <w:r w:rsidR="003820A6" w:rsidRPr="004E384A">
        <w:rPr>
          <w:rFonts w:ascii="Calibri" w:hAnsi="Calibri" w:cs="Calibri"/>
          <w:sz w:val="24"/>
          <w:szCs w:val="24"/>
        </w:rPr>
        <w:t>)</w:t>
      </w:r>
      <w:r w:rsidRPr="004E384A">
        <w:rPr>
          <w:rFonts w:ascii="Calibri" w:hAnsi="Calibri" w:cs="Calibri"/>
          <w:sz w:val="24"/>
          <w:szCs w:val="24"/>
        </w:rPr>
        <w:t xml:space="preserve">. First-assessment </w:t>
      </w:r>
      <w:proofErr w:type="spellStart"/>
      <w:r w:rsidRPr="004E384A">
        <w:rPr>
          <w:rFonts w:ascii="Calibri" w:hAnsi="Calibri" w:cs="Calibri"/>
          <w:sz w:val="24"/>
          <w:szCs w:val="24"/>
        </w:rPr>
        <w:t>behaviour</w:t>
      </w:r>
      <w:proofErr w:type="spellEnd"/>
      <w:r w:rsidRPr="004E384A">
        <w:rPr>
          <w:rFonts w:ascii="Calibri" w:hAnsi="Calibri" w:cs="Calibri"/>
          <w:sz w:val="24"/>
          <w:szCs w:val="24"/>
        </w:rPr>
        <w:t xml:space="preserve"> captured whether the first assignment was submitted, how early or late, the mark and a banded mark. All features were computed strictly within the early-warning horizon</w:t>
      </w:r>
      <w:r w:rsidR="006E506A" w:rsidRPr="004E384A">
        <w:rPr>
          <w:rFonts w:ascii="Calibri" w:hAnsi="Calibri" w:cs="Calibri"/>
          <w:sz w:val="24"/>
          <w:szCs w:val="24"/>
        </w:rPr>
        <w:t xml:space="preserve"> (Table 1)</w:t>
      </w:r>
      <w:r w:rsidRPr="004E384A">
        <w:rPr>
          <w:rFonts w:ascii="Calibri" w:hAnsi="Calibri" w:cs="Calibri"/>
          <w:sz w:val="24"/>
          <w:szCs w:val="24"/>
        </w:rPr>
        <w:t>, and two missing fields were imputed inside the horizon so no imputation could depend on later information.</w:t>
      </w:r>
    </w:p>
    <w:p w14:paraId="61C2D5A3" w14:textId="6C06EB40" w:rsidR="0024761D" w:rsidRPr="004E384A" w:rsidRDefault="0024761D" w:rsidP="000E61EB">
      <w:pPr>
        <w:spacing w:after="160" w:line="276" w:lineRule="auto"/>
        <w:jc w:val="center"/>
        <w:rPr>
          <w:rFonts w:ascii="Calibri" w:hAnsi="Calibri" w:cs="Calibri"/>
          <w:i/>
          <w:sz w:val="24"/>
          <w:szCs w:val="24"/>
        </w:rPr>
      </w:pPr>
      <w:r w:rsidRPr="004E384A">
        <w:rPr>
          <w:rFonts w:ascii="Calibri" w:hAnsi="Calibri" w:cs="Calibri"/>
          <w:i/>
          <w:sz w:val="24"/>
          <w:szCs w:val="24"/>
        </w:rPr>
        <w:t>Table 1: Engineered feature families.</w:t>
      </w:r>
    </w:p>
    <w:tbl>
      <w:tblPr>
        <w:tblStyle w:val="GridTable4"/>
        <w:tblW w:w="0" w:type="auto"/>
        <w:jc w:val="center"/>
        <w:tblLook w:val="04A0" w:firstRow="1" w:lastRow="0" w:firstColumn="1" w:lastColumn="0" w:noHBand="0" w:noVBand="1"/>
      </w:tblPr>
      <w:tblGrid>
        <w:gridCol w:w="2876"/>
        <w:gridCol w:w="3059"/>
        <w:gridCol w:w="2695"/>
      </w:tblGrid>
      <w:tr w:rsidR="00B62955" w:rsidRPr="004E384A" w14:paraId="43C54B4F" w14:textId="77777777" w:rsidTr="00510B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6" w:type="dxa"/>
          </w:tcPr>
          <w:p w14:paraId="72D032D1" w14:textId="79CC64D9" w:rsidR="00B62955" w:rsidRPr="004E384A" w:rsidRDefault="00B62955" w:rsidP="00B62955">
            <w:pPr>
              <w:spacing w:after="160"/>
              <w:rPr>
                <w:rFonts w:ascii="Calibri" w:hAnsi="Calibri" w:cs="Calibri"/>
                <w:sz w:val="24"/>
                <w:szCs w:val="24"/>
              </w:rPr>
            </w:pPr>
            <w:r w:rsidRPr="004E384A">
              <w:rPr>
                <w:rFonts w:ascii="Calibri" w:hAnsi="Calibri" w:cs="Calibri"/>
              </w:rPr>
              <w:t>Feature family</w:t>
            </w:r>
          </w:p>
        </w:tc>
        <w:tc>
          <w:tcPr>
            <w:tcW w:w="3059" w:type="dxa"/>
          </w:tcPr>
          <w:p w14:paraId="383A76E2" w14:textId="5F3C84AC" w:rsidR="00B62955" w:rsidRPr="004E384A" w:rsidRDefault="00B62955" w:rsidP="00B62955">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4E384A">
              <w:rPr>
                <w:rFonts w:ascii="Calibri" w:hAnsi="Calibri" w:cs="Calibri"/>
              </w:rPr>
              <w:t>Features</w:t>
            </w:r>
          </w:p>
        </w:tc>
        <w:tc>
          <w:tcPr>
            <w:tcW w:w="2695" w:type="dxa"/>
          </w:tcPr>
          <w:p w14:paraId="35EF98CA" w14:textId="240FA35E" w:rsidR="00B62955" w:rsidRPr="004E384A" w:rsidRDefault="00B62955" w:rsidP="00B62955">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4E384A">
              <w:rPr>
                <w:rFonts w:ascii="Calibri" w:hAnsi="Calibri" w:cs="Calibri"/>
              </w:rPr>
              <w:t>Count</w:t>
            </w:r>
          </w:p>
        </w:tc>
      </w:tr>
      <w:tr w:rsidR="00B62955" w:rsidRPr="004E384A" w14:paraId="1842C692" w14:textId="77777777" w:rsidTr="00510B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6" w:type="dxa"/>
          </w:tcPr>
          <w:p w14:paraId="02E6EBF2" w14:textId="6BC5ED12" w:rsidR="00B62955" w:rsidRPr="004E384A" w:rsidRDefault="00B62955" w:rsidP="00B62955">
            <w:pPr>
              <w:spacing w:after="160"/>
              <w:rPr>
                <w:rFonts w:ascii="Calibri" w:hAnsi="Calibri" w:cs="Calibri"/>
                <w:sz w:val="24"/>
                <w:szCs w:val="24"/>
              </w:rPr>
            </w:pPr>
            <w:r w:rsidRPr="004E384A">
              <w:rPr>
                <w:rFonts w:ascii="Calibri" w:hAnsi="Calibri" w:cs="Calibri"/>
              </w:rPr>
              <w:t>Demographic</w:t>
            </w:r>
          </w:p>
        </w:tc>
        <w:tc>
          <w:tcPr>
            <w:tcW w:w="3059" w:type="dxa"/>
          </w:tcPr>
          <w:p w14:paraId="6FF65902" w14:textId="55053137" w:rsidR="00B62955" w:rsidRPr="004E384A" w:rsidRDefault="00B62955" w:rsidP="00B62955">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E384A">
              <w:rPr>
                <w:rFonts w:ascii="Calibri" w:hAnsi="Calibri" w:cs="Calibri"/>
              </w:rPr>
              <w:t xml:space="preserve">gender, region, </w:t>
            </w:r>
            <w:proofErr w:type="spellStart"/>
            <w:r w:rsidRPr="004E384A">
              <w:rPr>
                <w:rFonts w:ascii="Calibri" w:hAnsi="Calibri" w:cs="Calibri"/>
              </w:rPr>
              <w:t>highest_education</w:t>
            </w:r>
            <w:proofErr w:type="spellEnd"/>
            <w:r w:rsidRPr="004E384A">
              <w:rPr>
                <w:rFonts w:ascii="Calibri" w:hAnsi="Calibri" w:cs="Calibri"/>
              </w:rPr>
              <w:t xml:space="preserve">, </w:t>
            </w:r>
            <w:proofErr w:type="spellStart"/>
            <w:r w:rsidRPr="004E384A">
              <w:rPr>
                <w:rFonts w:ascii="Calibri" w:hAnsi="Calibri" w:cs="Calibri"/>
              </w:rPr>
              <w:t>imd_band</w:t>
            </w:r>
            <w:proofErr w:type="spellEnd"/>
            <w:r w:rsidRPr="004E384A">
              <w:rPr>
                <w:rFonts w:ascii="Calibri" w:hAnsi="Calibri" w:cs="Calibri"/>
              </w:rPr>
              <w:t xml:space="preserve">, </w:t>
            </w:r>
            <w:proofErr w:type="spellStart"/>
            <w:r w:rsidRPr="004E384A">
              <w:rPr>
                <w:rFonts w:ascii="Calibri" w:hAnsi="Calibri" w:cs="Calibri"/>
              </w:rPr>
              <w:t>age_band</w:t>
            </w:r>
            <w:proofErr w:type="spellEnd"/>
            <w:r w:rsidRPr="004E384A">
              <w:rPr>
                <w:rFonts w:ascii="Calibri" w:hAnsi="Calibri" w:cs="Calibri"/>
              </w:rPr>
              <w:t xml:space="preserve">, disability, </w:t>
            </w:r>
            <w:proofErr w:type="spellStart"/>
            <w:r w:rsidRPr="004E384A">
              <w:rPr>
                <w:rFonts w:ascii="Calibri" w:hAnsi="Calibri" w:cs="Calibri"/>
              </w:rPr>
              <w:t>num_of_prev_attempts</w:t>
            </w:r>
            <w:proofErr w:type="spellEnd"/>
            <w:r w:rsidRPr="004E384A">
              <w:rPr>
                <w:rFonts w:ascii="Calibri" w:hAnsi="Calibri" w:cs="Calibri"/>
              </w:rPr>
              <w:t xml:space="preserve">, </w:t>
            </w:r>
            <w:proofErr w:type="spellStart"/>
            <w:r w:rsidRPr="004E384A">
              <w:rPr>
                <w:rFonts w:ascii="Calibri" w:hAnsi="Calibri" w:cs="Calibri"/>
              </w:rPr>
              <w:t>studied_credits</w:t>
            </w:r>
            <w:proofErr w:type="spellEnd"/>
            <w:r w:rsidRPr="004E384A">
              <w:rPr>
                <w:rFonts w:ascii="Calibri" w:hAnsi="Calibri" w:cs="Calibri"/>
              </w:rPr>
              <w:t xml:space="preserve">, </w:t>
            </w:r>
            <w:proofErr w:type="spellStart"/>
            <w:r w:rsidRPr="004E384A">
              <w:rPr>
                <w:rFonts w:ascii="Calibri" w:hAnsi="Calibri" w:cs="Calibri"/>
              </w:rPr>
              <w:t>date_registration</w:t>
            </w:r>
            <w:proofErr w:type="spellEnd"/>
          </w:p>
        </w:tc>
        <w:tc>
          <w:tcPr>
            <w:tcW w:w="2695" w:type="dxa"/>
          </w:tcPr>
          <w:p w14:paraId="58C1A77A" w14:textId="3B3A9E89" w:rsidR="00B62955" w:rsidRPr="004E384A" w:rsidRDefault="00B62955" w:rsidP="00B62955">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E384A">
              <w:rPr>
                <w:rFonts w:ascii="Calibri" w:hAnsi="Calibri" w:cs="Calibri"/>
              </w:rPr>
              <w:t>9</w:t>
            </w:r>
          </w:p>
        </w:tc>
      </w:tr>
      <w:tr w:rsidR="00B62955" w:rsidRPr="004E384A" w14:paraId="19BF43B4" w14:textId="77777777" w:rsidTr="00510BAE">
        <w:trPr>
          <w:jc w:val="center"/>
        </w:trPr>
        <w:tc>
          <w:tcPr>
            <w:cnfStyle w:val="001000000000" w:firstRow="0" w:lastRow="0" w:firstColumn="1" w:lastColumn="0" w:oddVBand="0" w:evenVBand="0" w:oddHBand="0" w:evenHBand="0" w:firstRowFirstColumn="0" w:firstRowLastColumn="0" w:lastRowFirstColumn="0" w:lastRowLastColumn="0"/>
            <w:tcW w:w="2876" w:type="dxa"/>
          </w:tcPr>
          <w:p w14:paraId="54C87AF2" w14:textId="13ACE4FA" w:rsidR="00B62955" w:rsidRPr="004E384A" w:rsidRDefault="00B62955" w:rsidP="00B62955">
            <w:pPr>
              <w:spacing w:after="160"/>
              <w:rPr>
                <w:rFonts w:ascii="Calibri" w:hAnsi="Calibri" w:cs="Calibri"/>
                <w:sz w:val="24"/>
                <w:szCs w:val="24"/>
              </w:rPr>
            </w:pPr>
            <w:r w:rsidRPr="004E384A">
              <w:rPr>
                <w:rFonts w:ascii="Calibri" w:hAnsi="Calibri" w:cs="Calibri"/>
              </w:rPr>
              <w:t>VLE engagement</w:t>
            </w:r>
          </w:p>
        </w:tc>
        <w:tc>
          <w:tcPr>
            <w:tcW w:w="3059" w:type="dxa"/>
          </w:tcPr>
          <w:p w14:paraId="2A2180B0" w14:textId="238085B0" w:rsidR="00B62955" w:rsidRPr="004E384A" w:rsidRDefault="00B62955" w:rsidP="00B62955">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roofErr w:type="spellStart"/>
            <w:r w:rsidRPr="004E384A">
              <w:rPr>
                <w:rFonts w:ascii="Calibri" w:hAnsi="Calibri" w:cs="Calibri"/>
              </w:rPr>
              <w:t>vle_total_clicks</w:t>
            </w:r>
            <w:proofErr w:type="spellEnd"/>
            <w:r w:rsidRPr="004E384A">
              <w:rPr>
                <w:rFonts w:ascii="Calibri" w:hAnsi="Calibri" w:cs="Calibri"/>
              </w:rPr>
              <w:t xml:space="preserve">, </w:t>
            </w:r>
            <w:proofErr w:type="spellStart"/>
            <w:r w:rsidRPr="004E384A">
              <w:rPr>
                <w:rFonts w:ascii="Calibri" w:hAnsi="Calibri" w:cs="Calibri"/>
              </w:rPr>
              <w:t>vle_active_days</w:t>
            </w:r>
            <w:proofErr w:type="spellEnd"/>
            <w:r w:rsidRPr="004E384A">
              <w:rPr>
                <w:rFonts w:ascii="Calibri" w:hAnsi="Calibri" w:cs="Calibri"/>
              </w:rPr>
              <w:t xml:space="preserve">, </w:t>
            </w:r>
            <w:proofErr w:type="spellStart"/>
            <w:r w:rsidRPr="004E384A">
              <w:rPr>
                <w:rFonts w:ascii="Calibri" w:hAnsi="Calibri" w:cs="Calibri"/>
              </w:rPr>
              <w:t>vle_mean_clicks_active_day</w:t>
            </w:r>
            <w:proofErr w:type="spellEnd"/>
            <w:r w:rsidRPr="004E384A">
              <w:rPr>
                <w:rFonts w:ascii="Calibri" w:hAnsi="Calibri" w:cs="Calibri"/>
              </w:rPr>
              <w:t xml:space="preserve">, </w:t>
            </w:r>
            <w:proofErr w:type="spellStart"/>
            <w:r w:rsidRPr="004E384A">
              <w:rPr>
                <w:rFonts w:ascii="Calibri" w:hAnsi="Calibri" w:cs="Calibri"/>
              </w:rPr>
              <w:t>vle_std_clicks_active_day</w:t>
            </w:r>
            <w:proofErr w:type="spellEnd"/>
            <w:r w:rsidRPr="004E384A">
              <w:rPr>
                <w:rFonts w:ascii="Calibri" w:hAnsi="Calibri" w:cs="Calibri"/>
              </w:rPr>
              <w:t xml:space="preserve">, </w:t>
            </w:r>
            <w:proofErr w:type="spellStart"/>
            <w:r w:rsidRPr="004E384A">
              <w:rPr>
                <w:rFonts w:ascii="Calibri" w:hAnsi="Calibri" w:cs="Calibri"/>
              </w:rPr>
              <w:t>vle_max_clicks_day</w:t>
            </w:r>
            <w:proofErr w:type="spellEnd"/>
            <w:r w:rsidRPr="004E384A">
              <w:rPr>
                <w:rFonts w:ascii="Calibri" w:hAnsi="Calibri" w:cs="Calibri"/>
              </w:rPr>
              <w:t xml:space="preserve">, </w:t>
            </w:r>
            <w:proofErr w:type="spellStart"/>
            <w:r w:rsidRPr="004E384A">
              <w:rPr>
                <w:rFonts w:ascii="Calibri" w:hAnsi="Calibri" w:cs="Calibri"/>
              </w:rPr>
              <w:t>vle_max_consecutive_days</w:t>
            </w:r>
            <w:proofErr w:type="spellEnd"/>
            <w:r w:rsidRPr="004E384A">
              <w:rPr>
                <w:rFonts w:ascii="Calibri" w:hAnsi="Calibri" w:cs="Calibri"/>
              </w:rPr>
              <w:t xml:space="preserve">, </w:t>
            </w:r>
            <w:proofErr w:type="spellStart"/>
            <w:r w:rsidRPr="004E384A">
              <w:rPr>
                <w:rFonts w:ascii="Calibri" w:hAnsi="Calibri" w:cs="Calibri"/>
              </w:rPr>
              <w:t>vle_clicks_per_active_day</w:t>
            </w:r>
            <w:proofErr w:type="spellEnd"/>
            <w:r w:rsidRPr="004E384A">
              <w:rPr>
                <w:rFonts w:ascii="Calibri" w:hAnsi="Calibri" w:cs="Calibri"/>
              </w:rPr>
              <w:t xml:space="preserve">, </w:t>
            </w:r>
            <w:proofErr w:type="spellStart"/>
            <w:r w:rsidRPr="004E384A">
              <w:rPr>
                <w:rFonts w:ascii="Calibri" w:hAnsi="Calibri" w:cs="Calibri"/>
              </w:rPr>
              <w:t>vle_days_since_last_login</w:t>
            </w:r>
            <w:proofErr w:type="spellEnd"/>
            <w:r w:rsidRPr="004E384A">
              <w:rPr>
                <w:rFonts w:ascii="Calibri" w:hAnsi="Calibri" w:cs="Calibri"/>
              </w:rPr>
              <w:t xml:space="preserve">, </w:t>
            </w:r>
            <w:proofErr w:type="spellStart"/>
            <w:r w:rsidRPr="004E384A">
              <w:rPr>
                <w:rFonts w:ascii="Calibri" w:hAnsi="Calibri" w:cs="Calibri"/>
              </w:rPr>
              <w:t>vle_active_day_ratio</w:t>
            </w:r>
            <w:proofErr w:type="spellEnd"/>
            <w:r w:rsidRPr="004E384A">
              <w:rPr>
                <w:rFonts w:ascii="Calibri" w:hAnsi="Calibri" w:cs="Calibri"/>
              </w:rPr>
              <w:t xml:space="preserve">, </w:t>
            </w:r>
            <w:proofErr w:type="spellStart"/>
            <w:r w:rsidRPr="004E384A">
              <w:rPr>
                <w:rFonts w:ascii="Calibri" w:hAnsi="Calibri" w:cs="Calibri"/>
              </w:rPr>
              <w:t>vle_first_week_clicks</w:t>
            </w:r>
            <w:proofErr w:type="spellEnd"/>
            <w:r w:rsidRPr="004E384A">
              <w:rPr>
                <w:rFonts w:ascii="Calibri" w:hAnsi="Calibri" w:cs="Calibri"/>
              </w:rPr>
              <w:t xml:space="preserve">, </w:t>
            </w:r>
            <w:proofErr w:type="spellStart"/>
            <w:r w:rsidRPr="004E384A">
              <w:rPr>
                <w:rFonts w:ascii="Calibri" w:hAnsi="Calibri" w:cs="Calibri"/>
              </w:rPr>
              <w:t>vle_prestart_clicks</w:t>
            </w:r>
            <w:proofErr w:type="spellEnd"/>
            <w:r w:rsidRPr="004E384A">
              <w:rPr>
                <w:rFonts w:ascii="Calibri" w:hAnsi="Calibri" w:cs="Calibri"/>
              </w:rPr>
              <w:t xml:space="preserve">, </w:t>
            </w:r>
            <w:proofErr w:type="spellStart"/>
            <w:r w:rsidRPr="004E384A">
              <w:rPr>
                <w:rFonts w:ascii="Calibri" w:hAnsi="Calibri" w:cs="Calibri"/>
              </w:rPr>
              <w:t>vle_engagement_trend</w:t>
            </w:r>
            <w:proofErr w:type="spellEnd"/>
            <w:r w:rsidRPr="004E384A">
              <w:rPr>
                <w:rFonts w:ascii="Calibri" w:hAnsi="Calibri" w:cs="Calibri"/>
              </w:rPr>
              <w:t xml:space="preserve">, </w:t>
            </w:r>
            <w:proofErr w:type="spellStart"/>
            <w:r w:rsidRPr="004E384A">
              <w:rPr>
                <w:rFonts w:ascii="Calibri" w:hAnsi="Calibri" w:cs="Calibri"/>
              </w:rPr>
              <w:t>vle_distinct_sites</w:t>
            </w:r>
            <w:proofErr w:type="spellEnd"/>
            <w:r w:rsidRPr="004E384A">
              <w:rPr>
                <w:rFonts w:ascii="Calibri" w:hAnsi="Calibri" w:cs="Calibri"/>
              </w:rPr>
              <w:t xml:space="preserve">, </w:t>
            </w:r>
            <w:proofErr w:type="spellStart"/>
            <w:r w:rsidRPr="004E384A">
              <w:rPr>
                <w:rFonts w:ascii="Calibri" w:hAnsi="Calibri" w:cs="Calibri"/>
              </w:rPr>
              <w:t>vle_distinct_activity_types</w:t>
            </w:r>
            <w:proofErr w:type="spellEnd"/>
          </w:p>
        </w:tc>
        <w:tc>
          <w:tcPr>
            <w:tcW w:w="2695" w:type="dxa"/>
          </w:tcPr>
          <w:p w14:paraId="6252B38E" w14:textId="4284C4D1" w:rsidR="00B62955" w:rsidRPr="004E384A" w:rsidRDefault="00B62955" w:rsidP="00B62955">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E384A">
              <w:rPr>
                <w:rFonts w:ascii="Calibri" w:hAnsi="Calibri" w:cs="Calibri"/>
              </w:rPr>
              <w:t>14</w:t>
            </w:r>
          </w:p>
        </w:tc>
      </w:tr>
      <w:tr w:rsidR="00B62955" w:rsidRPr="004E384A" w14:paraId="777A64FF" w14:textId="77777777" w:rsidTr="00510B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6" w:type="dxa"/>
          </w:tcPr>
          <w:p w14:paraId="59950032" w14:textId="04A926F2" w:rsidR="00B62955" w:rsidRPr="004E384A" w:rsidRDefault="00B62955" w:rsidP="00B62955">
            <w:pPr>
              <w:spacing w:after="160"/>
              <w:rPr>
                <w:rFonts w:ascii="Calibri" w:hAnsi="Calibri" w:cs="Calibri"/>
                <w:sz w:val="24"/>
                <w:szCs w:val="24"/>
              </w:rPr>
            </w:pPr>
            <w:r w:rsidRPr="004E384A">
              <w:rPr>
                <w:rFonts w:ascii="Calibri" w:hAnsi="Calibri" w:cs="Calibri"/>
              </w:rPr>
              <w:t xml:space="preserve">First-assessment </w:t>
            </w:r>
            <w:proofErr w:type="spellStart"/>
            <w:r w:rsidRPr="004E384A">
              <w:rPr>
                <w:rFonts w:ascii="Calibri" w:hAnsi="Calibri" w:cs="Calibri"/>
              </w:rPr>
              <w:t>behaviour</w:t>
            </w:r>
            <w:proofErr w:type="spellEnd"/>
          </w:p>
        </w:tc>
        <w:tc>
          <w:tcPr>
            <w:tcW w:w="3059" w:type="dxa"/>
          </w:tcPr>
          <w:p w14:paraId="443553A8" w14:textId="25DC4E73" w:rsidR="00B62955" w:rsidRPr="004E384A" w:rsidRDefault="00B62955" w:rsidP="00B62955">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E384A">
              <w:rPr>
                <w:rFonts w:ascii="Calibri" w:hAnsi="Calibri" w:cs="Calibri"/>
              </w:rPr>
              <w:t>a1_submitted, a1_score, a1_days_early, a1_late, a1_is_banked, a1_score_band</w:t>
            </w:r>
          </w:p>
        </w:tc>
        <w:tc>
          <w:tcPr>
            <w:tcW w:w="2695" w:type="dxa"/>
          </w:tcPr>
          <w:p w14:paraId="4CD73789" w14:textId="795E5081" w:rsidR="00B62955" w:rsidRPr="004E384A" w:rsidRDefault="00B62955" w:rsidP="00B62955">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E384A">
              <w:rPr>
                <w:rFonts w:ascii="Calibri" w:hAnsi="Calibri" w:cs="Calibri"/>
              </w:rPr>
              <w:t>6</w:t>
            </w:r>
          </w:p>
        </w:tc>
      </w:tr>
    </w:tbl>
    <w:p w14:paraId="392534C4" w14:textId="77777777" w:rsidR="00213B3F" w:rsidRPr="004E384A" w:rsidRDefault="00213B3F" w:rsidP="00F32A04">
      <w:pPr>
        <w:spacing w:after="160"/>
        <w:rPr>
          <w:rFonts w:ascii="Calibri" w:hAnsi="Calibri" w:cs="Calibri"/>
          <w:sz w:val="24"/>
          <w:szCs w:val="24"/>
        </w:rPr>
      </w:pPr>
    </w:p>
    <w:p w14:paraId="3E5EE838" w14:textId="77777777" w:rsidR="00EE2296" w:rsidRPr="004E384A" w:rsidRDefault="00EE2296" w:rsidP="00F32A04">
      <w:pPr>
        <w:spacing w:after="160"/>
        <w:rPr>
          <w:rFonts w:ascii="Calibri" w:hAnsi="Calibri" w:cs="Calibri"/>
          <w:sz w:val="24"/>
          <w:szCs w:val="24"/>
        </w:rPr>
      </w:pPr>
    </w:p>
    <w:p w14:paraId="46E5773B" w14:textId="77777777"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2.4 Class imbalance</w:t>
      </w:r>
    </w:p>
    <w:p w14:paraId="6C1BE48D" w14:textId="77777777" w:rsidR="0024761D" w:rsidRPr="004E384A" w:rsidRDefault="0024761D" w:rsidP="00F32A04">
      <w:pPr>
        <w:jc w:val="both"/>
        <w:rPr>
          <w:rFonts w:ascii="Calibri" w:hAnsi="Calibri" w:cs="Calibri"/>
          <w:sz w:val="24"/>
          <w:szCs w:val="24"/>
        </w:rPr>
      </w:pPr>
      <w:r w:rsidRPr="004E384A">
        <w:rPr>
          <w:rFonts w:ascii="Calibri" w:hAnsi="Calibri" w:cs="Calibri"/>
          <w:sz w:val="24"/>
          <w:szCs w:val="24"/>
        </w:rPr>
        <w:t xml:space="preserve">Although the pooled problem is near-balanced, per-course failure rates range from 40.0% to 54.7%, so imbalance handling was compared rather than assumed. For each model, three strategies were evaluated: no resampling, SMOTE (Chawla et al., 2002) and cost-sensitive class weighting. SMOTE was applied only within training folds, since oversampling before splitting leaks synthetic </w:t>
      </w:r>
      <w:proofErr w:type="spellStart"/>
      <w:r w:rsidRPr="004E384A">
        <w:rPr>
          <w:rFonts w:ascii="Calibri" w:hAnsi="Calibri" w:cs="Calibri"/>
          <w:sz w:val="24"/>
          <w:szCs w:val="24"/>
        </w:rPr>
        <w:t>neighbours</w:t>
      </w:r>
      <w:proofErr w:type="spellEnd"/>
      <w:r w:rsidRPr="004E384A">
        <w:rPr>
          <w:rFonts w:ascii="Calibri" w:hAnsi="Calibri" w:cs="Calibri"/>
          <w:sz w:val="24"/>
          <w:szCs w:val="24"/>
        </w:rPr>
        <w:t xml:space="preserve"> across it and inflates scores. Different courses and models </w:t>
      </w:r>
      <w:proofErr w:type="spellStart"/>
      <w:r w:rsidRPr="004E384A">
        <w:rPr>
          <w:rFonts w:ascii="Calibri" w:hAnsi="Calibri" w:cs="Calibri"/>
          <w:sz w:val="24"/>
          <w:szCs w:val="24"/>
        </w:rPr>
        <w:t>favoured</w:t>
      </w:r>
      <w:proofErr w:type="spellEnd"/>
      <w:r w:rsidRPr="004E384A">
        <w:rPr>
          <w:rFonts w:ascii="Calibri" w:hAnsi="Calibri" w:cs="Calibri"/>
          <w:sz w:val="24"/>
          <w:szCs w:val="24"/>
        </w:rPr>
        <w:t xml:space="preserve"> different strategies (Table 3).</w:t>
      </w:r>
    </w:p>
    <w:p w14:paraId="051BF86D" w14:textId="77777777"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2.5 Models and tuning</w:t>
      </w:r>
    </w:p>
    <w:p w14:paraId="1D16232D" w14:textId="30C14EB3" w:rsidR="0024761D" w:rsidRPr="004E384A" w:rsidRDefault="0024761D" w:rsidP="00F32A04">
      <w:pPr>
        <w:jc w:val="both"/>
        <w:rPr>
          <w:rFonts w:ascii="Calibri" w:hAnsi="Calibri" w:cs="Calibri"/>
          <w:sz w:val="24"/>
          <w:szCs w:val="24"/>
        </w:rPr>
      </w:pPr>
      <w:r w:rsidRPr="004E384A">
        <w:rPr>
          <w:rFonts w:ascii="Calibri" w:hAnsi="Calibri" w:cs="Calibri"/>
          <w:sz w:val="24"/>
          <w:szCs w:val="24"/>
        </w:rPr>
        <w:t>Four contrasting classifiers spanned the bias-variance and interpretability spectrum: logistic regression as a linear, transparent baseline; random forest (</w:t>
      </w:r>
      <w:proofErr w:type="spellStart"/>
      <w:r w:rsidRPr="004E384A">
        <w:rPr>
          <w:rFonts w:ascii="Calibri" w:hAnsi="Calibri" w:cs="Calibri"/>
          <w:sz w:val="24"/>
          <w:szCs w:val="24"/>
        </w:rPr>
        <w:t>Breiman</w:t>
      </w:r>
      <w:proofErr w:type="spellEnd"/>
      <w:r w:rsidRPr="004E384A">
        <w:rPr>
          <w:rFonts w:ascii="Calibri" w:hAnsi="Calibri" w:cs="Calibri"/>
          <w:sz w:val="24"/>
          <w:szCs w:val="24"/>
        </w:rPr>
        <w:t xml:space="preserve">, 2001) and </w:t>
      </w:r>
      <w:proofErr w:type="spellStart"/>
      <w:r w:rsidRPr="004E384A">
        <w:rPr>
          <w:rFonts w:ascii="Calibri" w:hAnsi="Calibri" w:cs="Calibri"/>
          <w:sz w:val="24"/>
          <w:szCs w:val="24"/>
        </w:rPr>
        <w:t>XGBoost</w:t>
      </w:r>
      <w:proofErr w:type="spellEnd"/>
      <w:r w:rsidRPr="004E384A">
        <w:rPr>
          <w:rFonts w:ascii="Calibri" w:hAnsi="Calibri" w:cs="Calibri"/>
          <w:sz w:val="24"/>
          <w:szCs w:val="24"/>
        </w:rPr>
        <w:t xml:space="preserve"> (Chen </w:t>
      </w:r>
      <w:r w:rsidR="00A6340C" w:rsidRPr="004E384A">
        <w:rPr>
          <w:rFonts w:ascii="Calibri" w:hAnsi="Calibri" w:cs="Calibri"/>
          <w:sz w:val="24"/>
          <w:szCs w:val="24"/>
        </w:rPr>
        <w:t>&amp;</w:t>
      </w:r>
      <w:r w:rsidRPr="004E384A">
        <w:rPr>
          <w:rFonts w:ascii="Calibri" w:hAnsi="Calibri" w:cs="Calibri"/>
          <w:sz w:val="24"/>
          <w:szCs w:val="24"/>
        </w:rPr>
        <w:t xml:space="preserve"> </w:t>
      </w:r>
      <w:proofErr w:type="spellStart"/>
      <w:r w:rsidRPr="004E384A">
        <w:rPr>
          <w:rFonts w:ascii="Calibri" w:hAnsi="Calibri" w:cs="Calibri"/>
          <w:sz w:val="24"/>
          <w:szCs w:val="24"/>
        </w:rPr>
        <w:t>Guestrin</w:t>
      </w:r>
      <w:proofErr w:type="spellEnd"/>
      <w:r w:rsidRPr="004E384A">
        <w:rPr>
          <w:rFonts w:ascii="Calibri" w:hAnsi="Calibri" w:cs="Calibri"/>
          <w:sz w:val="24"/>
          <w:szCs w:val="24"/>
        </w:rPr>
        <w:t xml:space="preserve">, 2016) as tree ensembles capturing non-linear interactions; and a </w:t>
      </w:r>
      <w:proofErr w:type="spellStart"/>
      <w:r w:rsidRPr="004E384A">
        <w:rPr>
          <w:rFonts w:ascii="Calibri" w:hAnsi="Calibri" w:cs="Calibri"/>
          <w:sz w:val="24"/>
          <w:szCs w:val="24"/>
        </w:rPr>
        <w:t>regularised</w:t>
      </w:r>
      <w:proofErr w:type="spellEnd"/>
      <w:r w:rsidRPr="004E384A">
        <w:rPr>
          <w:rFonts w:ascii="Calibri" w:hAnsi="Calibri" w:cs="Calibri"/>
          <w:sz w:val="24"/>
          <w:szCs w:val="24"/>
        </w:rPr>
        <w:t xml:space="preserve"> multilayer percept</w:t>
      </w:r>
      <w:r w:rsidR="008D4CEE">
        <w:rPr>
          <w:rFonts w:ascii="Calibri" w:hAnsi="Calibri" w:cs="Calibri"/>
          <w:sz w:val="24"/>
          <w:szCs w:val="24"/>
        </w:rPr>
        <w:t>ron</w:t>
      </w:r>
      <w:r w:rsidR="00E7522F">
        <w:rPr>
          <w:rFonts w:ascii="Calibri" w:hAnsi="Calibri" w:cs="Calibri"/>
          <w:sz w:val="24"/>
          <w:szCs w:val="24"/>
        </w:rPr>
        <w:t xml:space="preserve"> (MLP)</w:t>
      </w:r>
      <w:r w:rsidRPr="004E384A">
        <w:rPr>
          <w:rFonts w:ascii="Calibri" w:hAnsi="Calibri" w:cs="Calibri"/>
          <w:sz w:val="24"/>
          <w:szCs w:val="24"/>
        </w:rPr>
        <w:t xml:space="preserve"> as a neural baseline. Comparing four families, rather than tuning one, tests whether added complexity is warranted here. Each was tuned by </w:t>
      </w:r>
      <w:proofErr w:type="spellStart"/>
      <w:r w:rsidRPr="004E384A">
        <w:rPr>
          <w:rFonts w:ascii="Calibri" w:hAnsi="Calibri" w:cs="Calibri"/>
          <w:sz w:val="24"/>
          <w:szCs w:val="24"/>
        </w:rPr>
        <w:t>randomised</w:t>
      </w:r>
      <w:proofErr w:type="spellEnd"/>
      <w:r w:rsidRPr="004E384A">
        <w:rPr>
          <w:rFonts w:ascii="Calibri" w:hAnsi="Calibri" w:cs="Calibri"/>
          <w:sz w:val="24"/>
          <w:szCs w:val="24"/>
        </w:rPr>
        <w:t xml:space="preserve"> search under five-fold stratified cross-validation. Scale-sensitive models (logistic regression, the</w:t>
      </w:r>
      <w:r w:rsidR="00C67D3F" w:rsidRPr="004E384A">
        <w:rPr>
          <w:rFonts w:ascii="Calibri" w:hAnsi="Calibri" w:cs="Calibri"/>
          <w:sz w:val="24"/>
          <w:szCs w:val="24"/>
        </w:rPr>
        <w:t xml:space="preserve"> MLP</w:t>
      </w:r>
      <w:r w:rsidRPr="004E384A">
        <w:rPr>
          <w:rFonts w:ascii="Calibri" w:hAnsi="Calibri" w:cs="Calibri"/>
          <w:sz w:val="24"/>
          <w:szCs w:val="24"/>
        </w:rPr>
        <w:t xml:space="preserve">) received </w:t>
      </w:r>
      <w:proofErr w:type="spellStart"/>
      <w:r w:rsidRPr="004E384A">
        <w:rPr>
          <w:rFonts w:ascii="Calibri" w:hAnsi="Calibri" w:cs="Calibri"/>
          <w:sz w:val="24"/>
          <w:szCs w:val="24"/>
        </w:rPr>
        <w:t>standardised</w:t>
      </w:r>
      <w:proofErr w:type="spellEnd"/>
      <w:r w:rsidRPr="004E384A">
        <w:rPr>
          <w:rFonts w:ascii="Calibri" w:hAnsi="Calibri" w:cs="Calibri"/>
          <w:sz w:val="24"/>
          <w:szCs w:val="24"/>
        </w:rPr>
        <w:t xml:space="preserve"> numeric features and one-hot </w:t>
      </w:r>
      <w:proofErr w:type="spellStart"/>
      <w:r w:rsidRPr="004E384A">
        <w:rPr>
          <w:rFonts w:ascii="Calibri" w:hAnsi="Calibri" w:cs="Calibri"/>
          <w:sz w:val="24"/>
          <w:szCs w:val="24"/>
        </w:rPr>
        <w:t>categoricals</w:t>
      </w:r>
      <w:proofErr w:type="spellEnd"/>
      <w:r w:rsidRPr="004E384A">
        <w:rPr>
          <w:rFonts w:ascii="Calibri" w:hAnsi="Calibri" w:cs="Calibri"/>
          <w:sz w:val="24"/>
          <w:szCs w:val="24"/>
        </w:rPr>
        <w:t xml:space="preserve">; tree models used the same features unscaled, since they split on raw thresholds. The </w:t>
      </w:r>
      <w:r w:rsidR="009E444D" w:rsidRPr="004E384A">
        <w:rPr>
          <w:rFonts w:ascii="Calibri" w:hAnsi="Calibri" w:cs="Calibri"/>
          <w:sz w:val="24"/>
          <w:szCs w:val="24"/>
        </w:rPr>
        <w:t>MLP</w:t>
      </w:r>
      <w:r w:rsidRPr="004E384A">
        <w:rPr>
          <w:rFonts w:ascii="Calibri" w:hAnsi="Calibri" w:cs="Calibri"/>
          <w:sz w:val="24"/>
          <w:szCs w:val="24"/>
        </w:rPr>
        <w:t xml:space="preserve"> used two hidden layers (128 and 64 units) with dropout and early stopping, kept small because the data is modest and tabular.</w:t>
      </w:r>
    </w:p>
    <w:p w14:paraId="755023F3" w14:textId="77777777"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2.6 Evaluation</w:t>
      </w:r>
    </w:p>
    <w:p w14:paraId="1E8020BC" w14:textId="3C51FAC4" w:rsidR="0024761D" w:rsidRPr="004E384A" w:rsidRDefault="0024761D" w:rsidP="00F32A04">
      <w:pPr>
        <w:jc w:val="both"/>
        <w:rPr>
          <w:rFonts w:ascii="Calibri" w:hAnsi="Calibri" w:cs="Calibri"/>
          <w:sz w:val="24"/>
          <w:szCs w:val="24"/>
        </w:rPr>
      </w:pPr>
      <w:r w:rsidRPr="004E384A">
        <w:rPr>
          <w:rFonts w:ascii="Calibri" w:hAnsi="Calibri" w:cs="Calibri"/>
          <w:sz w:val="24"/>
          <w:szCs w:val="24"/>
        </w:rPr>
        <w:t>Models were assessed on a held-out 20% test split, stratified by outcome and never used in tuning. The primary metric was area under the precision-recall curve (PR-AUC), which focuses on the positive (failure) class an early-warning system exists to catch</w:t>
      </w:r>
      <w:r w:rsidR="00DF020D">
        <w:rPr>
          <w:rFonts w:ascii="Calibri" w:hAnsi="Calibri" w:cs="Calibri"/>
          <w:sz w:val="24"/>
          <w:szCs w:val="24"/>
        </w:rPr>
        <w:t>.</w:t>
      </w:r>
      <w:r w:rsidR="002A7E90">
        <w:rPr>
          <w:rFonts w:ascii="Calibri" w:hAnsi="Calibri" w:cs="Calibri"/>
          <w:sz w:val="24"/>
          <w:szCs w:val="24"/>
        </w:rPr>
        <w:t xml:space="preserve"> It provides a direct assessment of precision and recall for the positive class</w:t>
      </w:r>
      <w:r w:rsidRPr="004E384A">
        <w:rPr>
          <w:rFonts w:ascii="Calibri" w:hAnsi="Calibri" w:cs="Calibri"/>
          <w:sz w:val="24"/>
          <w:szCs w:val="24"/>
        </w:rPr>
        <w:t xml:space="preserve"> (Saito </w:t>
      </w:r>
      <w:r w:rsidR="003B3B33">
        <w:rPr>
          <w:rFonts w:ascii="Calibri" w:hAnsi="Calibri" w:cs="Calibri"/>
          <w:sz w:val="24"/>
          <w:szCs w:val="24"/>
        </w:rPr>
        <w:t>&amp;</w:t>
      </w:r>
      <w:r w:rsidRPr="004E384A">
        <w:rPr>
          <w:rFonts w:ascii="Calibri" w:hAnsi="Calibri" w:cs="Calibri"/>
          <w:sz w:val="24"/>
          <w:szCs w:val="24"/>
        </w:rPr>
        <w:t xml:space="preserve"> </w:t>
      </w:r>
      <w:proofErr w:type="spellStart"/>
      <w:r w:rsidRPr="004E384A">
        <w:rPr>
          <w:rFonts w:ascii="Calibri" w:hAnsi="Calibri" w:cs="Calibri"/>
          <w:sz w:val="24"/>
          <w:szCs w:val="24"/>
        </w:rPr>
        <w:t>Rehmsmeier</w:t>
      </w:r>
      <w:proofErr w:type="spellEnd"/>
      <w:r w:rsidRPr="004E384A">
        <w:rPr>
          <w:rFonts w:ascii="Calibri" w:hAnsi="Calibri" w:cs="Calibri"/>
          <w:sz w:val="24"/>
          <w:szCs w:val="24"/>
        </w:rPr>
        <w:t xml:space="preserve">, 2015); ROC-AUC and F1 are reported alongside for comparability. The PR-AUC standard deviation across folds is reported as a reliability measure, and cross-validation means are compared with test scores to </w:t>
      </w:r>
      <w:r w:rsidR="003C0922">
        <w:rPr>
          <w:rFonts w:ascii="Calibri" w:hAnsi="Calibri" w:cs="Calibri"/>
          <w:sz w:val="24"/>
          <w:szCs w:val="24"/>
        </w:rPr>
        <w:t>assess</w:t>
      </w:r>
      <w:r w:rsidR="00633172">
        <w:rPr>
          <w:rFonts w:ascii="Calibri" w:hAnsi="Calibri" w:cs="Calibri"/>
          <w:sz w:val="24"/>
          <w:szCs w:val="24"/>
        </w:rPr>
        <w:t xml:space="preserve"> potential</w:t>
      </w:r>
      <w:r w:rsidRPr="004E384A">
        <w:rPr>
          <w:rFonts w:ascii="Calibri" w:hAnsi="Calibri" w:cs="Calibri"/>
          <w:sz w:val="24"/>
          <w:szCs w:val="24"/>
        </w:rPr>
        <w:t xml:space="preserve"> overfitting.</w:t>
      </w:r>
    </w:p>
    <w:p w14:paraId="636C9D3E" w14:textId="0B4A041F" w:rsidR="009112A5" w:rsidRPr="004E384A" w:rsidRDefault="0024761D" w:rsidP="009112A5">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2.7 Explainability</w:t>
      </w:r>
    </w:p>
    <w:p w14:paraId="325C5F29" w14:textId="71A1D3BF" w:rsidR="009112A5" w:rsidRPr="004E384A" w:rsidRDefault="009112A5" w:rsidP="009112A5">
      <w:pPr>
        <w:jc w:val="both"/>
        <w:rPr>
          <w:rFonts w:ascii="Calibri" w:hAnsi="Calibri" w:cs="Calibri"/>
          <w:sz w:val="24"/>
          <w:szCs w:val="24"/>
        </w:rPr>
      </w:pPr>
      <w:r w:rsidRPr="004E384A">
        <w:rPr>
          <w:rFonts w:ascii="Calibri" w:hAnsi="Calibri" w:cs="Calibri"/>
          <w:sz w:val="24"/>
          <w:szCs w:val="24"/>
        </w:rPr>
        <w:t xml:space="preserve">The best model per course was explained with SHAP (Lundberg </w:t>
      </w:r>
      <w:r w:rsidR="00D54DB6" w:rsidRPr="004E384A">
        <w:rPr>
          <w:rFonts w:ascii="Calibri" w:hAnsi="Calibri" w:cs="Calibri"/>
          <w:sz w:val="24"/>
          <w:szCs w:val="24"/>
        </w:rPr>
        <w:t>&amp;</w:t>
      </w:r>
      <w:r w:rsidRPr="004E384A">
        <w:rPr>
          <w:rFonts w:ascii="Calibri" w:hAnsi="Calibri" w:cs="Calibri"/>
          <w:sz w:val="24"/>
          <w:szCs w:val="24"/>
        </w:rPr>
        <w:t xml:space="preserve"> Lee, 2017), using a model-specific explainer where one was available and compatible, and a sampled, model-agnostic explainer otherwise. In the environment used here,</w:t>
      </w:r>
      <w:r w:rsidR="0058247F" w:rsidRPr="004E384A">
        <w:rPr>
          <w:rFonts w:ascii="Calibri" w:hAnsi="Calibri" w:cs="Calibri"/>
          <w:sz w:val="24"/>
          <w:szCs w:val="24"/>
        </w:rPr>
        <w:t xml:space="preserve"> </w:t>
      </w:r>
      <w:proofErr w:type="spellStart"/>
      <w:r w:rsidR="0058247F" w:rsidRPr="004E384A">
        <w:rPr>
          <w:rFonts w:ascii="Calibri" w:hAnsi="Calibri" w:cs="Calibri"/>
          <w:sz w:val="24"/>
          <w:szCs w:val="24"/>
        </w:rPr>
        <w:t>XGBoost</w:t>
      </w:r>
      <w:proofErr w:type="spellEnd"/>
      <w:r w:rsidRPr="004E384A">
        <w:rPr>
          <w:rFonts w:ascii="Calibri" w:hAnsi="Calibri" w:cs="Calibri"/>
          <w:sz w:val="24"/>
          <w:szCs w:val="24"/>
        </w:rPr>
        <w:t xml:space="preserve"> </w:t>
      </w:r>
      <w:r w:rsidR="00226AB0" w:rsidRPr="004E384A">
        <w:rPr>
          <w:rFonts w:ascii="Calibri" w:hAnsi="Calibri" w:cs="Calibri"/>
          <w:sz w:val="24"/>
          <w:szCs w:val="24"/>
        </w:rPr>
        <w:t>used</w:t>
      </w:r>
      <w:r w:rsidRPr="004E384A">
        <w:rPr>
          <w:rFonts w:ascii="Calibri" w:hAnsi="Calibri" w:cs="Calibri"/>
          <w:sz w:val="24"/>
          <w:szCs w:val="24"/>
        </w:rPr>
        <w:t xml:space="preserve"> the model-agnostic explainer; logistic regression used its exact linear explainer. Global mean absolute SHAP values ranked the drivers overall, and individual waterfall plots decomposed representative predictions (a true positive, false positive and false negative), showing how feature values pushed each above or below the base rate.</w:t>
      </w:r>
    </w:p>
    <w:p w14:paraId="328242DE" w14:textId="77777777"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2.8 Cross-course design</w:t>
      </w:r>
    </w:p>
    <w:p w14:paraId="4A4C07B4" w14:textId="5DB6B835" w:rsidR="0024761D" w:rsidRPr="004E384A" w:rsidRDefault="0024761D" w:rsidP="00F32A04">
      <w:pPr>
        <w:jc w:val="both"/>
        <w:rPr>
          <w:rFonts w:ascii="Calibri" w:hAnsi="Calibri" w:cs="Calibri"/>
          <w:sz w:val="24"/>
          <w:szCs w:val="24"/>
        </w:rPr>
      </w:pPr>
      <w:proofErr w:type="spellStart"/>
      <w:r w:rsidRPr="004E384A">
        <w:rPr>
          <w:rFonts w:ascii="Calibri" w:hAnsi="Calibri" w:cs="Calibri"/>
          <w:sz w:val="24"/>
          <w:szCs w:val="24"/>
        </w:rPr>
        <w:t>Generalisation</w:t>
      </w:r>
      <w:proofErr w:type="spellEnd"/>
      <w:r w:rsidRPr="004E384A">
        <w:rPr>
          <w:rFonts w:ascii="Calibri" w:hAnsi="Calibri" w:cs="Calibri"/>
          <w:sz w:val="24"/>
          <w:szCs w:val="24"/>
        </w:rPr>
        <w:t xml:space="preserve"> was tested two ways. A transfer matrix trained </w:t>
      </w:r>
      <w:proofErr w:type="spellStart"/>
      <w:r w:rsidRPr="004E384A">
        <w:rPr>
          <w:rFonts w:ascii="Calibri" w:hAnsi="Calibri" w:cs="Calibri"/>
          <w:sz w:val="24"/>
          <w:szCs w:val="24"/>
        </w:rPr>
        <w:t>XGBoost</w:t>
      </w:r>
      <w:proofErr w:type="spellEnd"/>
      <w:r w:rsidRPr="004E384A">
        <w:rPr>
          <w:rFonts w:ascii="Calibri" w:hAnsi="Calibri" w:cs="Calibri"/>
          <w:sz w:val="24"/>
          <w:szCs w:val="24"/>
        </w:rPr>
        <w:t xml:space="preserve"> on one course and evaluated it on each of the others, quantifying how much performance is lost away from the training course. Separately, a SHAP consistency check counted how many of the four courses placed each feature in its top ten</w:t>
      </w:r>
      <w:r w:rsidR="00234EF2" w:rsidRPr="004E384A">
        <w:rPr>
          <w:rFonts w:ascii="Calibri" w:hAnsi="Calibri" w:cs="Calibri"/>
          <w:sz w:val="24"/>
          <w:szCs w:val="24"/>
        </w:rPr>
        <w:t>,</w:t>
      </w:r>
      <w:r w:rsidRPr="004E384A">
        <w:rPr>
          <w:rFonts w:ascii="Calibri" w:hAnsi="Calibri" w:cs="Calibri"/>
          <w:sz w:val="24"/>
          <w:szCs w:val="24"/>
        </w:rPr>
        <w:t xml:space="preserve"> showing whether the same drivers recur</w:t>
      </w:r>
      <w:r w:rsidR="000F267E" w:rsidRPr="004E384A">
        <w:rPr>
          <w:rFonts w:ascii="Calibri" w:hAnsi="Calibri" w:cs="Calibri"/>
          <w:sz w:val="24"/>
          <w:szCs w:val="24"/>
        </w:rPr>
        <w:t xml:space="preserve"> even where absolute performance di</w:t>
      </w:r>
      <w:r w:rsidR="00DE1B70" w:rsidRPr="004E384A">
        <w:rPr>
          <w:rFonts w:ascii="Calibri" w:hAnsi="Calibri" w:cs="Calibri"/>
          <w:sz w:val="24"/>
          <w:szCs w:val="24"/>
        </w:rPr>
        <w:t>ffers</w:t>
      </w:r>
      <w:r w:rsidRPr="004E384A">
        <w:rPr>
          <w:rFonts w:ascii="Calibri" w:hAnsi="Calibri" w:cs="Calibri"/>
          <w:sz w:val="24"/>
          <w:szCs w:val="24"/>
        </w:rPr>
        <w:t>.</w:t>
      </w:r>
    </w:p>
    <w:p w14:paraId="61D0620D" w14:textId="77777777"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2.9 Reproducibility and implementation</w:t>
      </w:r>
    </w:p>
    <w:p w14:paraId="124E6883" w14:textId="77777777" w:rsidR="0024761D" w:rsidRPr="004E384A" w:rsidRDefault="0024761D" w:rsidP="00F32A04">
      <w:pPr>
        <w:jc w:val="both"/>
        <w:rPr>
          <w:rFonts w:ascii="Calibri" w:hAnsi="Calibri" w:cs="Calibri"/>
          <w:sz w:val="24"/>
          <w:szCs w:val="24"/>
        </w:rPr>
      </w:pPr>
      <w:r w:rsidRPr="004E384A">
        <w:rPr>
          <w:rFonts w:ascii="Calibri" w:hAnsi="Calibri" w:cs="Calibri"/>
          <w:sz w:val="24"/>
          <w:szCs w:val="24"/>
        </w:rPr>
        <w:t xml:space="preserve">The pipeline is implemented in Python using scikit-learn (Pedregosa et al., 2011), </w:t>
      </w:r>
      <w:proofErr w:type="spellStart"/>
      <w:r w:rsidRPr="004E384A">
        <w:rPr>
          <w:rFonts w:ascii="Calibri" w:hAnsi="Calibri" w:cs="Calibri"/>
          <w:sz w:val="24"/>
          <w:szCs w:val="24"/>
        </w:rPr>
        <w:t>XGBoost</w:t>
      </w:r>
      <w:proofErr w:type="spellEnd"/>
      <w:r w:rsidRPr="004E384A">
        <w:rPr>
          <w:rFonts w:ascii="Calibri" w:hAnsi="Calibri" w:cs="Calibri"/>
          <w:sz w:val="24"/>
          <w:szCs w:val="24"/>
        </w:rPr>
        <w:t xml:space="preserve">, imbalanced-learn and SHAP, structured as modular stages (data loading, target construction, feature engineering, modelling, explanation and cross-course analysis) and packaged as a single documented notebook. It applies a range of techniques under one harness: stratified splitting, five-fold stratified cross-validation, </w:t>
      </w:r>
      <w:proofErr w:type="spellStart"/>
      <w:r w:rsidRPr="004E384A">
        <w:rPr>
          <w:rFonts w:ascii="Calibri" w:hAnsi="Calibri" w:cs="Calibri"/>
          <w:sz w:val="24"/>
          <w:szCs w:val="24"/>
        </w:rPr>
        <w:t>randomised</w:t>
      </w:r>
      <w:proofErr w:type="spellEnd"/>
      <w:r w:rsidRPr="004E384A">
        <w:rPr>
          <w:rFonts w:ascii="Calibri" w:hAnsi="Calibri" w:cs="Calibri"/>
          <w:sz w:val="24"/>
          <w:szCs w:val="24"/>
        </w:rPr>
        <w:t xml:space="preserve"> </w:t>
      </w:r>
      <w:proofErr w:type="spellStart"/>
      <w:r w:rsidRPr="004E384A">
        <w:rPr>
          <w:rFonts w:ascii="Calibri" w:hAnsi="Calibri" w:cs="Calibri"/>
          <w:sz w:val="24"/>
          <w:szCs w:val="24"/>
        </w:rPr>
        <w:t>hyperparameter</w:t>
      </w:r>
      <w:proofErr w:type="spellEnd"/>
      <w:r w:rsidRPr="004E384A">
        <w:rPr>
          <w:rFonts w:ascii="Calibri" w:hAnsi="Calibri" w:cs="Calibri"/>
          <w:sz w:val="24"/>
          <w:szCs w:val="24"/>
        </w:rPr>
        <w:t xml:space="preserve"> search, in-fold SMOTE, per-model imbalance selection and model-matched SHAP explainers. A fixed random seed governs all splits, resampling and </w:t>
      </w:r>
      <w:proofErr w:type="spellStart"/>
      <w:r w:rsidRPr="004E384A">
        <w:rPr>
          <w:rFonts w:ascii="Calibri" w:hAnsi="Calibri" w:cs="Calibri"/>
          <w:sz w:val="24"/>
          <w:szCs w:val="24"/>
        </w:rPr>
        <w:t>initialisation</w:t>
      </w:r>
      <w:proofErr w:type="spellEnd"/>
      <w:r w:rsidRPr="004E384A">
        <w:rPr>
          <w:rFonts w:ascii="Calibri" w:hAnsi="Calibri" w:cs="Calibri"/>
          <w:sz w:val="24"/>
          <w:szCs w:val="24"/>
        </w:rPr>
        <w:t>, and every figure and table is produced directly by the notebook, so the code reproduces the reported results exactly.</w:t>
      </w:r>
    </w:p>
    <w:p w14:paraId="650C309F" w14:textId="77777777" w:rsidR="0024761D" w:rsidRPr="004E384A" w:rsidRDefault="0024761D" w:rsidP="00F32A04">
      <w:pPr>
        <w:pStyle w:val="Heading1"/>
        <w:spacing w:before="200" w:line="360" w:lineRule="auto"/>
        <w:rPr>
          <w:rFonts w:ascii="Calibri" w:hAnsi="Calibri" w:cs="Calibri"/>
          <w:sz w:val="24"/>
          <w:szCs w:val="24"/>
        </w:rPr>
      </w:pPr>
      <w:r w:rsidRPr="004E384A">
        <w:rPr>
          <w:rFonts w:ascii="Calibri" w:hAnsi="Calibri" w:cs="Calibri"/>
          <w:b/>
          <w:color w:val="000000"/>
          <w:sz w:val="24"/>
          <w:szCs w:val="24"/>
        </w:rPr>
        <w:t>3. Results</w:t>
      </w:r>
    </w:p>
    <w:p w14:paraId="1FB22519" w14:textId="77777777"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3.1 Cohort and class balance</w:t>
      </w:r>
    </w:p>
    <w:p w14:paraId="1045E1B0" w14:textId="45F2F6AD" w:rsidR="0024761D" w:rsidRPr="004E384A" w:rsidRDefault="0024761D" w:rsidP="00F32A04">
      <w:pPr>
        <w:jc w:val="both"/>
        <w:rPr>
          <w:rFonts w:ascii="Calibri" w:hAnsi="Calibri" w:cs="Calibri"/>
          <w:sz w:val="24"/>
          <w:szCs w:val="24"/>
        </w:rPr>
      </w:pPr>
      <w:r w:rsidRPr="004E384A">
        <w:rPr>
          <w:rFonts w:ascii="Calibri" w:hAnsi="Calibri" w:cs="Calibri"/>
          <w:sz w:val="24"/>
          <w:szCs w:val="24"/>
        </w:rPr>
        <w:t>The modelled cohort comprised 22,749 students. Failure rates varied by module, from 40.0% on EEE to 54.7% on DDD, with BBB at 46.8% and FFF at 49.3% (Table 2</w:t>
      </w:r>
      <w:r w:rsidR="00F07F3B">
        <w:rPr>
          <w:rFonts w:ascii="Calibri" w:hAnsi="Calibri" w:cs="Calibri"/>
          <w:sz w:val="24"/>
          <w:szCs w:val="24"/>
        </w:rPr>
        <w:t>;</w:t>
      </w:r>
      <w:r w:rsidR="00EE682F" w:rsidRPr="004E384A">
        <w:rPr>
          <w:rFonts w:ascii="Calibri" w:hAnsi="Calibri" w:cs="Calibri"/>
          <w:sz w:val="24"/>
          <w:szCs w:val="24"/>
        </w:rPr>
        <w:t xml:space="preserve"> Figure 2</w:t>
      </w:r>
      <w:r w:rsidRPr="004E384A">
        <w:rPr>
          <w:rFonts w:ascii="Calibri" w:hAnsi="Calibri" w:cs="Calibri"/>
          <w:sz w:val="24"/>
          <w:szCs w:val="24"/>
        </w:rPr>
        <w:t>), confirming a near-balanced problem. Failure rates also varied across demographic groups (Figure 3): gender made little difference (female 48%, male 49%), but disability was associated with a higher rate (60% versus 4</w:t>
      </w:r>
      <w:r w:rsidR="003943CF">
        <w:rPr>
          <w:rFonts w:ascii="Calibri" w:hAnsi="Calibri" w:cs="Calibri"/>
          <w:sz w:val="24"/>
          <w:szCs w:val="24"/>
        </w:rPr>
        <w:t>8</w:t>
      </w:r>
      <w:r w:rsidRPr="004E384A">
        <w:rPr>
          <w:rFonts w:ascii="Calibri" w:hAnsi="Calibri" w:cs="Calibri"/>
          <w:sz w:val="24"/>
          <w:szCs w:val="24"/>
        </w:rPr>
        <w:t>%), as was lower prior education (69% for no formal qualifications and 5</w:t>
      </w:r>
      <w:r w:rsidR="00DF1687">
        <w:rPr>
          <w:rFonts w:ascii="Calibri" w:hAnsi="Calibri" w:cs="Calibri"/>
          <w:sz w:val="24"/>
          <w:szCs w:val="24"/>
        </w:rPr>
        <w:t>9</w:t>
      </w:r>
      <w:r w:rsidRPr="004E384A">
        <w:rPr>
          <w:rFonts w:ascii="Calibri" w:hAnsi="Calibri" w:cs="Calibri"/>
          <w:sz w:val="24"/>
          <w:szCs w:val="24"/>
        </w:rPr>
        <w:t>% below A-level, against 3</w:t>
      </w:r>
      <w:r w:rsidR="00B24C3D">
        <w:rPr>
          <w:rFonts w:ascii="Calibri" w:hAnsi="Calibri" w:cs="Calibri"/>
          <w:sz w:val="24"/>
          <w:szCs w:val="24"/>
        </w:rPr>
        <w:t>2</w:t>
      </w:r>
      <w:r w:rsidRPr="004E384A">
        <w:rPr>
          <w:rFonts w:ascii="Calibri" w:hAnsi="Calibri" w:cs="Calibri"/>
          <w:sz w:val="24"/>
          <w:szCs w:val="24"/>
        </w:rPr>
        <w:t>% for postgraduate-qualified students). Deprivation showed a clear gradient, from 62% failure in the most deprived IMD decile to 37% in the least. These disparities are examined further when interpreting fairness and implications (Sections 4.2 and 4.4).</w:t>
      </w:r>
      <w:r w:rsidR="002370AE" w:rsidRPr="004E384A">
        <w:rPr>
          <w:rFonts w:ascii="Calibri" w:hAnsi="Calibri" w:cs="Calibri"/>
          <w:sz w:val="24"/>
          <w:szCs w:val="24"/>
        </w:rPr>
        <w:t xml:space="preserve"> </w:t>
      </w:r>
    </w:p>
    <w:p w14:paraId="200C40DE" w14:textId="00F6FE26" w:rsidR="00E70A1C" w:rsidRPr="004E384A" w:rsidRDefault="0024761D" w:rsidP="00F32A04">
      <w:pPr>
        <w:spacing w:after="160"/>
        <w:jc w:val="center"/>
        <w:rPr>
          <w:rFonts w:ascii="Calibri" w:hAnsi="Calibri" w:cs="Calibri"/>
          <w:i/>
          <w:sz w:val="24"/>
          <w:szCs w:val="24"/>
        </w:rPr>
      </w:pPr>
      <w:r w:rsidRPr="004E384A">
        <w:rPr>
          <w:rFonts w:ascii="Calibri" w:hAnsi="Calibri" w:cs="Calibri"/>
          <w:i/>
          <w:sz w:val="24"/>
          <w:szCs w:val="24"/>
        </w:rPr>
        <w:t>Table 2: Modelled cohort by module: student counts, held-out test-set size and failure rate.</w:t>
      </w:r>
    </w:p>
    <w:tbl>
      <w:tblPr>
        <w:tblStyle w:val="GridTable4"/>
        <w:tblW w:w="0" w:type="auto"/>
        <w:jc w:val="center"/>
        <w:tblLook w:val="04A0" w:firstRow="1" w:lastRow="0" w:firstColumn="1" w:lastColumn="0" w:noHBand="0" w:noVBand="1"/>
      </w:tblPr>
      <w:tblGrid>
        <w:gridCol w:w="2157"/>
        <w:gridCol w:w="2157"/>
        <w:gridCol w:w="2158"/>
        <w:gridCol w:w="2158"/>
      </w:tblGrid>
      <w:tr w:rsidR="000E2069" w:rsidRPr="004E384A" w14:paraId="59274836" w14:textId="77777777" w:rsidTr="00915B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7" w:type="dxa"/>
          </w:tcPr>
          <w:p w14:paraId="33D257D3" w14:textId="495A36A0" w:rsidR="000E2069" w:rsidRPr="004E384A" w:rsidRDefault="000E2069" w:rsidP="00F32A04">
            <w:pPr>
              <w:rPr>
                <w:rFonts w:ascii="Calibri" w:hAnsi="Calibri" w:cs="Calibri"/>
                <w:b w:val="0"/>
                <w:color w:val="888888"/>
                <w:sz w:val="24"/>
                <w:szCs w:val="24"/>
              </w:rPr>
            </w:pPr>
            <w:r w:rsidRPr="004E384A">
              <w:rPr>
                <w:rFonts w:ascii="Calibri" w:hAnsi="Calibri" w:cs="Calibri"/>
                <w:sz w:val="24"/>
                <w:szCs w:val="24"/>
              </w:rPr>
              <w:t>Module</w:t>
            </w:r>
          </w:p>
        </w:tc>
        <w:tc>
          <w:tcPr>
            <w:tcW w:w="2157" w:type="dxa"/>
          </w:tcPr>
          <w:p w14:paraId="2780179D" w14:textId="6D90A021" w:rsidR="000E2069" w:rsidRPr="004E384A" w:rsidRDefault="000E2069" w:rsidP="00F32A04">
            <w:pPr>
              <w:cnfStyle w:val="100000000000" w:firstRow="1" w:lastRow="0" w:firstColumn="0" w:lastColumn="0" w:oddVBand="0" w:evenVBand="0" w:oddHBand="0" w:evenHBand="0" w:firstRowFirstColumn="0" w:firstRowLastColumn="0" w:lastRowFirstColumn="0" w:lastRowLastColumn="0"/>
              <w:rPr>
                <w:rFonts w:ascii="Calibri" w:hAnsi="Calibri" w:cs="Calibri"/>
                <w:b w:val="0"/>
                <w:color w:val="888888"/>
                <w:sz w:val="24"/>
                <w:szCs w:val="24"/>
              </w:rPr>
            </w:pPr>
            <w:r w:rsidRPr="004E384A">
              <w:rPr>
                <w:rFonts w:ascii="Calibri" w:hAnsi="Calibri" w:cs="Calibri"/>
                <w:sz w:val="24"/>
                <w:szCs w:val="24"/>
              </w:rPr>
              <w:t>Students</w:t>
            </w:r>
          </w:p>
        </w:tc>
        <w:tc>
          <w:tcPr>
            <w:tcW w:w="2158" w:type="dxa"/>
          </w:tcPr>
          <w:p w14:paraId="7816B354" w14:textId="4472734F" w:rsidR="000E2069" w:rsidRPr="004E384A" w:rsidRDefault="000E2069" w:rsidP="00F32A04">
            <w:pPr>
              <w:cnfStyle w:val="100000000000" w:firstRow="1" w:lastRow="0" w:firstColumn="0" w:lastColumn="0" w:oddVBand="0" w:evenVBand="0" w:oddHBand="0" w:evenHBand="0" w:firstRowFirstColumn="0" w:firstRowLastColumn="0" w:lastRowFirstColumn="0" w:lastRowLastColumn="0"/>
              <w:rPr>
                <w:rFonts w:ascii="Calibri" w:hAnsi="Calibri" w:cs="Calibri"/>
                <w:b w:val="0"/>
                <w:color w:val="888888"/>
                <w:sz w:val="24"/>
                <w:szCs w:val="24"/>
              </w:rPr>
            </w:pPr>
            <w:r w:rsidRPr="004E384A">
              <w:rPr>
                <w:rFonts w:ascii="Calibri" w:hAnsi="Calibri" w:cs="Calibri"/>
                <w:sz w:val="24"/>
                <w:szCs w:val="24"/>
              </w:rPr>
              <w:t>Test set</w:t>
            </w:r>
          </w:p>
        </w:tc>
        <w:tc>
          <w:tcPr>
            <w:tcW w:w="2158" w:type="dxa"/>
          </w:tcPr>
          <w:p w14:paraId="19EAA0CB" w14:textId="2516F0AA" w:rsidR="000E2069" w:rsidRPr="004E384A" w:rsidRDefault="000E2069" w:rsidP="00F32A04">
            <w:pPr>
              <w:cnfStyle w:val="100000000000" w:firstRow="1" w:lastRow="0" w:firstColumn="0" w:lastColumn="0" w:oddVBand="0" w:evenVBand="0" w:oddHBand="0" w:evenHBand="0" w:firstRowFirstColumn="0" w:firstRowLastColumn="0" w:lastRowFirstColumn="0" w:lastRowLastColumn="0"/>
              <w:rPr>
                <w:rFonts w:ascii="Calibri" w:hAnsi="Calibri" w:cs="Calibri"/>
                <w:b w:val="0"/>
                <w:color w:val="888888"/>
                <w:sz w:val="24"/>
                <w:szCs w:val="24"/>
              </w:rPr>
            </w:pPr>
            <w:r w:rsidRPr="004E384A">
              <w:rPr>
                <w:rFonts w:ascii="Calibri" w:hAnsi="Calibri" w:cs="Calibri"/>
                <w:sz w:val="24"/>
                <w:szCs w:val="24"/>
              </w:rPr>
              <w:t>Failure rate</w:t>
            </w:r>
          </w:p>
        </w:tc>
      </w:tr>
      <w:tr w:rsidR="000E2069" w:rsidRPr="004E384A" w14:paraId="1ACCB58D" w14:textId="77777777" w:rsidTr="00915B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7" w:type="dxa"/>
          </w:tcPr>
          <w:p w14:paraId="530A2FDC" w14:textId="41A94EE6" w:rsidR="000E2069" w:rsidRPr="004E384A" w:rsidRDefault="000E2069" w:rsidP="00F32A04">
            <w:pPr>
              <w:rPr>
                <w:rFonts w:ascii="Calibri" w:hAnsi="Calibri" w:cs="Calibri"/>
                <w:b w:val="0"/>
                <w:color w:val="888888"/>
                <w:sz w:val="24"/>
                <w:szCs w:val="24"/>
              </w:rPr>
            </w:pPr>
            <w:r w:rsidRPr="004E384A">
              <w:rPr>
                <w:rFonts w:ascii="Calibri" w:hAnsi="Calibri" w:cs="Calibri"/>
                <w:sz w:val="24"/>
                <w:szCs w:val="24"/>
              </w:rPr>
              <w:t>BBB</w:t>
            </w:r>
          </w:p>
        </w:tc>
        <w:tc>
          <w:tcPr>
            <w:tcW w:w="2157" w:type="dxa"/>
          </w:tcPr>
          <w:p w14:paraId="48DAE882" w14:textId="40101CC7" w:rsidR="000E2069" w:rsidRPr="004E384A" w:rsidRDefault="000E2069"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7,052</w:t>
            </w:r>
          </w:p>
        </w:tc>
        <w:tc>
          <w:tcPr>
            <w:tcW w:w="2158" w:type="dxa"/>
          </w:tcPr>
          <w:p w14:paraId="1116980C" w14:textId="6380ACA0" w:rsidR="000E2069" w:rsidRPr="004E384A" w:rsidRDefault="000E2069"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1,411</w:t>
            </w:r>
          </w:p>
        </w:tc>
        <w:tc>
          <w:tcPr>
            <w:tcW w:w="2158" w:type="dxa"/>
          </w:tcPr>
          <w:p w14:paraId="2AD3CF84" w14:textId="667C53A3" w:rsidR="000E2069" w:rsidRPr="004E384A" w:rsidRDefault="000E2069"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46.8%</w:t>
            </w:r>
          </w:p>
        </w:tc>
      </w:tr>
      <w:tr w:rsidR="000E2069" w:rsidRPr="004E384A" w14:paraId="57A90CF4" w14:textId="77777777" w:rsidTr="00915B7E">
        <w:trPr>
          <w:jc w:val="center"/>
        </w:trPr>
        <w:tc>
          <w:tcPr>
            <w:cnfStyle w:val="001000000000" w:firstRow="0" w:lastRow="0" w:firstColumn="1" w:lastColumn="0" w:oddVBand="0" w:evenVBand="0" w:oddHBand="0" w:evenHBand="0" w:firstRowFirstColumn="0" w:firstRowLastColumn="0" w:lastRowFirstColumn="0" w:lastRowLastColumn="0"/>
            <w:tcW w:w="2157" w:type="dxa"/>
          </w:tcPr>
          <w:p w14:paraId="3A5D9759" w14:textId="2EF39628" w:rsidR="000E2069" w:rsidRPr="004E384A" w:rsidRDefault="000E2069" w:rsidP="00F32A04">
            <w:pPr>
              <w:rPr>
                <w:rFonts w:ascii="Calibri" w:hAnsi="Calibri" w:cs="Calibri"/>
                <w:b w:val="0"/>
                <w:color w:val="888888"/>
                <w:sz w:val="24"/>
                <w:szCs w:val="24"/>
              </w:rPr>
            </w:pPr>
            <w:r w:rsidRPr="004E384A">
              <w:rPr>
                <w:rFonts w:ascii="Calibri" w:hAnsi="Calibri" w:cs="Calibri"/>
                <w:sz w:val="24"/>
                <w:szCs w:val="24"/>
              </w:rPr>
              <w:t>DDD</w:t>
            </w:r>
          </w:p>
        </w:tc>
        <w:tc>
          <w:tcPr>
            <w:tcW w:w="2157" w:type="dxa"/>
          </w:tcPr>
          <w:p w14:paraId="338402DB" w14:textId="554B0280" w:rsidR="000E2069" w:rsidRPr="004E384A" w:rsidRDefault="000E2069"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5,757</w:t>
            </w:r>
          </w:p>
        </w:tc>
        <w:tc>
          <w:tcPr>
            <w:tcW w:w="2158" w:type="dxa"/>
          </w:tcPr>
          <w:p w14:paraId="6A6E5702" w14:textId="0DE68E4C" w:rsidR="000E2069" w:rsidRPr="004E384A" w:rsidRDefault="000E2069"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1,152</w:t>
            </w:r>
          </w:p>
        </w:tc>
        <w:tc>
          <w:tcPr>
            <w:tcW w:w="2158" w:type="dxa"/>
          </w:tcPr>
          <w:p w14:paraId="260CE48F" w14:textId="1A29EA40" w:rsidR="000E2069" w:rsidRPr="004E384A" w:rsidRDefault="000E2069"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54.7%</w:t>
            </w:r>
          </w:p>
        </w:tc>
      </w:tr>
      <w:tr w:rsidR="000E2069" w:rsidRPr="004E384A" w14:paraId="6387479C" w14:textId="77777777" w:rsidTr="00915B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7" w:type="dxa"/>
          </w:tcPr>
          <w:p w14:paraId="0B62BFAA" w14:textId="57CAE07F" w:rsidR="000E2069" w:rsidRPr="004E384A" w:rsidRDefault="000E2069" w:rsidP="00F32A04">
            <w:pPr>
              <w:rPr>
                <w:rFonts w:ascii="Calibri" w:hAnsi="Calibri" w:cs="Calibri"/>
                <w:b w:val="0"/>
                <w:color w:val="888888"/>
                <w:sz w:val="24"/>
                <w:szCs w:val="24"/>
              </w:rPr>
            </w:pPr>
            <w:r w:rsidRPr="004E384A">
              <w:rPr>
                <w:rFonts w:ascii="Calibri" w:hAnsi="Calibri" w:cs="Calibri"/>
                <w:sz w:val="24"/>
                <w:szCs w:val="24"/>
              </w:rPr>
              <w:t>EEE</w:t>
            </w:r>
          </w:p>
        </w:tc>
        <w:tc>
          <w:tcPr>
            <w:tcW w:w="2157" w:type="dxa"/>
          </w:tcPr>
          <w:p w14:paraId="665F9A1F" w14:textId="05CE7165" w:rsidR="000E2069" w:rsidRPr="004E384A" w:rsidRDefault="000E2069"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2,751</w:t>
            </w:r>
          </w:p>
        </w:tc>
        <w:tc>
          <w:tcPr>
            <w:tcW w:w="2158" w:type="dxa"/>
          </w:tcPr>
          <w:p w14:paraId="7CA88E65" w14:textId="5CBA02D4" w:rsidR="000E2069" w:rsidRPr="004E384A" w:rsidRDefault="000E2069"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551</w:t>
            </w:r>
          </w:p>
        </w:tc>
        <w:tc>
          <w:tcPr>
            <w:tcW w:w="2158" w:type="dxa"/>
          </w:tcPr>
          <w:p w14:paraId="696BB18C" w14:textId="39CF960F" w:rsidR="000E2069" w:rsidRPr="004E384A" w:rsidRDefault="000E2069"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40.0%</w:t>
            </w:r>
          </w:p>
        </w:tc>
      </w:tr>
      <w:tr w:rsidR="000E2069" w:rsidRPr="004E384A" w14:paraId="32FFDA61" w14:textId="77777777" w:rsidTr="00915B7E">
        <w:trPr>
          <w:jc w:val="center"/>
        </w:trPr>
        <w:tc>
          <w:tcPr>
            <w:cnfStyle w:val="001000000000" w:firstRow="0" w:lastRow="0" w:firstColumn="1" w:lastColumn="0" w:oddVBand="0" w:evenVBand="0" w:oddHBand="0" w:evenHBand="0" w:firstRowFirstColumn="0" w:firstRowLastColumn="0" w:lastRowFirstColumn="0" w:lastRowLastColumn="0"/>
            <w:tcW w:w="2157" w:type="dxa"/>
          </w:tcPr>
          <w:p w14:paraId="57D32042" w14:textId="3B3E97FD" w:rsidR="000E2069" w:rsidRPr="004E384A" w:rsidRDefault="000E2069" w:rsidP="00F32A04">
            <w:pPr>
              <w:rPr>
                <w:rFonts w:ascii="Calibri" w:hAnsi="Calibri" w:cs="Calibri"/>
                <w:b w:val="0"/>
                <w:color w:val="888888"/>
                <w:sz w:val="24"/>
                <w:szCs w:val="24"/>
              </w:rPr>
            </w:pPr>
            <w:r w:rsidRPr="004E384A">
              <w:rPr>
                <w:rFonts w:ascii="Calibri" w:hAnsi="Calibri" w:cs="Calibri"/>
                <w:sz w:val="24"/>
                <w:szCs w:val="24"/>
              </w:rPr>
              <w:t>FFF</w:t>
            </w:r>
          </w:p>
        </w:tc>
        <w:tc>
          <w:tcPr>
            <w:tcW w:w="2157" w:type="dxa"/>
          </w:tcPr>
          <w:p w14:paraId="59897617" w14:textId="67F28002" w:rsidR="000E2069" w:rsidRPr="004E384A" w:rsidRDefault="000E2069"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7,189</w:t>
            </w:r>
          </w:p>
        </w:tc>
        <w:tc>
          <w:tcPr>
            <w:tcW w:w="2158" w:type="dxa"/>
          </w:tcPr>
          <w:p w14:paraId="098442B3" w14:textId="0942D10A" w:rsidR="000E2069" w:rsidRPr="004E384A" w:rsidRDefault="000E2069"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1,438</w:t>
            </w:r>
          </w:p>
        </w:tc>
        <w:tc>
          <w:tcPr>
            <w:tcW w:w="2158" w:type="dxa"/>
          </w:tcPr>
          <w:p w14:paraId="31FF878C" w14:textId="15045309" w:rsidR="000E2069" w:rsidRPr="004E384A" w:rsidRDefault="000E2069"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49.3%</w:t>
            </w:r>
          </w:p>
        </w:tc>
      </w:tr>
      <w:tr w:rsidR="000E2069" w:rsidRPr="004E384A" w14:paraId="66D2F35C" w14:textId="77777777" w:rsidTr="00915B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7" w:type="dxa"/>
          </w:tcPr>
          <w:p w14:paraId="1C6990E2" w14:textId="23DA7682" w:rsidR="000E2069" w:rsidRPr="004E384A" w:rsidRDefault="000E2069" w:rsidP="00F32A04">
            <w:pPr>
              <w:rPr>
                <w:rFonts w:ascii="Calibri" w:hAnsi="Calibri" w:cs="Calibri"/>
                <w:b w:val="0"/>
                <w:color w:val="888888"/>
                <w:sz w:val="24"/>
                <w:szCs w:val="24"/>
              </w:rPr>
            </w:pPr>
            <w:r w:rsidRPr="004E384A">
              <w:rPr>
                <w:rFonts w:ascii="Calibri" w:hAnsi="Calibri" w:cs="Calibri"/>
                <w:sz w:val="24"/>
                <w:szCs w:val="24"/>
              </w:rPr>
              <w:t>All four</w:t>
            </w:r>
          </w:p>
        </w:tc>
        <w:tc>
          <w:tcPr>
            <w:tcW w:w="2157" w:type="dxa"/>
          </w:tcPr>
          <w:p w14:paraId="18E7F92F" w14:textId="3A5638C4" w:rsidR="000E2069" w:rsidRPr="004E384A" w:rsidRDefault="000E2069"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22,749</w:t>
            </w:r>
          </w:p>
        </w:tc>
        <w:tc>
          <w:tcPr>
            <w:tcW w:w="2158" w:type="dxa"/>
          </w:tcPr>
          <w:p w14:paraId="164F33B4" w14:textId="21F76AAB" w:rsidR="000E2069" w:rsidRPr="004E384A" w:rsidRDefault="00F358B6"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n/a</w:t>
            </w:r>
          </w:p>
        </w:tc>
        <w:tc>
          <w:tcPr>
            <w:tcW w:w="2158" w:type="dxa"/>
          </w:tcPr>
          <w:p w14:paraId="777F39A2" w14:textId="1C02783A" w:rsidR="000E2069" w:rsidRPr="004E384A" w:rsidRDefault="000E2069"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48.7%</w:t>
            </w:r>
          </w:p>
        </w:tc>
      </w:tr>
    </w:tbl>
    <w:p w14:paraId="715B4588" w14:textId="0C1082A9" w:rsidR="0024761D" w:rsidRPr="004E384A" w:rsidRDefault="00CE54A6" w:rsidP="006464C1">
      <w:pPr>
        <w:spacing w:line="240" w:lineRule="auto"/>
        <w:jc w:val="center"/>
        <w:rPr>
          <w:rFonts w:ascii="Calibri" w:hAnsi="Calibri" w:cs="Calibri"/>
          <w:i/>
          <w:sz w:val="24"/>
          <w:szCs w:val="24"/>
        </w:rPr>
      </w:pPr>
      <w:r w:rsidRPr="004E384A">
        <w:rPr>
          <w:rFonts w:ascii="Calibri" w:hAnsi="Calibri" w:cs="Calibri"/>
          <w:b/>
          <w:noProof/>
          <w:color w:val="888888"/>
          <w:sz w:val="24"/>
          <w:szCs w:val="24"/>
          <w:lang w:val="en-GB"/>
        </w:rPr>
        <w:drawing>
          <wp:inline distT="0" distB="0" distL="0" distR="0" wp14:anchorId="58BD4588" wp14:editId="6CB48708">
            <wp:extent cx="6858000" cy="3072765"/>
            <wp:effectExtent l="0" t="0" r="0" b="0"/>
            <wp:docPr id="17330845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0" cy="3072765"/>
                    </a:xfrm>
                    <a:prstGeom prst="rect">
                      <a:avLst/>
                    </a:prstGeom>
                    <a:noFill/>
                    <a:ln>
                      <a:noFill/>
                    </a:ln>
                  </pic:spPr>
                </pic:pic>
              </a:graphicData>
            </a:graphic>
          </wp:inline>
        </w:drawing>
      </w:r>
      <w:r w:rsidR="0024761D" w:rsidRPr="004E384A">
        <w:rPr>
          <w:rFonts w:ascii="Calibri" w:hAnsi="Calibri" w:cs="Calibri"/>
          <w:i/>
          <w:sz w:val="24"/>
          <w:szCs w:val="24"/>
        </w:rPr>
        <w:t>Figure 2: Exploratory overview of the modelled cohort, showing overall class balance and failure rate by module.</w:t>
      </w:r>
    </w:p>
    <w:p w14:paraId="4550B56F" w14:textId="18C4238F" w:rsidR="0024761D" w:rsidRPr="004E384A" w:rsidRDefault="006464C1" w:rsidP="006464C1">
      <w:pPr>
        <w:spacing w:line="240" w:lineRule="auto"/>
        <w:jc w:val="center"/>
        <w:rPr>
          <w:rFonts w:ascii="Calibri" w:hAnsi="Calibri" w:cs="Calibri"/>
          <w:b/>
          <w:color w:val="888888"/>
          <w:sz w:val="24"/>
          <w:szCs w:val="24"/>
          <w:lang w:val="en-GB"/>
        </w:rPr>
      </w:pPr>
      <w:r w:rsidRPr="004E384A">
        <w:rPr>
          <w:rFonts w:ascii="Calibri" w:hAnsi="Calibri" w:cs="Calibri"/>
          <w:b/>
          <w:noProof/>
          <w:color w:val="888888"/>
          <w:sz w:val="24"/>
          <w:szCs w:val="24"/>
          <w:lang w:val="en-GB"/>
        </w:rPr>
        <w:drawing>
          <wp:inline distT="0" distB="0" distL="0" distR="0" wp14:anchorId="6E84B3A9" wp14:editId="23EF8276">
            <wp:extent cx="6858000" cy="4968240"/>
            <wp:effectExtent l="0" t="0" r="0" b="3810"/>
            <wp:docPr id="2532858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0" cy="4968240"/>
                    </a:xfrm>
                    <a:prstGeom prst="rect">
                      <a:avLst/>
                    </a:prstGeom>
                    <a:noFill/>
                    <a:ln>
                      <a:noFill/>
                    </a:ln>
                  </pic:spPr>
                </pic:pic>
              </a:graphicData>
            </a:graphic>
          </wp:inline>
        </w:drawing>
      </w:r>
      <w:r w:rsidR="0024761D" w:rsidRPr="004E384A">
        <w:rPr>
          <w:rFonts w:ascii="Calibri" w:hAnsi="Calibri" w:cs="Calibri"/>
          <w:i/>
          <w:sz w:val="24"/>
          <w:szCs w:val="24"/>
        </w:rPr>
        <w:t>Figure 3: Failure rate by demographic group (gender, age band, disability, highest education and deprivation b</w:t>
      </w:r>
      <w:r w:rsidR="008D2C7D">
        <w:rPr>
          <w:rFonts w:ascii="Calibri" w:hAnsi="Calibri" w:cs="Calibri"/>
          <w:i/>
          <w:sz w:val="24"/>
          <w:szCs w:val="24"/>
        </w:rPr>
        <w:t>and)</w:t>
      </w:r>
      <w:r w:rsidR="0024761D" w:rsidRPr="004E384A">
        <w:rPr>
          <w:rFonts w:ascii="Calibri" w:hAnsi="Calibri" w:cs="Calibri"/>
          <w:i/>
          <w:sz w:val="24"/>
          <w:szCs w:val="24"/>
        </w:rPr>
        <w:t>.</w:t>
      </w:r>
    </w:p>
    <w:p w14:paraId="444D4448" w14:textId="77777777"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3.2 Predictive performance</w:t>
      </w:r>
    </w:p>
    <w:p w14:paraId="634159A4" w14:textId="65F83065" w:rsidR="0024761D" w:rsidRPr="004E384A" w:rsidRDefault="0024761D" w:rsidP="00F32A04">
      <w:pPr>
        <w:jc w:val="both"/>
        <w:rPr>
          <w:rFonts w:ascii="Calibri" w:hAnsi="Calibri" w:cs="Calibri"/>
          <w:sz w:val="24"/>
          <w:szCs w:val="24"/>
        </w:rPr>
      </w:pPr>
      <w:r w:rsidRPr="004E384A">
        <w:rPr>
          <w:rFonts w:ascii="Calibri" w:hAnsi="Calibri" w:cs="Calibri"/>
          <w:sz w:val="24"/>
          <w:szCs w:val="24"/>
        </w:rPr>
        <w:t xml:space="preserve">All four models predicted failure well above chance at the first-assessment horizon. On the featured course DDD, </w:t>
      </w:r>
      <w:proofErr w:type="spellStart"/>
      <w:r w:rsidRPr="004E384A">
        <w:rPr>
          <w:rFonts w:ascii="Calibri" w:hAnsi="Calibri" w:cs="Calibri"/>
          <w:sz w:val="24"/>
          <w:szCs w:val="24"/>
        </w:rPr>
        <w:t>XGBoost</w:t>
      </w:r>
      <w:proofErr w:type="spellEnd"/>
      <w:r w:rsidRPr="004E384A">
        <w:rPr>
          <w:rFonts w:ascii="Calibri" w:hAnsi="Calibri" w:cs="Calibri"/>
          <w:sz w:val="24"/>
          <w:szCs w:val="24"/>
        </w:rPr>
        <w:t xml:space="preserve"> achieved the best held-out performance (PR-AUC 0.877, ROC-AUC 0.850, F1 0.770), narrowly ahead of logistic regression (0.870), random forest (0.865) and the </w:t>
      </w:r>
      <w:r w:rsidR="00AE1450" w:rsidRPr="004E384A">
        <w:rPr>
          <w:rFonts w:ascii="Calibri" w:hAnsi="Calibri" w:cs="Calibri"/>
          <w:sz w:val="24"/>
          <w:szCs w:val="24"/>
        </w:rPr>
        <w:t>MLP</w:t>
      </w:r>
      <w:r w:rsidRPr="004E384A">
        <w:rPr>
          <w:rFonts w:ascii="Calibri" w:hAnsi="Calibri" w:cs="Calibri"/>
          <w:sz w:val="24"/>
          <w:szCs w:val="24"/>
        </w:rPr>
        <w:t xml:space="preserve"> (0.861). Across the four modules </w:t>
      </w:r>
      <w:proofErr w:type="spellStart"/>
      <w:r w:rsidRPr="004E384A">
        <w:rPr>
          <w:rFonts w:ascii="Calibri" w:hAnsi="Calibri" w:cs="Calibri"/>
          <w:sz w:val="24"/>
          <w:szCs w:val="24"/>
        </w:rPr>
        <w:t>XGBoost</w:t>
      </w:r>
      <w:proofErr w:type="spellEnd"/>
      <w:r w:rsidRPr="004E384A">
        <w:rPr>
          <w:rFonts w:ascii="Calibri" w:hAnsi="Calibri" w:cs="Calibri"/>
          <w:sz w:val="24"/>
          <w:szCs w:val="24"/>
        </w:rPr>
        <w:t xml:space="preserve"> was strongest on three (DDD 0.877, BBB 0.829, FFF 0.834) and logistic regression on one (EEE 0.843); the full 16-model comparison, with each configuration's imbalance strategy, is in Table 3. Two patterns stand out. First, the four models are separated by at most about 0.02 PR-AUC within any course, so the interpretable linear model is genuinely competitive. Second, the confusion matrices make the operating point </w:t>
      </w:r>
      <w:r w:rsidR="003567F0" w:rsidRPr="004E384A">
        <w:rPr>
          <w:rFonts w:ascii="Calibri" w:hAnsi="Calibri" w:cs="Calibri"/>
          <w:sz w:val="24"/>
          <w:szCs w:val="24"/>
        </w:rPr>
        <w:t>concrete:</w:t>
      </w:r>
      <w:r w:rsidRPr="004E384A">
        <w:rPr>
          <w:rFonts w:ascii="Calibri" w:hAnsi="Calibri" w:cs="Calibri"/>
          <w:sz w:val="24"/>
          <w:szCs w:val="24"/>
        </w:rPr>
        <w:t xml:space="preserve"> on DDD, </w:t>
      </w:r>
      <w:proofErr w:type="spellStart"/>
      <w:r w:rsidRPr="004E384A">
        <w:rPr>
          <w:rFonts w:ascii="Calibri" w:hAnsi="Calibri" w:cs="Calibri"/>
          <w:sz w:val="24"/>
          <w:szCs w:val="24"/>
        </w:rPr>
        <w:t>XGBoost</w:t>
      </w:r>
      <w:proofErr w:type="spellEnd"/>
      <w:r w:rsidRPr="004E384A">
        <w:rPr>
          <w:rFonts w:ascii="Calibri" w:hAnsi="Calibri" w:cs="Calibri"/>
          <w:sz w:val="24"/>
          <w:szCs w:val="24"/>
        </w:rPr>
        <w:t xml:space="preserve"> identified 449 of 630 failing students (recall 0.713) at precision 0.838, missing 181 and raising 87 false alarms (Figure 5). Precision-recall and ROC curves appear in Figure 4.</w:t>
      </w:r>
    </w:p>
    <w:p w14:paraId="4B1F33E0" w14:textId="7729BC6F" w:rsidR="002601E1" w:rsidRPr="004E384A" w:rsidRDefault="0024761D" w:rsidP="00084791">
      <w:pPr>
        <w:spacing w:after="160" w:line="240" w:lineRule="auto"/>
        <w:jc w:val="center"/>
        <w:rPr>
          <w:rFonts w:ascii="Calibri" w:hAnsi="Calibri" w:cs="Calibri"/>
          <w:sz w:val="24"/>
          <w:szCs w:val="24"/>
        </w:rPr>
      </w:pPr>
      <w:r w:rsidRPr="004E384A">
        <w:rPr>
          <w:rFonts w:ascii="Calibri" w:hAnsi="Calibri" w:cs="Calibri"/>
          <w:i/>
          <w:sz w:val="24"/>
          <w:szCs w:val="24"/>
        </w:rPr>
        <w:t>Table 3: Held-out performance of all four models on each module (first-assessment mark included). Rows are ordered by PR-AUC within each module, so the best model per module is the first row of each block.</w:t>
      </w:r>
    </w:p>
    <w:tbl>
      <w:tblPr>
        <w:tblStyle w:val="GridTable4"/>
        <w:tblW w:w="0" w:type="auto"/>
        <w:jc w:val="center"/>
        <w:tblLook w:val="04A0" w:firstRow="1" w:lastRow="0" w:firstColumn="1" w:lastColumn="0" w:noHBand="0" w:noVBand="1"/>
      </w:tblPr>
      <w:tblGrid>
        <w:gridCol w:w="1438"/>
        <w:gridCol w:w="1438"/>
        <w:gridCol w:w="1438"/>
        <w:gridCol w:w="1438"/>
        <w:gridCol w:w="1439"/>
        <w:gridCol w:w="1461"/>
      </w:tblGrid>
      <w:tr w:rsidR="003F3C48" w:rsidRPr="004E384A" w14:paraId="366C0C17" w14:textId="77777777" w:rsidTr="008E5F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8" w:type="dxa"/>
          </w:tcPr>
          <w:p w14:paraId="2F4D423A" w14:textId="218A2AF3" w:rsidR="003F3C48" w:rsidRPr="004E384A" w:rsidRDefault="003F3C48" w:rsidP="00F32A04">
            <w:pPr>
              <w:rPr>
                <w:rFonts w:ascii="Calibri" w:hAnsi="Calibri" w:cs="Calibri"/>
                <w:b w:val="0"/>
                <w:color w:val="888888"/>
                <w:sz w:val="24"/>
                <w:szCs w:val="24"/>
              </w:rPr>
            </w:pPr>
            <w:r w:rsidRPr="004E384A">
              <w:rPr>
                <w:rFonts w:ascii="Calibri" w:hAnsi="Calibri" w:cs="Calibri"/>
                <w:sz w:val="24"/>
                <w:szCs w:val="24"/>
              </w:rPr>
              <w:t>Module</w:t>
            </w:r>
          </w:p>
        </w:tc>
        <w:tc>
          <w:tcPr>
            <w:tcW w:w="1438" w:type="dxa"/>
          </w:tcPr>
          <w:p w14:paraId="41F26D62" w14:textId="4C9E6D51" w:rsidR="003F3C48" w:rsidRPr="004E384A" w:rsidRDefault="003F3C48" w:rsidP="00F32A04">
            <w:pPr>
              <w:cnfStyle w:val="100000000000" w:firstRow="1" w:lastRow="0" w:firstColumn="0" w:lastColumn="0" w:oddVBand="0" w:evenVBand="0" w:oddHBand="0" w:evenHBand="0" w:firstRowFirstColumn="0" w:firstRowLastColumn="0" w:lastRowFirstColumn="0" w:lastRowLastColumn="0"/>
              <w:rPr>
                <w:rFonts w:ascii="Calibri" w:hAnsi="Calibri" w:cs="Calibri"/>
                <w:b w:val="0"/>
                <w:color w:val="888888"/>
                <w:sz w:val="24"/>
                <w:szCs w:val="24"/>
              </w:rPr>
            </w:pPr>
            <w:r w:rsidRPr="004E384A">
              <w:rPr>
                <w:rFonts w:ascii="Calibri" w:hAnsi="Calibri" w:cs="Calibri"/>
                <w:sz w:val="24"/>
                <w:szCs w:val="24"/>
              </w:rPr>
              <w:t>Model</w:t>
            </w:r>
          </w:p>
        </w:tc>
        <w:tc>
          <w:tcPr>
            <w:tcW w:w="1438" w:type="dxa"/>
          </w:tcPr>
          <w:p w14:paraId="0C5B18EE" w14:textId="74D48960" w:rsidR="003F3C48" w:rsidRPr="004E384A" w:rsidRDefault="003F3C48" w:rsidP="00F32A04">
            <w:pPr>
              <w:cnfStyle w:val="100000000000" w:firstRow="1" w:lastRow="0" w:firstColumn="0" w:lastColumn="0" w:oddVBand="0" w:evenVBand="0" w:oddHBand="0" w:evenHBand="0" w:firstRowFirstColumn="0" w:firstRowLastColumn="0" w:lastRowFirstColumn="0" w:lastRowLastColumn="0"/>
              <w:rPr>
                <w:rFonts w:ascii="Calibri" w:hAnsi="Calibri" w:cs="Calibri"/>
                <w:b w:val="0"/>
                <w:color w:val="888888"/>
                <w:sz w:val="24"/>
                <w:szCs w:val="24"/>
              </w:rPr>
            </w:pPr>
            <w:r w:rsidRPr="004E384A">
              <w:rPr>
                <w:rFonts w:ascii="Calibri" w:hAnsi="Calibri" w:cs="Calibri"/>
                <w:sz w:val="24"/>
                <w:szCs w:val="24"/>
              </w:rPr>
              <w:t>PR-AUC</w:t>
            </w:r>
          </w:p>
        </w:tc>
        <w:tc>
          <w:tcPr>
            <w:tcW w:w="1438" w:type="dxa"/>
          </w:tcPr>
          <w:p w14:paraId="1DD80B26" w14:textId="18A7169F" w:rsidR="003F3C48" w:rsidRPr="004E384A" w:rsidRDefault="003F3C48" w:rsidP="00F32A04">
            <w:pPr>
              <w:cnfStyle w:val="100000000000" w:firstRow="1" w:lastRow="0" w:firstColumn="0" w:lastColumn="0" w:oddVBand="0" w:evenVBand="0" w:oddHBand="0" w:evenHBand="0" w:firstRowFirstColumn="0" w:firstRowLastColumn="0" w:lastRowFirstColumn="0" w:lastRowLastColumn="0"/>
              <w:rPr>
                <w:rFonts w:ascii="Calibri" w:hAnsi="Calibri" w:cs="Calibri"/>
                <w:b w:val="0"/>
                <w:color w:val="888888"/>
                <w:sz w:val="24"/>
                <w:szCs w:val="24"/>
              </w:rPr>
            </w:pPr>
            <w:r w:rsidRPr="004E384A">
              <w:rPr>
                <w:rFonts w:ascii="Calibri" w:hAnsi="Calibri" w:cs="Calibri"/>
                <w:sz w:val="24"/>
                <w:szCs w:val="24"/>
              </w:rPr>
              <w:t>ROC-AUC</w:t>
            </w:r>
          </w:p>
        </w:tc>
        <w:tc>
          <w:tcPr>
            <w:tcW w:w="1439" w:type="dxa"/>
          </w:tcPr>
          <w:p w14:paraId="04307C7C" w14:textId="5D1B9738" w:rsidR="003F3C48" w:rsidRPr="004E384A" w:rsidRDefault="003F3C48" w:rsidP="00F32A04">
            <w:pPr>
              <w:cnfStyle w:val="100000000000" w:firstRow="1" w:lastRow="0" w:firstColumn="0" w:lastColumn="0" w:oddVBand="0" w:evenVBand="0" w:oddHBand="0" w:evenHBand="0" w:firstRowFirstColumn="0" w:firstRowLastColumn="0" w:lastRowFirstColumn="0" w:lastRowLastColumn="0"/>
              <w:rPr>
                <w:rFonts w:ascii="Calibri" w:hAnsi="Calibri" w:cs="Calibri"/>
                <w:b w:val="0"/>
                <w:color w:val="888888"/>
                <w:sz w:val="24"/>
                <w:szCs w:val="24"/>
              </w:rPr>
            </w:pPr>
            <w:r w:rsidRPr="004E384A">
              <w:rPr>
                <w:rFonts w:ascii="Calibri" w:hAnsi="Calibri" w:cs="Calibri"/>
                <w:sz w:val="24"/>
                <w:szCs w:val="24"/>
              </w:rPr>
              <w:t>F1</w:t>
            </w:r>
          </w:p>
        </w:tc>
        <w:tc>
          <w:tcPr>
            <w:tcW w:w="1439" w:type="dxa"/>
          </w:tcPr>
          <w:p w14:paraId="5324660E" w14:textId="068527CC" w:rsidR="003F3C48" w:rsidRPr="004E384A" w:rsidRDefault="003F3C48" w:rsidP="00F32A04">
            <w:pPr>
              <w:cnfStyle w:val="100000000000" w:firstRow="1" w:lastRow="0" w:firstColumn="0" w:lastColumn="0" w:oddVBand="0" w:evenVBand="0" w:oddHBand="0" w:evenHBand="0" w:firstRowFirstColumn="0" w:firstRowLastColumn="0" w:lastRowFirstColumn="0" w:lastRowLastColumn="0"/>
              <w:rPr>
                <w:rFonts w:ascii="Calibri" w:hAnsi="Calibri" w:cs="Calibri"/>
                <w:b w:val="0"/>
                <w:color w:val="888888"/>
                <w:sz w:val="24"/>
                <w:szCs w:val="24"/>
              </w:rPr>
            </w:pPr>
            <w:r w:rsidRPr="004E384A">
              <w:rPr>
                <w:rFonts w:ascii="Calibri" w:hAnsi="Calibri" w:cs="Calibri"/>
                <w:sz w:val="24"/>
                <w:szCs w:val="24"/>
              </w:rPr>
              <w:t>Strategy</w:t>
            </w:r>
          </w:p>
        </w:tc>
      </w:tr>
      <w:tr w:rsidR="003F3C48" w:rsidRPr="004E384A" w14:paraId="40B50964" w14:textId="77777777" w:rsidTr="008E5F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8" w:type="dxa"/>
          </w:tcPr>
          <w:p w14:paraId="6A18A27F" w14:textId="3D547887" w:rsidR="003F3C48" w:rsidRPr="004E384A" w:rsidRDefault="003F3C48" w:rsidP="00F32A04">
            <w:pPr>
              <w:rPr>
                <w:rFonts w:ascii="Calibri" w:hAnsi="Calibri" w:cs="Calibri"/>
                <w:b w:val="0"/>
                <w:color w:val="888888"/>
                <w:sz w:val="24"/>
                <w:szCs w:val="24"/>
              </w:rPr>
            </w:pPr>
            <w:r w:rsidRPr="004E384A">
              <w:rPr>
                <w:rFonts w:ascii="Calibri" w:hAnsi="Calibri" w:cs="Calibri"/>
                <w:sz w:val="24"/>
                <w:szCs w:val="24"/>
              </w:rPr>
              <w:t>BBB</w:t>
            </w:r>
          </w:p>
        </w:tc>
        <w:tc>
          <w:tcPr>
            <w:tcW w:w="1438" w:type="dxa"/>
          </w:tcPr>
          <w:p w14:paraId="4E1EE1AA" w14:textId="6CA0AE74"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proofErr w:type="spellStart"/>
            <w:r w:rsidRPr="004E384A">
              <w:rPr>
                <w:rFonts w:ascii="Calibri" w:hAnsi="Calibri" w:cs="Calibri"/>
                <w:sz w:val="24"/>
                <w:szCs w:val="24"/>
              </w:rPr>
              <w:t>XGBoost</w:t>
            </w:r>
            <w:proofErr w:type="spellEnd"/>
          </w:p>
        </w:tc>
        <w:tc>
          <w:tcPr>
            <w:tcW w:w="1438" w:type="dxa"/>
          </w:tcPr>
          <w:p w14:paraId="11C41672" w14:textId="6B51890E"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0.829</w:t>
            </w:r>
          </w:p>
        </w:tc>
        <w:tc>
          <w:tcPr>
            <w:tcW w:w="1438" w:type="dxa"/>
          </w:tcPr>
          <w:p w14:paraId="2A9DC52B" w14:textId="3203D419"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0.815</w:t>
            </w:r>
          </w:p>
        </w:tc>
        <w:tc>
          <w:tcPr>
            <w:tcW w:w="1439" w:type="dxa"/>
          </w:tcPr>
          <w:p w14:paraId="01A1CD7B" w14:textId="57ECA037"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0.680</w:t>
            </w:r>
          </w:p>
        </w:tc>
        <w:tc>
          <w:tcPr>
            <w:tcW w:w="1439" w:type="dxa"/>
          </w:tcPr>
          <w:p w14:paraId="37548668" w14:textId="2BCB55B8"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none</w:t>
            </w:r>
          </w:p>
        </w:tc>
      </w:tr>
      <w:tr w:rsidR="003F3C48" w:rsidRPr="004E384A" w14:paraId="384E22D8" w14:textId="77777777" w:rsidTr="008E5FA1">
        <w:trPr>
          <w:jc w:val="center"/>
        </w:trPr>
        <w:tc>
          <w:tcPr>
            <w:cnfStyle w:val="001000000000" w:firstRow="0" w:lastRow="0" w:firstColumn="1" w:lastColumn="0" w:oddVBand="0" w:evenVBand="0" w:oddHBand="0" w:evenHBand="0" w:firstRowFirstColumn="0" w:firstRowLastColumn="0" w:lastRowFirstColumn="0" w:lastRowLastColumn="0"/>
            <w:tcW w:w="1438" w:type="dxa"/>
          </w:tcPr>
          <w:p w14:paraId="7C361CD0" w14:textId="32A4315C" w:rsidR="003F3C48" w:rsidRPr="004E384A" w:rsidRDefault="003F3C48" w:rsidP="00F32A04">
            <w:pPr>
              <w:rPr>
                <w:rFonts w:ascii="Calibri" w:hAnsi="Calibri" w:cs="Calibri"/>
                <w:b w:val="0"/>
                <w:color w:val="888888"/>
                <w:sz w:val="24"/>
                <w:szCs w:val="24"/>
              </w:rPr>
            </w:pPr>
            <w:r w:rsidRPr="004E384A">
              <w:rPr>
                <w:rFonts w:ascii="Calibri" w:hAnsi="Calibri" w:cs="Calibri"/>
                <w:sz w:val="24"/>
                <w:szCs w:val="24"/>
              </w:rPr>
              <w:t>BBB</w:t>
            </w:r>
          </w:p>
        </w:tc>
        <w:tc>
          <w:tcPr>
            <w:tcW w:w="1438" w:type="dxa"/>
          </w:tcPr>
          <w:p w14:paraId="42FC4F73" w14:textId="60067521"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MLP</w:t>
            </w:r>
          </w:p>
        </w:tc>
        <w:tc>
          <w:tcPr>
            <w:tcW w:w="1438" w:type="dxa"/>
          </w:tcPr>
          <w:p w14:paraId="6480BA3A" w14:textId="72C8639A"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0.821</w:t>
            </w:r>
          </w:p>
        </w:tc>
        <w:tc>
          <w:tcPr>
            <w:tcW w:w="1438" w:type="dxa"/>
          </w:tcPr>
          <w:p w14:paraId="39753FE7" w14:textId="0CA20B60"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0.807</w:t>
            </w:r>
          </w:p>
        </w:tc>
        <w:tc>
          <w:tcPr>
            <w:tcW w:w="1439" w:type="dxa"/>
          </w:tcPr>
          <w:p w14:paraId="62214BEB" w14:textId="3F9B223D"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0.689</w:t>
            </w:r>
          </w:p>
        </w:tc>
        <w:tc>
          <w:tcPr>
            <w:tcW w:w="1439" w:type="dxa"/>
          </w:tcPr>
          <w:p w14:paraId="326A6FC2" w14:textId="3D7D5920"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none</w:t>
            </w:r>
          </w:p>
        </w:tc>
      </w:tr>
      <w:tr w:rsidR="003F3C48" w:rsidRPr="004E384A" w14:paraId="5420AF45" w14:textId="77777777" w:rsidTr="008E5F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8" w:type="dxa"/>
          </w:tcPr>
          <w:p w14:paraId="289B893E" w14:textId="0CD0E7BC" w:rsidR="003F3C48" w:rsidRPr="004E384A" w:rsidRDefault="003F3C48" w:rsidP="00F32A04">
            <w:pPr>
              <w:rPr>
                <w:rFonts w:ascii="Calibri" w:hAnsi="Calibri" w:cs="Calibri"/>
                <w:b w:val="0"/>
                <w:color w:val="888888"/>
                <w:sz w:val="24"/>
                <w:szCs w:val="24"/>
              </w:rPr>
            </w:pPr>
            <w:r w:rsidRPr="004E384A">
              <w:rPr>
                <w:rFonts w:ascii="Calibri" w:hAnsi="Calibri" w:cs="Calibri"/>
                <w:sz w:val="24"/>
                <w:szCs w:val="24"/>
              </w:rPr>
              <w:t>BBB</w:t>
            </w:r>
          </w:p>
        </w:tc>
        <w:tc>
          <w:tcPr>
            <w:tcW w:w="1438" w:type="dxa"/>
          </w:tcPr>
          <w:p w14:paraId="71ECE204" w14:textId="4556D93C"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Random forest</w:t>
            </w:r>
          </w:p>
        </w:tc>
        <w:tc>
          <w:tcPr>
            <w:tcW w:w="1438" w:type="dxa"/>
          </w:tcPr>
          <w:p w14:paraId="27A7B322" w14:textId="2FD8A6A5"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0.816</w:t>
            </w:r>
          </w:p>
        </w:tc>
        <w:tc>
          <w:tcPr>
            <w:tcW w:w="1438" w:type="dxa"/>
          </w:tcPr>
          <w:p w14:paraId="678FE69B" w14:textId="257DC53C"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0.803</w:t>
            </w:r>
          </w:p>
        </w:tc>
        <w:tc>
          <w:tcPr>
            <w:tcW w:w="1439" w:type="dxa"/>
          </w:tcPr>
          <w:p w14:paraId="168EBE8C" w14:textId="65045899"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0.660</w:t>
            </w:r>
          </w:p>
        </w:tc>
        <w:tc>
          <w:tcPr>
            <w:tcW w:w="1439" w:type="dxa"/>
          </w:tcPr>
          <w:p w14:paraId="7D30CC75" w14:textId="72C7E28F"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none</w:t>
            </w:r>
          </w:p>
        </w:tc>
      </w:tr>
      <w:tr w:rsidR="003F3C48" w:rsidRPr="004E384A" w14:paraId="0293D4EA" w14:textId="77777777" w:rsidTr="008E5FA1">
        <w:trPr>
          <w:jc w:val="center"/>
        </w:trPr>
        <w:tc>
          <w:tcPr>
            <w:cnfStyle w:val="001000000000" w:firstRow="0" w:lastRow="0" w:firstColumn="1" w:lastColumn="0" w:oddVBand="0" w:evenVBand="0" w:oddHBand="0" w:evenHBand="0" w:firstRowFirstColumn="0" w:firstRowLastColumn="0" w:lastRowFirstColumn="0" w:lastRowLastColumn="0"/>
            <w:tcW w:w="1438" w:type="dxa"/>
          </w:tcPr>
          <w:p w14:paraId="04F0D332" w14:textId="794B8740" w:rsidR="003F3C48" w:rsidRPr="004E384A" w:rsidRDefault="003F3C48" w:rsidP="00F32A04">
            <w:pPr>
              <w:rPr>
                <w:rFonts w:ascii="Calibri" w:hAnsi="Calibri" w:cs="Calibri"/>
                <w:b w:val="0"/>
                <w:color w:val="888888"/>
                <w:sz w:val="24"/>
                <w:szCs w:val="24"/>
              </w:rPr>
            </w:pPr>
            <w:r w:rsidRPr="004E384A">
              <w:rPr>
                <w:rFonts w:ascii="Calibri" w:hAnsi="Calibri" w:cs="Calibri"/>
                <w:sz w:val="24"/>
                <w:szCs w:val="24"/>
              </w:rPr>
              <w:t>BBB</w:t>
            </w:r>
          </w:p>
        </w:tc>
        <w:tc>
          <w:tcPr>
            <w:tcW w:w="1438" w:type="dxa"/>
          </w:tcPr>
          <w:p w14:paraId="25E2D293" w14:textId="61909377"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Logistic regression</w:t>
            </w:r>
          </w:p>
        </w:tc>
        <w:tc>
          <w:tcPr>
            <w:tcW w:w="1438" w:type="dxa"/>
          </w:tcPr>
          <w:p w14:paraId="09B507BB" w14:textId="027627C2"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0.816</w:t>
            </w:r>
          </w:p>
        </w:tc>
        <w:tc>
          <w:tcPr>
            <w:tcW w:w="1438" w:type="dxa"/>
          </w:tcPr>
          <w:p w14:paraId="00F63880" w14:textId="09DFE3B2"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0.801</w:t>
            </w:r>
          </w:p>
        </w:tc>
        <w:tc>
          <w:tcPr>
            <w:tcW w:w="1439" w:type="dxa"/>
          </w:tcPr>
          <w:p w14:paraId="00E23662" w14:textId="6D2EC934"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0.669</w:t>
            </w:r>
          </w:p>
        </w:tc>
        <w:tc>
          <w:tcPr>
            <w:tcW w:w="1439" w:type="dxa"/>
          </w:tcPr>
          <w:p w14:paraId="014D03B5" w14:textId="36E9C0CD"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none</w:t>
            </w:r>
          </w:p>
        </w:tc>
      </w:tr>
      <w:tr w:rsidR="003F3C48" w:rsidRPr="004E384A" w14:paraId="5EF0AF28" w14:textId="77777777" w:rsidTr="008E5F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8" w:type="dxa"/>
          </w:tcPr>
          <w:p w14:paraId="7C5BC8E7" w14:textId="409638D6" w:rsidR="003F3C48" w:rsidRPr="004E384A" w:rsidRDefault="003F3C48" w:rsidP="00F32A04">
            <w:pPr>
              <w:rPr>
                <w:rFonts w:ascii="Calibri" w:hAnsi="Calibri" w:cs="Calibri"/>
                <w:b w:val="0"/>
                <w:color w:val="888888"/>
                <w:sz w:val="24"/>
                <w:szCs w:val="24"/>
              </w:rPr>
            </w:pPr>
            <w:r w:rsidRPr="004E384A">
              <w:rPr>
                <w:rFonts w:ascii="Calibri" w:hAnsi="Calibri" w:cs="Calibri"/>
                <w:sz w:val="24"/>
                <w:szCs w:val="24"/>
              </w:rPr>
              <w:t>DDD</w:t>
            </w:r>
          </w:p>
        </w:tc>
        <w:tc>
          <w:tcPr>
            <w:tcW w:w="1438" w:type="dxa"/>
          </w:tcPr>
          <w:p w14:paraId="68372E7F" w14:textId="5E0F44B4"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proofErr w:type="spellStart"/>
            <w:r w:rsidRPr="004E384A">
              <w:rPr>
                <w:rFonts w:ascii="Calibri" w:hAnsi="Calibri" w:cs="Calibri"/>
                <w:sz w:val="24"/>
                <w:szCs w:val="24"/>
              </w:rPr>
              <w:t>XGBoost</w:t>
            </w:r>
            <w:proofErr w:type="spellEnd"/>
          </w:p>
        </w:tc>
        <w:tc>
          <w:tcPr>
            <w:tcW w:w="1438" w:type="dxa"/>
          </w:tcPr>
          <w:p w14:paraId="27FF9EB9" w14:textId="0ACB9ADD"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0.877</w:t>
            </w:r>
          </w:p>
        </w:tc>
        <w:tc>
          <w:tcPr>
            <w:tcW w:w="1438" w:type="dxa"/>
          </w:tcPr>
          <w:p w14:paraId="1478D7DB" w14:textId="4000D239"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0.850</w:t>
            </w:r>
          </w:p>
        </w:tc>
        <w:tc>
          <w:tcPr>
            <w:tcW w:w="1439" w:type="dxa"/>
          </w:tcPr>
          <w:p w14:paraId="7AFDAC52" w14:textId="7A8DA88C"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0.770</w:t>
            </w:r>
          </w:p>
        </w:tc>
        <w:tc>
          <w:tcPr>
            <w:tcW w:w="1439" w:type="dxa"/>
          </w:tcPr>
          <w:p w14:paraId="70C8B5BB" w14:textId="27880CE1"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proofErr w:type="spellStart"/>
            <w:r w:rsidRPr="004E384A">
              <w:rPr>
                <w:rFonts w:ascii="Calibri" w:hAnsi="Calibri" w:cs="Calibri"/>
                <w:sz w:val="24"/>
                <w:szCs w:val="24"/>
              </w:rPr>
              <w:t>class_weight</w:t>
            </w:r>
            <w:proofErr w:type="spellEnd"/>
          </w:p>
        </w:tc>
      </w:tr>
      <w:tr w:rsidR="003F3C48" w:rsidRPr="004E384A" w14:paraId="4523C8E9" w14:textId="77777777" w:rsidTr="008E5FA1">
        <w:trPr>
          <w:jc w:val="center"/>
        </w:trPr>
        <w:tc>
          <w:tcPr>
            <w:cnfStyle w:val="001000000000" w:firstRow="0" w:lastRow="0" w:firstColumn="1" w:lastColumn="0" w:oddVBand="0" w:evenVBand="0" w:oddHBand="0" w:evenHBand="0" w:firstRowFirstColumn="0" w:firstRowLastColumn="0" w:lastRowFirstColumn="0" w:lastRowLastColumn="0"/>
            <w:tcW w:w="1438" w:type="dxa"/>
          </w:tcPr>
          <w:p w14:paraId="527C84D8" w14:textId="2962DDB2" w:rsidR="003F3C48" w:rsidRPr="004E384A" w:rsidRDefault="003F3C48" w:rsidP="00F32A04">
            <w:pPr>
              <w:rPr>
                <w:rFonts w:ascii="Calibri" w:hAnsi="Calibri" w:cs="Calibri"/>
                <w:b w:val="0"/>
                <w:color w:val="888888"/>
                <w:sz w:val="24"/>
                <w:szCs w:val="24"/>
              </w:rPr>
            </w:pPr>
            <w:r w:rsidRPr="004E384A">
              <w:rPr>
                <w:rFonts w:ascii="Calibri" w:hAnsi="Calibri" w:cs="Calibri"/>
                <w:sz w:val="24"/>
                <w:szCs w:val="24"/>
              </w:rPr>
              <w:t>DDD</w:t>
            </w:r>
          </w:p>
        </w:tc>
        <w:tc>
          <w:tcPr>
            <w:tcW w:w="1438" w:type="dxa"/>
          </w:tcPr>
          <w:p w14:paraId="0E014137" w14:textId="50DFB3DB"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Logistic regression</w:t>
            </w:r>
          </w:p>
        </w:tc>
        <w:tc>
          <w:tcPr>
            <w:tcW w:w="1438" w:type="dxa"/>
          </w:tcPr>
          <w:p w14:paraId="612FA04A" w14:textId="3103A942"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0.870</w:t>
            </w:r>
          </w:p>
        </w:tc>
        <w:tc>
          <w:tcPr>
            <w:tcW w:w="1438" w:type="dxa"/>
          </w:tcPr>
          <w:p w14:paraId="7B251165" w14:textId="74811480"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0.850</w:t>
            </w:r>
          </w:p>
        </w:tc>
        <w:tc>
          <w:tcPr>
            <w:tcW w:w="1439" w:type="dxa"/>
          </w:tcPr>
          <w:p w14:paraId="581939B7" w14:textId="16FC764D"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0.775</w:t>
            </w:r>
          </w:p>
        </w:tc>
        <w:tc>
          <w:tcPr>
            <w:tcW w:w="1439" w:type="dxa"/>
          </w:tcPr>
          <w:p w14:paraId="5AC7FC38" w14:textId="6E532EED"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none</w:t>
            </w:r>
          </w:p>
        </w:tc>
      </w:tr>
      <w:tr w:rsidR="003F3C48" w:rsidRPr="004E384A" w14:paraId="370618C6" w14:textId="77777777" w:rsidTr="008E5F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8" w:type="dxa"/>
          </w:tcPr>
          <w:p w14:paraId="08DF60F3" w14:textId="083C3AD4" w:rsidR="003F3C48" w:rsidRPr="004E384A" w:rsidRDefault="003F3C48" w:rsidP="00F32A04">
            <w:pPr>
              <w:rPr>
                <w:rFonts w:ascii="Calibri" w:hAnsi="Calibri" w:cs="Calibri"/>
                <w:b w:val="0"/>
                <w:color w:val="888888"/>
                <w:sz w:val="24"/>
                <w:szCs w:val="24"/>
              </w:rPr>
            </w:pPr>
            <w:r w:rsidRPr="004E384A">
              <w:rPr>
                <w:rFonts w:ascii="Calibri" w:hAnsi="Calibri" w:cs="Calibri"/>
                <w:sz w:val="24"/>
                <w:szCs w:val="24"/>
              </w:rPr>
              <w:t>DDD</w:t>
            </w:r>
          </w:p>
        </w:tc>
        <w:tc>
          <w:tcPr>
            <w:tcW w:w="1438" w:type="dxa"/>
          </w:tcPr>
          <w:p w14:paraId="7C96F6A2" w14:textId="09A98CE5"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Random forest</w:t>
            </w:r>
          </w:p>
        </w:tc>
        <w:tc>
          <w:tcPr>
            <w:tcW w:w="1438" w:type="dxa"/>
          </w:tcPr>
          <w:p w14:paraId="46809312" w14:textId="488ED14F"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0.865</w:t>
            </w:r>
          </w:p>
        </w:tc>
        <w:tc>
          <w:tcPr>
            <w:tcW w:w="1438" w:type="dxa"/>
          </w:tcPr>
          <w:p w14:paraId="4D96FADF" w14:textId="2A008C4E"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0.838</w:t>
            </w:r>
          </w:p>
        </w:tc>
        <w:tc>
          <w:tcPr>
            <w:tcW w:w="1439" w:type="dxa"/>
          </w:tcPr>
          <w:p w14:paraId="342314FB" w14:textId="7213668C"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0.759</w:t>
            </w:r>
          </w:p>
        </w:tc>
        <w:tc>
          <w:tcPr>
            <w:tcW w:w="1439" w:type="dxa"/>
          </w:tcPr>
          <w:p w14:paraId="40E89E1A" w14:textId="6D51FD5F"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smote</w:t>
            </w:r>
          </w:p>
        </w:tc>
      </w:tr>
      <w:tr w:rsidR="003F3C48" w:rsidRPr="004E384A" w14:paraId="2E7AA3FA" w14:textId="77777777" w:rsidTr="008E5FA1">
        <w:trPr>
          <w:jc w:val="center"/>
        </w:trPr>
        <w:tc>
          <w:tcPr>
            <w:cnfStyle w:val="001000000000" w:firstRow="0" w:lastRow="0" w:firstColumn="1" w:lastColumn="0" w:oddVBand="0" w:evenVBand="0" w:oddHBand="0" w:evenHBand="0" w:firstRowFirstColumn="0" w:firstRowLastColumn="0" w:lastRowFirstColumn="0" w:lastRowLastColumn="0"/>
            <w:tcW w:w="1438" w:type="dxa"/>
          </w:tcPr>
          <w:p w14:paraId="7FF128C9" w14:textId="7D7210BB" w:rsidR="003F3C48" w:rsidRPr="004E384A" w:rsidRDefault="003F3C48" w:rsidP="00F32A04">
            <w:pPr>
              <w:rPr>
                <w:rFonts w:ascii="Calibri" w:hAnsi="Calibri" w:cs="Calibri"/>
                <w:b w:val="0"/>
                <w:color w:val="888888"/>
                <w:sz w:val="24"/>
                <w:szCs w:val="24"/>
              </w:rPr>
            </w:pPr>
            <w:r w:rsidRPr="004E384A">
              <w:rPr>
                <w:rFonts w:ascii="Calibri" w:hAnsi="Calibri" w:cs="Calibri"/>
                <w:sz w:val="24"/>
                <w:szCs w:val="24"/>
              </w:rPr>
              <w:t>DDD</w:t>
            </w:r>
          </w:p>
        </w:tc>
        <w:tc>
          <w:tcPr>
            <w:tcW w:w="1438" w:type="dxa"/>
          </w:tcPr>
          <w:p w14:paraId="61B6A473" w14:textId="1BF8D371"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MLP</w:t>
            </w:r>
          </w:p>
        </w:tc>
        <w:tc>
          <w:tcPr>
            <w:tcW w:w="1438" w:type="dxa"/>
          </w:tcPr>
          <w:p w14:paraId="36CFAC51" w14:textId="33D4531E"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0.861</w:t>
            </w:r>
          </w:p>
        </w:tc>
        <w:tc>
          <w:tcPr>
            <w:tcW w:w="1438" w:type="dxa"/>
          </w:tcPr>
          <w:p w14:paraId="58125F6A" w14:textId="73858129"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0.835</w:t>
            </w:r>
          </w:p>
        </w:tc>
        <w:tc>
          <w:tcPr>
            <w:tcW w:w="1439" w:type="dxa"/>
          </w:tcPr>
          <w:p w14:paraId="53E343FE" w14:textId="63B8E4DF"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0.754</w:t>
            </w:r>
          </w:p>
        </w:tc>
        <w:tc>
          <w:tcPr>
            <w:tcW w:w="1439" w:type="dxa"/>
          </w:tcPr>
          <w:p w14:paraId="50B442FC" w14:textId="47313D44"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none</w:t>
            </w:r>
          </w:p>
        </w:tc>
      </w:tr>
      <w:tr w:rsidR="003F3C48" w:rsidRPr="004E384A" w14:paraId="4D7FA0AF" w14:textId="77777777" w:rsidTr="008E5F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8" w:type="dxa"/>
          </w:tcPr>
          <w:p w14:paraId="31F16CE9" w14:textId="47083604" w:rsidR="003F3C48" w:rsidRPr="004E384A" w:rsidRDefault="003F3C48" w:rsidP="00F32A04">
            <w:pPr>
              <w:rPr>
                <w:rFonts w:ascii="Calibri" w:hAnsi="Calibri" w:cs="Calibri"/>
                <w:b w:val="0"/>
                <w:color w:val="888888"/>
                <w:sz w:val="24"/>
                <w:szCs w:val="24"/>
              </w:rPr>
            </w:pPr>
            <w:r w:rsidRPr="004E384A">
              <w:rPr>
                <w:rFonts w:ascii="Calibri" w:hAnsi="Calibri" w:cs="Calibri"/>
                <w:sz w:val="24"/>
                <w:szCs w:val="24"/>
              </w:rPr>
              <w:t>EEE</w:t>
            </w:r>
          </w:p>
        </w:tc>
        <w:tc>
          <w:tcPr>
            <w:tcW w:w="1438" w:type="dxa"/>
          </w:tcPr>
          <w:p w14:paraId="15EBFE3D" w14:textId="210D08E7"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Logistic regression</w:t>
            </w:r>
          </w:p>
        </w:tc>
        <w:tc>
          <w:tcPr>
            <w:tcW w:w="1438" w:type="dxa"/>
          </w:tcPr>
          <w:p w14:paraId="19852A9A" w14:textId="0C1B4A68"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0.843</w:t>
            </w:r>
          </w:p>
        </w:tc>
        <w:tc>
          <w:tcPr>
            <w:tcW w:w="1438" w:type="dxa"/>
          </w:tcPr>
          <w:p w14:paraId="24C01184" w14:textId="0E022C02"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0.857</w:t>
            </w:r>
          </w:p>
        </w:tc>
        <w:tc>
          <w:tcPr>
            <w:tcW w:w="1439" w:type="dxa"/>
          </w:tcPr>
          <w:p w14:paraId="776CB7F0" w14:textId="045F135C"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0.697</w:t>
            </w:r>
          </w:p>
        </w:tc>
        <w:tc>
          <w:tcPr>
            <w:tcW w:w="1439" w:type="dxa"/>
          </w:tcPr>
          <w:p w14:paraId="20D95ADD" w14:textId="4E76609A"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proofErr w:type="spellStart"/>
            <w:r w:rsidRPr="004E384A">
              <w:rPr>
                <w:rFonts w:ascii="Calibri" w:hAnsi="Calibri" w:cs="Calibri"/>
                <w:sz w:val="24"/>
                <w:szCs w:val="24"/>
              </w:rPr>
              <w:t>class_weight</w:t>
            </w:r>
            <w:proofErr w:type="spellEnd"/>
          </w:p>
        </w:tc>
      </w:tr>
      <w:tr w:rsidR="003F3C48" w:rsidRPr="004E384A" w14:paraId="5931E5CB" w14:textId="77777777" w:rsidTr="008E5FA1">
        <w:trPr>
          <w:jc w:val="center"/>
        </w:trPr>
        <w:tc>
          <w:tcPr>
            <w:cnfStyle w:val="001000000000" w:firstRow="0" w:lastRow="0" w:firstColumn="1" w:lastColumn="0" w:oddVBand="0" w:evenVBand="0" w:oddHBand="0" w:evenHBand="0" w:firstRowFirstColumn="0" w:firstRowLastColumn="0" w:lastRowFirstColumn="0" w:lastRowLastColumn="0"/>
            <w:tcW w:w="1438" w:type="dxa"/>
          </w:tcPr>
          <w:p w14:paraId="34442F98" w14:textId="2E64C5EB" w:rsidR="003F3C48" w:rsidRPr="004E384A" w:rsidRDefault="003F3C48" w:rsidP="00F32A04">
            <w:pPr>
              <w:rPr>
                <w:rFonts w:ascii="Calibri" w:hAnsi="Calibri" w:cs="Calibri"/>
                <w:b w:val="0"/>
                <w:color w:val="888888"/>
                <w:sz w:val="24"/>
                <w:szCs w:val="24"/>
              </w:rPr>
            </w:pPr>
            <w:r w:rsidRPr="004E384A">
              <w:rPr>
                <w:rFonts w:ascii="Calibri" w:hAnsi="Calibri" w:cs="Calibri"/>
                <w:sz w:val="24"/>
                <w:szCs w:val="24"/>
              </w:rPr>
              <w:t>EEE</w:t>
            </w:r>
          </w:p>
        </w:tc>
        <w:tc>
          <w:tcPr>
            <w:tcW w:w="1438" w:type="dxa"/>
          </w:tcPr>
          <w:p w14:paraId="36E2A1C7" w14:textId="6B099745"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MLP</w:t>
            </w:r>
          </w:p>
        </w:tc>
        <w:tc>
          <w:tcPr>
            <w:tcW w:w="1438" w:type="dxa"/>
          </w:tcPr>
          <w:p w14:paraId="2F6514AE" w14:textId="69FD162B"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0.841</w:t>
            </w:r>
          </w:p>
        </w:tc>
        <w:tc>
          <w:tcPr>
            <w:tcW w:w="1438" w:type="dxa"/>
          </w:tcPr>
          <w:p w14:paraId="53D71254" w14:textId="2D48633D"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0.855</w:t>
            </w:r>
          </w:p>
        </w:tc>
        <w:tc>
          <w:tcPr>
            <w:tcW w:w="1439" w:type="dxa"/>
          </w:tcPr>
          <w:p w14:paraId="7CE7066A" w14:textId="4D13D90D"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0.700</w:t>
            </w:r>
          </w:p>
        </w:tc>
        <w:tc>
          <w:tcPr>
            <w:tcW w:w="1439" w:type="dxa"/>
          </w:tcPr>
          <w:p w14:paraId="45EE11E9" w14:textId="0D7AA2EA"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proofErr w:type="spellStart"/>
            <w:r w:rsidRPr="004E384A">
              <w:rPr>
                <w:rFonts w:ascii="Calibri" w:hAnsi="Calibri" w:cs="Calibri"/>
                <w:sz w:val="24"/>
                <w:szCs w:val="24"/>
              </w:rPr>
              <w:t>class_weight</w:t>
            </w:r>
            <w:proofErr w:type="spellEnd"/>
          </w:p>
        </w:tc>
      </w:tr>
      <w:tr w:rsidR="003F3C48" w:rsidRPr="004E384A" w14:paraId="5F474A76" w14:textId="77777777" w:rsidTr="008E5F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8" w:type="dxa"/>
          </w:tcPr>
          <w:p w14:paraId="6A4987E4" w14:textId="34C8A0A8" w:rsidR="003F3C48" w:rsidRPr="004E384A" w:rsidRDefault="003F3C48" w:rsidP="00F32A04">
            <w:pPr>
              <w:rPr>
                <w:rFonts w:ascii="Calibri" w:hAnsi="Calibri" w:cs="Calibri"/>
                <w:b w:val="0"/>
                <w:color w:val="888888"/>
                <w:sz w:val="24"/>
                <w:szCs w:val="24"/>
              </w:rPr>
            </w:pPr>
            <w:r w:rsidRPr="004E384A">
              <w:rPr>
                <w:rFonts w:ascii="Calibri" w:hAnsi="Calibri" w:cs="Calibri"/>
                <w:sz w:val="24"/>
                <w:szCs w:val="24"/>
              </w:rPr>
              <w:t>EEE</w:t>
            </w:r>
          </w:p>
        </w:tc>
        <w:tc>
          <w:tcPr>
            <w:tcW w:w="1438" w:type="dxa"/>
          </w:tcPr>
          <w:p w14:paraId="21EF2C4B" w14:textId="0FC828F9"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proofErr w:type="spellStart"/>
            <w:r w:rsidRPr="004E384A">
              <w:rPr>
                <w:rFonts w:ascii="Calibri" w:hAnsi="Calibri" w:cs="Calibri"/>
                <w:sz w:val="24"/>
                <w:szCs w:val="24"/>
              </w:rPr>
              <w:t>XGBoost</w:t>
            </w:r>
            <w:proofErr w:type="spellEnd"/>
          </w:p>
        </w:tc>
        <w:tc>
          <w:tcPr>
            <w:tcW w:w="1438" w:type="dxa"/>
          </w:tcPr>
          <w:p w14:paraId="6F82F363" w14:textId="0CD88711"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0.834</w:t>
            </w:r>
          </w:p>
        </w:tc>
        <w:tc>
          <w:tcPr>
            <w:tcW w:w="1438" w:type="dxa"/>
          </w:tcPr>
          <w:p w14:paraId="0DC01B5F" w14:textId="69C249E6"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0.845</w:t>
            </w:r>
          </w:p>
        </w:tc>
        <w:tc>
          <w:tcPr>
            <w:tcW w:w="1439" w:type="dxa"/>
          </w:tcPr>
          <w:p w14:paraId="1DE6CF79" w14:textId="5D99FBA2"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0.686</w:t>
            </w:r>
          </w:p>
        </w:tc>
        <w:tc>
          <w:tcPr>
            <w:tcW w:w="1439" w:type="dxa"/>
          </w:tcPr>
          <w:p w14:paraId="3AB22522" w14:textId="77575216"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none</w:t>
            </w:r>
          </w:p>
        </w:tc>
      </w:tr>
      <w:tr w:rsidR="003F3C48" w:rsidRPr="004E384A" w14:paraId="61B286CD" w14:textId="77777777" w:rsidTr="008E5FA1">
        <w:trPr>
          <w:jc w:val="center"/>
        </w:trPr>
        <w:tc>
          <w:tcPr>
            <w:cnfStyle w:val="001000000000" w:firstRow="0" w:lastRow="0" w:firstColumn="1" w:lastColumn="0" w:oddVBand="0" w:evenVBand="0" w:oddHBand="0" w:evenHBand="0" w:firstRowFirstColumn="0" w:firstRowLastColumn="0" w:lastRowFirstColumn="0" w:lastRowLastColumn="0"/>
            <w:tcW w:w="1438" w:type="dxa"/>
          </w:tcPr>
          <w:p w14:paraId="4D008B26" w14:textId="6BF506D5" w:rsidR="003F3C48" w:rsidRPr="004E384A" w:rsidRDefault="003F3C48" w:rsidP="00F32A04">
            <w:pPr>
              <w:rPr>
                <w:rFonts w:ascii="Calibri" w:hAnsi="Calibri" w:cs="Calibri"/>
                <w:b w:val="0"/>
                <w:color w:val="888888"/>
                <w:sz w:val="24"/>
                <w:szCs w:val="24"/>
              </w:rPr>
            </w:pPr>
            <w:r w:rsidRPr="004E384A">
              <w:rPr>
                <w:rFonts w:ascii="Calibri" w:hAnsi="Calibri" w:cs="Calibri"/>
                <w:sz w:val="24"/>
                <w:szCs w:val="24"/>
              </w:rPr>
              <w:t>EEE</w:t>
            </w:r>
          </w:p>
        </w:tc>
        <w:tc>
          <w:tcPr>
            <w:tcW w:w="1438" w:type="dxa"/>
          </w:tcPr>
          <w:p w14:paraId="28E71B6E" w14:textId="32140880"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Random forest</w:t>
            </w:r>
          </w:p>
        </w:tc>
        <w:tc>
          <w:tcPr>
            <w:tcW w:w="1438" w:type="dxa"/>
          </w:tcPr>
          <w:p w14:paraId="451410A5" w14:textId="4596D85D"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0.832</w:t>
            </w:r>
          </w:p>
        </w:tc>
        <w:tc>
          <w:tcPr>
            <w:tcW w:w="1438" w:type="dxa"/>
          </w:tcPr>
          <w:p w14:paraId="2DCF60EF" w14:textId="46F734A9"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0.843</w:t>
            </w:r>
          </w:p>
        </w:tc>
        <w:tc>
          <w:tcPr>
            <w:tcW w:w="1439" w:type="dxa"/>
          </w:tcPr>
          <w:p w14:paraId="07C6863F" w14:textId="14AC1F2C"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0.695</w:t>
            </w:r>
          </w:p>
        </w:tc>
        <w:tc>
          <w:tcPr>
            <w:tcW w:w="1439" w:type="dxa"/>
          </w:tcPr>
          <w:p w14:paraId="6618D50F" w14:textId="2A34A46A"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smote</w:t>
            </w:r>
          </w:p>
        </w:tc>
      </w:tr>
      <w:tr w:rsidR="003F3C48" w:rsidRPr="004E384A" w14:paraId="6AD729D6" w14:textId="77777777" w:rsidTr="008E5F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8" w:type="dxa"/>
          </w:tcPr>
          <w:p w14:paraId="18EA44F6" w14:textId="409450A6" w:rsidR="003F3C48" w:rsidRPr="004E384A" w:rsidRDefault="003F3C48" w:rsidP="00F32A04">
            <w:pPr>
              <w:rPr>
                <w:rFonts w:ascii="Calibri" w:hAnsi="Calibri" w:cs="Calibri"/>
                <w:b w:val="0"/>
                <w:color w:val="888888"/>
                <w:sz w:val="24"/>
                <w:szCs w:val="24"/>
              </w:rPr>
            </w:pPr>
            <w:r w:rsidRPr="004E384A">
              <w:rPr>
                <w:rFonts w:ascii="Calibri" w:hAnsi="Calibri" w:cs="Calibri"/>
                <w:sz w:val="24"/>
                <w:szCs w:val="24"/>
              </w:rPr>
              <w:t>FFF</w:t>
            </w:r>
          </w:p>
        </w:tc>
        <w:tc>
          <w:tcPr>
            <w:tcW w:w="1438" w:type="dxa"/>
          </w:tcPr>
          <w:p w14:paraId="6E6446B7" w14:textId="14E6B77D"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proofErr w:type="spellStart"/>
            <w:r w:rsidRPr="004E384A">
              <w:rPr>
                <w:rFonts w:ascii="Calibri" w:hAnsi="Calibri" w:cs="Calibri"/>
                <w:sz w:val="24"/>
                <w:szCs w:val="24"/>
              </w:rPr>
              <w:t>XGBoost</w:t>
            </w:r>
            <w:proofErr w:type="spellEnd"/>
          </w:p>
        </w:tc>
        <w:tc>
          <w:tcPr>
            <w:tcW w:w="1438" w:type="dxa"/>
          </w:tcPr>
          <w:p w14:paraId="17F9C0E9" w14:textId="7219FF50"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0.834</w:t>
            </w:r>
          </w:p>
        </w:tc>
        <w:tc>
          <w:tcPr>
            <w:tcW w:w="1438" w:type="dxa"/>
          </w:tcPr>
          <w:p w14:paraId="636A69CF" w14:textId="6A649626"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0.810</w:t>
            </w:r>
          </w:p>
        </w:tc>
        <w:tc>
          <w:tcPr>
            <w:tcW w:w="1439" w:type="dxa"/>
          </w:tcPr>
          <w:p w14:paraId="046A08C3" w14:textId="2FE113D6"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0.711</w:t>
            </w:r>
          </w:p>
        </w:tc>
        <w:tc>
          <w:tcPr>
            <w:tcW w:w="1439" w:type="dxa"/>
          </w:tcPr>
          <w:p w14:paraId="72DEDD28" w14:textId="68C2BF06"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none</w:t>
            </w:r>
          </w:p>
        </w:tc>
      </w:tr>
      <w:tr w:rsidR="003F3C48" w:rsidRPr="004E384A" w14:paraId="584C72D2" w14:textId="77777777" w:rsidTr="008E5FA1">
        <w:trPr>
          <w:jc w:val="center"/>
        </w:trPr>
        <w:tc>
          <w:tcPr>
            <w:cnfStyle w:val="001000000000" w:firstRow="0" w:lastRow="0" w:firstColumn="1" w:lastColumn="0" w:oddVBand="0" w:evenVBand="0" w:oddHBand="0" w:evenHBand="0" w:firstRowFirstColumn="0" w:firstRowLastColumn="0" w:lastRowFirstColumn="0" w:lastRowLastColumn="0"/>
            <w:tcW w:w="1438" w:type="dxa"/>
          </w:tcPr>
          <w:p w14:paraId="5B6CDC92" w14:textId="1227318F" w:rsidR="003F3C48" w:rsidRPr="004E384A" w:rsidRDefault="003F3C48" w:rsidP="00F32A04">
            <w:pPr>
              <w:rPr>
                <w:rFonts w:ascii="Calibri" w:hAnsi="Calibri" w:cs="Calibri"/>
                <w:b w:val="0"/>
                <w:color w:val="888888"/>
                <w:sz w:val="24"/>
                <w:szCs w:val="24"/>
              </w:rPr>
            </w:pPr>
            <w:r w:rsidRPr="004E384A">
              <w:rPr>
                <w:rFonts w:ascii="Calibri" w:hAnsi="Calibri" w:cs="Calibri"/>
                <w:sz w:val="24"/>
                <w:szCs w:val="24"/>
              </w:rPr>
              <w:t>FFF</w:t>
            </w:r>
          </w:p>
        </w:tc>
        <w:tc>
          <w:tcPr>
            <w:tcW w:w="1438" w:type="dxa"/>
          </w:tcPr>
          <w:p w14:paraId="7A56A12E" w14:textId="04A4EF67"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Logistic regression</w:t>
            </w:r>
          </w:p>
        </w:tc>
        <w:tc>
          <w:tcPr>
            <w:tcW w:w="1438" w:type="dxa"/>
          </w:tcPr>
          <w:p w14:paraId="6872613D" w14:textId="4680FB97"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0.831</w:t>
            </w:r>
          </w:p>
        </w:tc>
        <w:tc>
          <w:tcPr>
            <w:tcW w:w="1438" w:type="dxa"/>
          </w:tcPr>
          <w:p w14:paraId="070940FF" w14:textId="5D409A08"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0.810</w:t>
            </w:r>
          </w:p>
        </w:tc>
        <w:tc>
          <w:tcPr>
            <w:tcW w:w="1439" w:type="dxa"/>
          </w:tcPr>
          <w:p w14:paraId="090F3654" w14:textId="12621E5E"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0.701</w:t>
            </w:r>
          </w:p>
        </w:tc>
        <w:tc>
          <w:tcPr>
            <w:tcW w:w="1439" w:type="dxa"/>
          </w:tcPr>
          <w:p w14:paraId="27A3F721" w14:textId="5933C07B"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proofErr w:type="spellStart"/>
            <w:r w:rsidRPr="004E384A">
              <w:rPr>
                <w:rFonts w:ascii="Calibri" w:hAnsi="Calibri" w:cs="Calibri"/>
                <w:sz w:val="24"/>
                <w:szCs w:val="24"/>
              </w:rPr>
              <w:t>class_weight</w:t>
            </w:r>
            <w:proofErr w:type="spellEnd"/>
          </w:p>
        </w:tc>
      </w:tr>
      <w:tr w:rsidR="003F3C48" w:rsidRPr="004E384A" w14:paraId="4A794E54" w14:textId="77777777" w:rsidTr="008E5F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8" w:type="dxa"/>
          </w:tcPr>
          <w:p w14:paraId="07DDC739" w14:textId="316C21B3" w:rsidR="003F3C48" w:rsidRPr="004E384A" w:rsidRDefault="003F3C48" w:rsidP="00F32A04">
            <w:pPr>
              <w:rPr>
                <w:rFonts w:ascii="Calibri" w:hAnsi="Calibri" w:cs="Calibri"/>
                <w:b w:val="0"/>
                <w:color w:val="888888"/>
                <w:sz w:val="24"/>
                <w:szCs w:val="24"/>
              </w:rPr>
            </w:pPr>
            <w:r w:rsidRPr="004E384A">
              <w:rPr>
                <w:rFonts w:ascii="Calibri" w:hAnsi="Calibri" w:cs="Calibri"/>
                <w:sz w:val="24"/>
                <w:szCs w:val="24"/>
              </w:rPr>
              <w:t>FFF</w:t>
            </w:r>
          </w:p>
        </w:tc>
        <w:tc>
          <w:tcPr>
            <w:tcW w:w="1438" w:type="dxa"/>
          </w:tcPr>
          <w:p w14:paraId="62307C85" w14:textId="1C55A2E7"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MLP</w:t>
            </w:r>
          </w:p>
        </w:tc>
        <w:tc>
          <w:tcPr>
            <w:tcW w:w="1438" w:type="dxa"/>
          </w:tcPr>
          <w:p w14:paraId="7925D799" w14:textId="1C57275A"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0.830</w:t>
            </w:r>
          </w:p>
        </w:tc>
        <w:tc>
          <w:tcPr>
            <w:tcW w:w="1438" w:type="dxa"/>
          </w:tcPr>
          <w:p w14:paraId="3BCD0E41" w14:textId="568D5A59"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0.804</w:t>
            </w:r>
          </w:p>
        </w:tc>
        <w:tc>
          <w:tcPr>
            <w:tcW w:w="1439" w:type="dxa"/>
          </w:tcPr>
          <w:p w14:paraId="44A8AF40" w14:textId="07CFDA15"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0.708</w:t>
            </w:r>
          </w:p>
        </w:tc>
        <w:tc>
          <w:tcPr>
            <w:tcW w:w="1439" w:type="dxa"/>
          </w:tcPr>
          <w:p w14:paraId="165809B6" w14:textId="4BEE119F" w:rsidR="003F3C48" w:rsidRPr="004E384A" w:rsidRDefault="003F3C48"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none</w:t>
            </w:r>
          </w:p>
        </w:tc>
      </w:tr>
      <w:tr w:rsidR="003F3C48" w:rsidRPr="004E384A" w14:paraId="0BEE1C07" w14:textId="77777777" w:rsidTr="008E5FA1">
        <w:trPr>
          <w:jc w:val="center"/>
        </w:trPr>
        <w:tc>
          <w:tcPr>
            <w:cnfStyle w:val="001000000000" w:firstRow="0" w:lastRow="0" w:firstColumn="1" w:lastColumn="0" w:oddVBand="0" w:evenVBand="0" w:oddHBand="0" w:evenHBand="0" w:firstRowFirstColumn="0" w:firstRowLastColumn="0" w:lastRowFirstColumn="0" w:lastRowLastColumn="0"/>
            <w:tcW w:w="1438" w:type="dxa"/>
          </w:tcPr>
          <w:p w14:paraId="2ABEC3BC" w14:textId="0726F13C" w:rsidR="003F3C48" w:rsidRPr="004E384A" w:rsidRDefault="003F3C48" w:rsidP="00F32A04">
            <w:pPr>
              <w:rPr>
                <w:rFonts w:ascii="Calibri" w:hAnsi="Calibri" w:cs="Calibri"/>
                <w:b w:val="0"/>
                <w:color w:val="888888"/>
                <w:sz w:val="24"/>
                <w:szCs w:val="24"/>
              </w:rPr>
            </w:pPr>
            <w:r w:rsidRPr="004E384A">
              <w:rPr>
                <w:rFonts w:ascii="Calibri" w:hAnsi="Calibri" w:cs="Calibri"/>
                <w:sz w:val="24"/>
                <w:szCs w:val="24"/>
              </w:rPr>
              <w:t>FFF</w:t>
            </w:r>
          </w:p>
        </w:tc>
        <w:tc>
          <w:tcPr>
            <w:tcW w:w="1438" w:type="dxa"/>
          </w:tcPr>
          <w:p w14:paraId="7367C741" w14:textId="7C01308F"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Random forest</w:t>
            </w:r>
          </w:p>
        </w:tc>
        <w:tc>
          <w:tcPr>
            <w:tcW w:w="1438" w:type="dxa"/>
          </w:tcPr>
          <w:p w14:paraId="6F53FF26" w14:textId="54B0CCC4"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0.827</w:t>
            </w:r>
          </w:p>
        </w:tc>
        <w:tc>
          <w:tcPr>
            <w:tcW w:w="1438" w:type="dxa"/>
          </w:tcPr>
          <w:p w14:paraId="04703C6F" w14:textId="1DAC6DEC"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0.804</w:t>
            </w:r>
          </w:p>
        </w:tc>
        <w:tc>
          <w:tcPr>
            <w:tcW w:w="1439" w:type="dxa"/>
          </w:tcPr>
          <w:p w14:paraId="60CB29E4" w14:textId="7B01ADBA"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0.710</w:t>
            </w:r>
          </w:p>
        </w:tc>
        <w:tc>
          <w:tcPr>
            <w:tcW w:w="1439" w:type="dxa"/>
          </w:tcPr>
          <w:p w14:paraId="6D12F92D" w14:textId="0A72C537" w:rsidR="003F3C48" w:rsidRPr="004E384A" w:rsidRDefault="003F3C48"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proofErr w:type="spellStart"/>
            <w:r w:rsidRPr="004E384A">
              <w:rPr>
                <w:rFonts w:ascii="Calibri" w:hAnsi="Calibri" w:cs="Calibri"/>
                <w:sz w:val="24"/>
                <w:szCs w:val="24"/>
              </w:rPr>
              <w:t>class_weight</w:t>
            </w:r>
            <w:proofErr w:type="spellEnd"/>
          </w:p>
        </w:tc>
      </w:tr>
    </w:tbl>
    <w:p w14:paraId="6F1403FF" w14:textId="77777777" w:rsidR="002601E1" w:rsidRPr="004E384A" w:rsidRDefault="002601E1" w:rsidP="00F32A04">
      <w:pPr>
        <w:rPr>
          <w:rFonts w:ascii="Calibri" w:hAnsi="Calibri" w:cs="Calibri"/>
          <w:b/>
          <w:color w:val="888888"/>
          <w:sz w:val="24"/>
          <w:szCs w:val="24"/>
        </w:rPr>
      </w:pPr>
    </w:p>
    <w:p w14:paraId="4E51DE87" w14:textId="77777777" w:rsidR="002601E1" w:rsidRPr="004E384A" w:rsidRDefault="002601E1" w:rsidP="00F32A04">
      <w:pPr>
        <w:jc w:val="center"/>
        <w:rPr>
          <w:rFonts w:ascii="Calibri" w:hAnsi="Calibri" w:cs="Calibri"/>
          <w:b/>
          <w:color w:val="888888"/>
          <w:sz w:val="24"/>
          <w:szCs w:val="24"/>
        </w:rPr>
      </w:pPr>
    </w:p>
    <w:p w14:paraId="2E946328" w14:textId="77777777" w:rsidR="00BA204B" w:rsidRPr="004E384A" w:rsidRDefault="00BA204B" w:rsidP="00F32A04">
      <w:pPr>
        <w:jc w:val="center"/>
        <w:rPr>
          <w:rFonts w:ascii="Calibri" w:hAnsi="Calibri" w:cs="Calibri"/>
          <w:b/>
          <w:color w:val="888888"/>
          <w:sz w:val="24"/>
          <w:szCs w:val="24"/>
        </w:rPr>
      </w:pPr>
    </w:p>
    <w:p w14:paraId="5AD65EDD" w14:textId="330C302D" w:rsidR="0024761D" w:rsidRPr="004E384A" w:rsidRDefault="002B5DE4" w:rsidP="002C4FA0">
      <w:pPr>
        <w:jc w:val="center"/>
        <w:rPr>
          <w:rFonts w:ascii="Calibri" w:hAnsi="Calibri" w:cs="Calibri"/>
          <w:b/>
          <w:color w:val="888888"/>
          <w:sz w:val="24"/>
          <w:szCs w:val="24"/>
          <w:lang w:val="en-GB"/>
        </w:rPr>
      </w:pPr>
      <w:r w:rsidRPr="004E384A">
        <w:rPr>
          <w:rFonts w:ascii="Calibri" w:hAnsi="Calibri" w:cs="Calibri"/>
          <w:b/>
          <w:noProof/>
          <w:color w:val="888888"/>
          <w:sz w:val="24"/>
          <w:szCs w:val="24"/>
          <w:lang w:val="en-GB"/>
        </w:rPr>
        <w:drawing>
          <wp:inline distT="0" distB="0" distL="0" distR="0" wp14:anchorId="6A429E8D" wp14:editId="0F6D12B0">
            <wp:extent cx="6858000" cy="3857625"/>
            <wp:effectExtent l="0" t="0" r="0" b="9525"/>
            <wp:docPr id="5520516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r w:rsidR="0024761D" w:rsidRPr="004E384A">
        <w:rPr>
          <w:rFonts w:ascii="Calibri" w:hAnsi="Calibri" w:cs="Calibri"/>
          <w:i/>
          <w:sz w:val="24"/>
          <w:szCs w:val="24"/>
        </w:rPr>
        <w:t>Figure 4: Precision-recall and ROC curves for all four models on course DDD, with area-under-curve values.</w:t>
      </w:r>
    </w:p>
    <w:p w14:paraId="07D42613" w14:textId="21AA76A5" w:rsidR="0024761D" w:rsidRPr="004E384A" w:rsidRDefault="00B1609F" w:rsidP="00020A89">
      <w:pPr>
        <w:spacing w:line="240" w:lineRule="auto"/>
        <w:jc w:val="center"/>
        <w:rPr>
          <w:rFonts w:ascii="Calibri" w:hAnsi="Calibri" w:cs="Calibri"/>
          <w:sz w:val="24"/>
          <w:szCs w:val="24"/>
          <w:lang w:val="en-GB"/>
        </w:rPr>
      </w:pPr>
      <w:r w:rsidRPr="004E384A">
        <w:rPr>
          <w:rFonts w:ascii="Calibri" w:hAnsi="Calibri" w:cs="Calibri"/>
          <w:noProof/>
          <w:sz w:val="24"/>
          <w:szCs w:val="24"/>
          <w:lang w:val="en-GB"/>
        </w:rPr>
        <w:drawing>
          <wp:inline distT="0" distB="0" distL="0" distR="0" wp14:anchorId="1C1BB4BD" wp14:editId="63CE5ED1">
            <wp:extent cx="6858000" cy="6604635"/>
            <wp:effectExtent l="0" t="0" r="0" b="5715"/>
            <wp:docPr id="13353276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8000" cy="6604635"/>
                    </a:xfrm>
                    <a:prstGeom prst="rect">
                      <a:avLst/>
                    </a:prstGeom>
                    <a:noFill/>
                    <a:ln>
                      <a:noFill/>
                    </a:ln>
                  </pic:spPr>
                </pic:pic>
              </a:graphicData>
            </a:graphic>
          </wp:inline>
        </w:drawing>
      </w:r>
      <w:r w:rsidR="0024761D" w:rsidRPr="004E384A">
        <w:rPr>
          <w:rFonts w:ascii="Calibri" w:hAnsi="Calibri" w:cs="Calibri"/>
          <w:i/>
          <w:sz w:val="24"/>
          <w:szCs w:val="24"/>
        </w:rPr>
        <w:t>Figure 5: Confusion matrices for the four models on course DDD.</w:t>
      </w:r>
    </w:p>
    <w:p w14:paraId="018D499C" w14:textId="77777777" w:rsidR="008E5FA1" w:rsidRPr="004E384A" w:rsidRDefault="008E5FA1" w:rsidP="008E5FA1">
      <w:pPr>
        <w:jc w:val="center"/>
        <w:rPr>
          <w:rFonts w:ascii="Calibri" w:hAnsi="Calibri" w:cs="Calibri"/>
          <w:sz w:val="24"/>
          <w:szCs w:val="24"/>
          <w:lang w:val="en-GB"/>
        </w:rPr>
      </w:pPr>
    </w:p>
    <w:p w14:paraId="70C54F49" w14:textId="77777777"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3.3 Reliability</w:t>
      </w:r>
    </w:p>
    <w:p w14:paraId="5C7FA00D" w14:textId="1A795C20" w:rsidR="0024761D" w:rsidRPr="004E384A" w:rsidRDefault="0024761D" w:rsidP="00F32A04">
      <w:pPr>
        <w:jc w:val="both"/>
        <w:rPr>
          <w:rFonts w:ascii="Calibri" w:hAnsi="Calibri" w:cs="Calibri"/>
          <w:sz w:val="24"/>
          <w:szCs w:val="24"/>
        </w:rPr>
      </w:pPr>
      <w:r w:rsidRPr="004E384A">
        <w:rPr>
          <w:rFonts w:ascii="Calibri" w:hAnsi="Calibri" w:cs="Calibri"/>
          <w:sz w:val="24"/>
          <w:szCs w:val="24"/>
        </w:rPr>
        <w:t>Cross-validation variance was small, supporting the reliability of these estimates. On DDD, cross-validated PR-AUC standard deviations were about ±0.00</w:t>
      </w:r>
      <w:r w:rsidR="00FC5C09" w:rsidRPr="004E384A">
        <w:rPr>
          <w:rFonts w:ascii="Calibri" w:hAnsi="Calibri" w:cs="Calibri"/>
          <w:sz w:val="24"/>
          <w:szCs w:val="24"/>
        </w:rPr>
        <w:t>8</w:t>
      </w:r>
      <w:r w:rsidRPr="004E384A">
        <w:rPr>
          <w:rFonts w:ascii="Calibri" w:hAnsi="Calibri" w:cs="Calibri"/>
          <w:sz w:val="24"/>
          <w:szCs w:val="24"/>
        </w:rPr>
        <w:t xml:space="preserve"> to ±0.01</w:t>
      </w:r>
      <w:r w:rsidR="00FC5C09" w:rsidRPr="004E384A">
        <w:rPr>
          <w:rFonts w:ascii="Calibri" w:hAnsi="Calibri" w:cs="Calibri"/>
          <w:sz w:val="24"/>
          <w:szCs w:val="24"/>
        </w:rPr>
        <w:t>4</w:t>
      </w:r>
      <w:r w:rsidRPr="004E384A">
        <w:rPr>
          <w:rFonts w:ascii="Calibri" w:hAnsi="Calibri" w:cs="Calibri"/>
          <w:sz w:val="24"/>
          <w:szCs w:val="24"/>
        </w:rPr>
        <w:t>, so the roughly 0.02 spread between models exceeds fold-to-fold noise and the ranking is meaningful. Held-out test scores were close to cross-validation means (for example</w:t>
      </w:r>
      <w:r w:rsidR="00DE6066" w:rsidRPr="004E384A">
        <w:rPr>
          <w:rFonts w:ascii="Calibri" w:hAnsi="Calibri" w:cs="Calibri"/>
          <w:sz w:val="24"/>
          <w:szCs w:val="24"/>
        </w:rPr>
        <w:t>,</w:t>
      </w:r>
      <w:r w:rsidRPr="004E384A">
        <w:rPr>
          <w:rFonts w:ascii="Calibri" w:hAnsi="Calibri" w:cs="Calibri"/>
          <w:sz w:val="24"/>
          <w:szCs w:val="24"/>
        </w:rPr>
        <w:t xml:space="preserve"> FFF </w:t>
      </w:r>
      <w:proofErr w:type="spellStart"/>
      <w:r w:rsidRPr="004E384A">
        <w:rPr>
          <w:rFonts w:ascii="Calibri" w:hAnsi="Calibri" w:cs="Calibri"/>
          <w:sz w:val="24"/>
          <w:szCs w:val="24"/>
        </w:rPr>
        <w:t>XGBoost</w:t>
      </w:r>
      <w:proofErr w:type="spellEnd"/>
      <w:r w:rsidRPr="004E384A">
        <w:rPr>
          <w:rFonts w:ascii="Calibri" w:hAnsi="Calibri" w:cs="Calibri"/>
          <w:sz w:val="24"/>
          <w:szCs w:val="24"/>
        </w:rPr>
        <w:t xml:space="preserve"> at 0.834 on both), indicating little overfitting.</w:t>
      </w:r>
    </w:p>
    <w:p w14:paraId="272BE85E" w14:textId="77777777"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3.4 Global drivers of risk</w:t>
      </w:r>
    </w:p>
    <w:p w14:paraId="5A7E293A" w14:textId="49DB08CB" w:rsidR="0024761D" w:rsidRPr="004E384A" w:rsidRDefault="0024761D" w:rsidP="00F32A04">
      <w:pPr>
        <w:jc w:val="both"/>
        <w:rPr>
          <w:rFonts w:ascii="Calibri" w:hAnsi="Calibri" w:cs="Calibri"/>
          <w:sz w:val="24"/>
          <w:szCs w:val="24"/>
        </w:rPr>
      </w:pPr>
      <w:r w:rsidRPr="004E384A">
        <w:rPr>
          <w:rFonts w:ascii="Calibri" w:hAnsi="Calibri" w:cs="Calibri"/>
          <w:sz w:val="24"/>
          <w:szCs w:val="24"/>
        </w:rPr>
        <w:t>SHAP rankings on DDD placed the first-assessment mark as clearly the strongest driver (mean absolute SHAP about 0.178), well ahead of a second tier of engagement and background features around 0.023 to 0.026, including active-day ratio, distinct sites, early-submission timing and lower prior education (Figure 6). The picture was similar across courses: on BBB</w:t>
      </w:r>
      <w:r w:rsidR="007D246C">
        <w:rPr>
          <w:rFonts w:ascii="Calibri" w:hAnsi="Calibri" w:cs="Calibri"/>
          <w:sz w:val="24"/>
          <w:szCs w:val="24"/>
        </w:rPr>
        <w:t>,</w:t>
      </w:r>
      <w:r w:rsidRPr="004E384A">
        <w:rPr>
          <w:rFonts w:ascii="Calibri" w:hAnsi="Calibri" w:cs="Calibri"/>
          <w:sz w:val="24"/>
          <w:szCs w:val="24"/>
        </w:rPr>
        <w:t xml:space="preserve"> the not-submitted indicator led</w:t>
      </w:r>
      <w:r w:rsidR="007D246C">
        <w:rPr>
          <w:rFonts w:ascii="Calibri" w:hAnsi="Calibri" w:cs="Calibri"/>
          <w:sz w:val="24"/>
          <w:szCs w:val="24"/>
        </w:rPr>
        <w:t>;</w:t>
      </w:r>
      <w:r w:rsidRPr="004E384A">
        <w:rPr>
          <w:rFonts w:ascii="Calibri" w:hAnsi="Calibri" w:cs="Calibri"/>
          <w:sz w:val="24"/>
          <w:szCs w:val="24"/>
        </w:rPr>
        <w:t xml:space="preserve"> on EEE and FFF</w:t>
      </w:r>
      <w:r w:rsidR="007D246C">
        <w:rPr>
          <w:rFonts w:ascii="Calibri" w:hAnsi="Calibri" w:cs="Calibri"/>
          <w:sz w:val="24"/>
          <w:szCs w:val="24"/>
        </w:rPr>
        <w:t>,</w:t>
      </w:r>
      <w:r w:rsidRPr="004E384A">
        <w:rPr>
          <w:rFonts w:ascii="Calibri" w:hAnsi="Calibri" w:cs="Calibri"/>
          <w:sz w:val="24"/>
          <w:szCs w:val="24"/>
        </w:rPr>
        <w:t xml:space="preserve"> the </w:t>
      </w:r>
      <w:r w:rsidR="004A63BC" w:rsidRPr="004E384A">
        <w:rPr>
          <w:rFonts w:ascii="Calibri" w:hAnsi="Calibri" w:cs="Calibri"/>
          <w:sz w:val="24"/>
          <w:szCs w:val="24"/>
        </w:rPr>
        <w:t>first-assessment</w:t>
      </w:r>
      <w:r w:rsidR="0027667E">
        <w:rPr>
          <w:rFonts w:ascii="Calibri" w:hAnsi="Calibri" w:cs="Calibri"/>
          <w:sz w:val="24"/>
          <w:szCs w:val="24"/>
        </w:rPr>
        <w:t xml:space="preserve"> mark</w:t>
      </w:r>
      <w:r w:rsidRPr="004E384A">
        <w:rPr>
          <w:rFonts w:ascii="Calibri" w:hAnsi="Calibri" w:cs="Calibri"/>
          <w:sz w:val="24"/>
          <w:szCs w:val="24"/>
        </w:rPr>
        <w:t>. The ranking is a hierarchy rather than a single dominant feature, with several engagement measures carrying substantial weight beneath the first-assessment signal, which the ablation in Section 3.6 quantifies.</w:t>
      </w:r>
    </w:p>
    <w:p w14:paraId="6CD7CF0E" w14:textId="167DD936" w:rsidR="0024761D" w:rsidRPr="004E384A" w:rsidRDefault="00F84425" w:rsidP="002C4FA0">
      <w:pPr>
        <w:spacing w:line="240" w:lineRule="auto"/>
        <w:jc w:val="center"/>
        <w:rPr>
          <w:rFonts w:ascii="Calibri" w:hAnsi="Calibri" w:cs="Calibri"/>
          <w:i/>
          <w:sz w:val="24"/>
          <w:szCs w:val="24"/>
        </w:rPr>
      </w:pPr>
      <w:r w:rsidRPr="004E384A">
        <w:rPr>
          <w:rFonts w:ascii="Calibri" w:hAnsi="Calibri" w:cs="Calibri"/>
          <w:noProof/>
          <w:sz w:val="24"/>
          <w:szCs w:val="24"/>
          <w:lang w:val="en-GB"/>
        </w:rPr>
        <w:drawing>
          <wp:inline distT="0" distB="0" distL="0" distR="0" wp14:anchorId="5474DBF5" wp14:editId="7D004ACE">
            <wp:extent cx="6858000" cy="4423410"/>
            <wp:effectExtent l="0" t="0" r="0" b="0"/>
            <wp:docPr id="6262074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8000" cy="4423410"/>
                    </a:xfrm>
                    <a:prstGeom prst="rect">
                      <a:avLst/>
                    </a:prstGeom>
                    <a:noFill/>
                    <a:ln>
                      <a:noFill/>
                    </a:ln>
                  </pic:spPr>
                </pic:pic>
              </a:graphicData>
            </a:graphic>
          </wp:inline>
        </w:drawing>
      </w:r>
      <w:r w:rsidR="0024761D" w:rsidRPr="004E384A">
        <w:rPr>
          <w:rFonts w:ascii="Calibri" w:hAnsi="Calibri" w:cs="Calibri"/>
          <w:i/>
          <w:sz w:val="24"/>
          <w:szCs w:val="24"/>
        </w:rPr>
        <w:t xml:space="preserve">Figure 6: Global SHAP feature importance for the best model on course DDD, showing the </w:t>
      </w:r>
      <w:proofErr w:type="spellStart"/>
      <w:r w:rsidR="0024761D" w:rsidRPr="004E384A">
        <w:rPr>
          <w:rFonts w:ascii="Calibri" w:hAnsi="Calibri" w:cs="Calibri"/>
          <w:i/>
          <w:sz w:val="24"/>
          <w:szCs w:val="24"/>
        </w:rPr>
        <w:t>beeswarm</w:t>
      </w:r>
      <w:proofErr w:type="spellEnd"/>
      <w:r w:rsidR="0024761D" w:rsidRPr="004E384A">
        <w:rPr>
          <w:rFonts w:ascii="Calibri" w:hAnsi="Calibri" w:cs="Calibri"/>
          <w:i/>
          <w:sz w:val="24"/>
          <w:szCs w:val="24"/>
        </w:rPr>
        <w:t xml:space="preserve"> summary (left) and mean absolute SHAP bar chart (right).</w:t>
      </w:r>
    </w:p>
    <w:p w14:paraId="79A54645" w14:textId="77777777" w:rsidR="00020A89" w:rsidRPr="004E384A" w:rsidRDefault="00020A89" w:rsidP="002C4FA0">
      <w:pPr>
        <w:spacing w:line="240" w:lineRule="auto"/>
        <w:jc w:val="center"/>
        <w:rPr>
          <w:rFonts w:ascii="Calibri" w:hAnsi="Calibri" w:cs="Calibri"/>
          <w:sz w:val="24"/>
          <w:szCs w:val="24"/>
          <w:lang w:val="en-GB"/>
        </w:rPr>
      </w:pPr>
    </w:p>
    <w:p w14:paraId="2E2F4399" w14:textId="77777777"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3.5 Individual explanations</w:t>
      </w:r>
    </w:p>
    <w:p w14:paraId="664113A1" w14:textId="5AFF2ABB" w:rsidR="0024761D" w:rsidRPr="004E384A" w:rsidRDefault="0024761D" w:rsidP="00F32A04">
      <w:pPr>
        <w:jc w:val="both"/>
        <w:rPr>
          <w:rFonts w:ascii="Calibri" w:hAnsi="Calibri" w:cs="Calibri"/>
          <w:sz w:val="24"/>
          <w:szCs w:val="24"/>
        </w:rPr>
      </w:pPr>
      <w:r w:rsidRPr="004E384A">
        <w:rPr>
          <w:rFonts w:ascii="Calibri" w:hAnsi="Calibri" w:cs="Calibri"/>
          <w:sz w:val="24"/>
          <w:szCs w:val="24"/>
        </w:rPr>
        <w:t>Individual SHAP waterfall plots made the model's reasoning legible for a single student (Figure</w:t>
      </w:r>
      <w:r w:rsidR="00526A83" w:rsidRPr="004E384A">
        <w:rPr>
          <w:rFonts w:ascii="Calibri" w:hAnsi="Calibri" w:cs="Calibri"/>
          <w:sz w:val="24"/>
          <w:szCs w:val="24"/>
        </w:rPr>
        <w:t>s</w:t>
      </w:r>
      <w:r w:rsidRPr="004E384A">
        <w:rPr>
          <w:rFonts w:ascii="Calibri" w:hAnsi="Calibri" w:cs="Calibri"/>
          <w:sz w:val="24"/>
          <w:szCs w:val="24"/>
        </w:rPr>
        <w:t xml:space="preserve"> 7</w:t>
      </w:r>
      <w:r w:rsidR="00B31630">
        <w:rPr>
          <w:rFonts w:ascii="Calibri" w:hAnsi="Calibri" w:cs="Calibri"/>
          <w:sz w:val="24"/>
          <w:szCs w:val="24"/>
        </w:rPr>
        <w:t xml:space="preserve"> a</w:t>
      </w:r>
      <w:r w:rsidR="006213A9">
        <w:rPr>
          <w:rFonts w:ascii="Calibri" w:hAnsi="Calibri" w:cs="Calibri"/>
          <w:sz w:val="24"/>
          <w:szCs w:val="24"/>
        </w:rPr>
        <w:t>nd</w:t>
      </w:r>
      <w:r w:rsidR="00452162" w:rsidRPr="004E384A">
        <w:rPr>
          <w:rFonts w:ascii="Calibri" w:hAnsi="Calibri" w:cs="Calibri"/>
          <w:sz w:val="24"/>
          <w:szCs w:val="24"/>
        </w:rPr>
        <w:t xml:space="preserve"> 8</w:t>
      </w:r>
      <w:r w:rsidRPr="004E384A">
        <w:rPr>
          <w:rFonts w:ascii="Calibri" w:hAnsi="Calibri" w:cs="Calibri"/>
          <w:sz w:val="24"/>
          <w:szCs w:val="24"/>
        </w:rPr>
        <w:t xml:space="preserve">). For a correctly identified at-risk student, a low or missing first-assessment mark and weak early engagement combined to push predicted risk well above the base rate. For a false positive, otherwise-adverse features outweighed genuine engagement. For a false negative, strong early signals masked an eventual failure. This case-level transparency lets a tutor act on a flag and </w:t>
      </w:r>
      <w:proofErr w:type="spellStart"/>
      <w:r w:rsidRPr="004E384A">
        <w:rPr>
          <w:rFonts w:ascii="Calibri" w:hAnsi="Calibri" w:cs="Calibri"/>
          <w:sz w:val="24"/>
          <w:szCs w:val="24"/>
        </w:rPr>
        <w:t>recognise</w:t>
      </w:r>
      <w:proofErr w:type="spellEnd"/>
      <w:r w:rsidRPr="004E384A">
        <w:rPr>
          <w:rFonts w:ascii="Calibri" w:hAnsi="Calibri" w:cs="Calibri"/>
          <w:sz w:val="24"/>
          <w:szCs w:val="24"/>
        </w:rPr>
        <w:t xml:space="preserve"> when the model is likely wrong.</w:t>
      </w:r>
    </w:p>
    <w:p w14:paraId="0C91A5DB" w14:textId="77777777" w:rsidR="007E3DBE" w:rsidRPr="004E384A" w:rsidRDefault="007E3DBE" w:rsidP="00F32A04">
      <w:pPr>
        <w:jc w:val="both"/>
        <w:rPr>
          <w:rFonts w:ascii="Calibri" w:hAnsi="Calibri" w:cs="Calibri"/>
          <w:sz w:val="24"/>
          <w:szCs w:val="24"/>
        </w:rPr>
      </w:pPr>
    </w:p>
    <w:p w14:paraId="1A4ED0E2" w14:textId="31913882" w:rsidR="00501E2D" w:rsidRPr="004E384A" w:rsidRDefault="007E3DBE" w:rsidP="002C4FA0">
      <w:pPr>
        <w:spacing w:line="240" w:lineRule="auto"/>
        <w:jc w:val="center"/>
        <w:rPr>
          <w:rFonts w:ascii="Calibri" w:hAnsi="Calibri" w:cs="Calibri"/>
          <w:i/>
          <w:sz w:val="24"/>
          <w:szCs w:val="24"/>
        </w:rPr>
      </w:pPr>
      <w:r w:rsidRPr="004E384A">
        <w:rPr>
          <w:rFonts w:ascii="Calibri" w:hAnsi="Calibri" w:cs="Calibri"/>
          <w:noProof/>
          <w:sz w:val="24"/>
          <w:szCs w:val="24"/>
          <w:lang w:val="en-GB"/>
        </w:rPr>
        <w:drawing>
          <wp:inline distT="0" distB="0" distL="0" distR="0" wp14:anchorId="558CBA34" wp14:editId="66DC266E">
            <wp:extent cx="6858000" cy="3857625"/>
            <wp:effectExtent l="0" t="0" r="0" b="9525"/>
            <wp:docPr id="326851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r w:rsidR="00637E62" w:rsidRPr="004E384A">
        <w:rPr>
          <w:rFonts w:ascii="Calibri" w:hAnsi="Calibri" w:cs="Calibri"/>
          <w:i/>
          <w:sz w:val="24"/>
          <w:szCs w:val="24"/>
        </w:rPr>
        <w:t>Figure 7: SHAP waterfall explanations for</w:t>
      </w:r>
      <w:r w:rsidR="00FE42AA" w:rsidRPr="004E384A">
        <w:rPr>
          <w:rFonts w:ascii="Calibri" w:hAnsi="Calibri" w:cs="Calibri"/>
          <w:i/>
          <w:sz w:val="24"/>
          <w:szCs w:val="24"/>
        </w:rPr>
        <w:t xml:space="preserve"> a</w:t>
      </w:r>
      <w:r w:rsidR="00637E62" w:rsidRPr="004E384A">
        <w:rPr>
          <w:rFonts w:ascii="Calibri" w:hAnsi="Calibri" w:cs="Calibri"/>
          <w:i/>
          <w:sz w:val="24"/>
          <w:szCs w:val="24"/>
        </w:rPr>
        <w:t xml:space="preserve"> representative student on course DDD: a true positive.</w:t>
      </w:r>
    </w:p>
    <w:p w14:paraId="29E97180" w14:textId="77777777" w:rsidR="002C4FA0" w:rsidRPr="004E384A" w:rsidRDefault="002C4FA0" w:rsidP="002C4FA0">
      <w:pPr>
        <w:spacing w:line="240" w:lineRule="auto"/>
        <w:jc w:val="center"/>
        <w:rPr>
          <w:rFonts w:ascii="Calibri" w:hAnsi="Calibri" w:cs="Calibri"/>
          <w:i/>
        </w:rPr>
      </w:pPr>
    </w:p>
    <w:p w14:paraId="657A30C3" w14:textId="6AB9050B" w:rsidR="00DA65C7" w:rsidRPr="004E384A" w:rsidRDefault="00A404EF" w:rsidP="002C4FA0">
      <w:pPr>
        <w:spacing w:line="240" w:lineRule="auto"/>
        <w:jc w:val="center"/>
        <w:rPr>
          <w:rFonts w:ascii="Calibri" w:hAnsi="Calibri" w:cs="Calibri"/>
          <w:lang w:val="en-GB"/>
        </w:rPr>
      </w:pPr>
      <w:r w:rsidRPr="004E384A">
        <w:rPr>
          <w:rFonts w:ascii="Calibri" w:hAnsi="Calibri" w:cs="Calibri"/>
          <w:noProof/>
          <w:lang w:val="en-GB"/>
        </w:rPr>
        <w:drawing>
          <wp:inline distT="0" distB="0" distL="0" distR="0" wp14:anchorId="21EEF39A" wp14:editId="0759DC77">
            <wp:extent cx="6858000" cy="3857625"/>
            <wp:effectExtent l="0" t="0" r="0" b="9525"/>
            <wp:docPr id="16451889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699AF987" w14:textId="55D3319D" w:rsidR="0024761D" w:rsidRPr="00574A1E" w:rsidRDefault="00C5792F" w:rsidP="00574A1E">
      <w:pPr>
        <w:spacing w:line="240" w:lineRule="auto"/>
        <w:jc w:val="center"/>
        <w:rPr>
          <w:rFonts w:ascii="Calibri" w:hAnsi="Calibri" w:cs="Calibri"/>
          <w:sz w:val="24"/>
          <w:szCs w:val="24"/>
        </w:rPr>
      </w:pPr>
      <w:r w:rsidRPr="004E384A">
        <w:rPr>
          <w:rFonts w:ascii="Calibri" w:hAnsi="Calibri" w:cs="Calibri"/>
          <w:i/>
          <w:sz w:val="24"/>
          <w:szCs w:val="24"/>
        </w:rPr>
        <w:t>Figure 8: SHAP waterfall explanations for representative students on course DDD: a false positive</w:t>
      </w:r>
      <w:r w:rsidR="009258E1">
        <w:rPr>
          <w:rFonts w:ascii="Calibri" w:hAnsi="Calibri" w:cs="Calibri"/>
          <w:i/>
          <w:sz w:val="24"/>
          <w:szCs w:val="24"/>
        </w:rPr>
        <w:t xml:space="preserve"> (left)</w:t>
      </w:r>
      <w:r w:rsidRPr="004E384A">
        <w:rPr>
          <w:rFonts w:ascii="Calibri" w:hAnsi="Calibri" w:cs="Calibri"/>
          <w:i/>
          <w:sz w:val="24"/>
          <w:szCs w:val="24"/>
        </w:rPr>
        <w:t xml:space="preserve"> and a false negative</w:t>
      </w:r>
      <w:r w:rsidR="009258E1">
        <w:rPr>
          <w:rFonts w:ascii="Calibri" w:hAnsi="Calibri" w:cs="Calibri"/>
          <w:i/>
          <w:sz w:val="24"/>
          <w:szCs w:val="24"/>
        </w:rPr>
        <w:t xml:space="preserve"> (right)</w:t>
      </w:r>
      <w:r w:rsidRPr="004E384A">
        <w:rPr>
          <w:rFonts w:ascii="Calibri" w:hAnsi="Calibri" w:cs="Calibri"/>
          <w:i/>
          <w:sz w:val="24"/>
          <w:szCs w:val="24"/>
        </w:rPr>
        <w:t>.</w:t>
      </w:r>
    </w:p>
    <w:p w14:paraId="7D4E1682" w14:textId="77777777"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3.6 Cross-course generalisation and ablation</w:t>
      </w:r>
    </w:p>
    <w:p w14:paraId="37C273BC" w14:textId="07A7B2D4" w:rsidR="0024761D" w:rsidRPr="004E384A" w:rsidRDefault="0024761D" w:rsidP="00F32A04">
      <w:pPr>
        <w:jc w:val="both"/>
        <w:rPr>
          <w:rFonts w:ascii="Calibri" w:hAnsi="Calibri" w:cs="Calibri"/>
          <w:sz w:val="24"/>
          <w:szCs w:val="24"/>
        </w:rPr>
      </w:pPr>
      <w:r w:rsidRPr="004E384A">
        <w:rPr>
          <w:rFonts w:ascii="Calibri" w:hAnsi="Calibri" w:cs="Calibri"/>
          <w:sz w:val="24"/>
          <w:szCs w:val="24"/>
        </w:rPr>
        <w:t xml:space="preserve">Cross-course transfer was partial (Figure </w:t>
      </w:r>
      <w:r w:rsidR="00137C18" w:rsidRPr="004E384A">
        <w:rPr>
          <w:rFonts w:ascii="Calibri" w:hAnsi="Calibri" w:cs="Calibri"/>
          <w:sz w:val="24"/>
          <w:szCs w:val="24"/>
        </w:rPr>
        <w:t>9</w:t>
      </w:r>
      <w:r w:rsidRPr="004E384A">
        <w:rPr>
          <w:rFonts w:ascii="Calibri" w:hAnsi="Calibri" w:cs="Calibri"/>
          <w:sz w:val="24"/>
          <w:szCs w:val="24"/>
        </w:rPr>
        <w:t xml:space="preserve">). </w:t>
      </w:r>
      <w:r w:rsidR="005D3323" w:rsidRPr="005D3323">
        <w:rPr>
          <w:rFonts w:ascii="Calibri" w:hAnsi="Calibri" w:cs="Calibri"/>
          <w:sz w:val="24"/>
          <w:szCs w:val="24"/>
        </w:rPr>
        <w:t xml:space="preserve">Transferring </w:t>
      </w:r>
      <w:r w:rsidR="005A4298">
        <w:rPr>
          <w:rFonts w:ascii="Calibri" w:hAnsi="Calibri" w:cs="Calibri"/>
          <w:sz w:val="24"/>
          <w:szCs w:val="24"/>
        </w:rPr>
        <w:t xml:space="preserve">a </w:t>
      </w:r>
      <w:r w:rsidR="005D3323" w:rsidRPr="005D3323">
        <w:rPr>
          <w:rFonts w:ascii="Calibri" w:hAnsi="Calibri" w:cs="Calibri"/>
          <w:sz w:val="24"/>
          <w:szCs w:val="24"/>
        </w:rPr>
        <w:t>model</w:t>
      </w:r>
      <w:r w:rsidR="00BE1CE0">
        <w:rPr>
          <w:rFonts w:ascii="Calibri" w:hAnsi="Calibri" w:cs="Calibri"/>
          <w:sz w:val="24"/>
          <w:szCs w:val="24"/>
        </w:rPr>
        <w:t xml:space="preserve"> (</w:t>
      </w:r>
      <w:proofErr w:type="spellStart"/>
      <w:r w:rsidR="00BE1CE0">
        <w:rPr>
          <w:rFonts w:ascii="Calibri" w:hAnsi="Calibri" w:cs="Calibri"/>
          <w:sz w:val="24"/>
          <w:szCs w:val="24"/>
        </w:rPr>
        <w:t>XGBoost</w:t>
      </w:r>
      <w:proofErr w:type="spellEnd"/>
      <w:r w:rsidR="00BE1CE0">
        <w:rPr>
          <w:rFonts w:ascii="Calibri" w:hAnsi="Calibri" w:cs="Calibri"/>
          <w:sz w:val="24"/>
          <w:szCs w:val="24"/>
        </w:rPr>
        <w:t>)</w:t>
      </w:r>
      <w:r w:rsidR="005D3323" w:rsidRPr="005D3323">
        <w:rPr>
          <w:rFonts w:ascii="Calibri" w:hAnsi="Calibri" w:cs="Calibri"/>
          <w:sz w:val="24"/>
          <w:szCs w:val="24"/>
        </w:rPr>
        <w:t xml:space="preserve"> between courses resulted in PR-AUC </w:t>
      </w:r>
      <w:r w:rsidR="00566D1A">
        <w:rPr>
          <w:rFonts w:ascii="Calibri" w:hAnsi="Calibri" w:cs="Calibri"/>
          <w:sz w:val="24"/>
          <w:szCs w:val="24"/>
        </w:rPr>
        <w:t>falling to between</w:t>
      </w:r>
      <w:r w:rsidR="005D3323" w:rsidRPr="005D3323">
        <w:rPr>
          <w:rFonts w:ascii="Calibri" w:hAnsi="Calibri" w:cs="Calibri"/>
          <w:sz w:val="24"/>
          <w:szCs w:val="24"/>
        </w:rPr>
        <w:t xml:space="preserve"> 0.72 and 0.87</w:t>
      </w:r>
      <w:r w:rsidRPr="004E384A">
        <w:rPr>
          <w:rFonts w:ascii="Calibri" w:hAnsi="Calibri" w:cs="Calibri"/>
          <w:sz w:val="24"/>
          <w:szCs w:val="24"/>
        </w:rPr>
        <w:t>. Transfer into DDD, EEE and FFF was stronger (0.81-0.87) than into BBB (0.72-0.78), so a single shared model is feasible</w:t>
      </w:r>
      <w:r w:rsidR="00727EE0" w:rsidRPr="004E384A">
        <w:rPr>
          <w:rFonts w:ascii="Calibri" w:hAnsi="Calibri" w:cs="Calibri"/>
          <w:sz w:val="24"/>
          <w:szCs w:val="24"/>
        </w:rPr>
        <w:t>,</w:t>
      </w:r>
      <w:r w:rsidRPr="004E384A">
        <w:rPr>
          <w:rFonts w:ascii="Calibri" w:hAnsi="Calibri" w:cs="Calibri"/>
          <w:sz w:val="24"/>
          <w:szCs w:val="24"/>
        </w:rPr>
        <w:t xml:space="preserve"> but course-specific calibration is still needed. The SHAP consistency check pointed the same way: four features</w:t>
      </w:r>
      <w:r w:rsidR="00C81649">
        <w:rPr>
          <w:rFonts w:ascii="Calibri" w:hAnsi="Calibri" w:cs="Calibri"/>
          <w:sz w:val="24"/>
          <w:szCs w:val="24"/>
        </w:rPr>
        <w:t xml:space="preserve"> (</w:t>
      </w:r>
      <w:r w:rsidRPr="004E384A">
        <w:rPr>
          <w:rFonts w:ascii="Calibri" w:hAnsi="Calibri" w:cs="Calibri"/>
          <w:sz w:val="24"/>
          <w:szCs w:val="24"/>
        </w:rPr>
        <w:t>early-submission timing, the first-assessment mark, active-day ratio and total clicks</w:t>
      </w:r>
      <w:r w:rsidR="00D160ED">
        <w:rPr>
          <w:rFonts w:ascii="Calibri" w:hAnsi="Calibri" w:cs="Calibri"/>
          <w:sz w:val="24"/>
          <w:szCs w:val="24"/>
        </w:rPr>
        <w:t>)</w:t>
      </w:r>
      <w:r w:rsidRPr="004E384A">
        <w:rPr>
          <w:rFonts w:ascii="Calibri" w:hAnsi="Calibri" w:cs="Calibri"/>
          <w:sz w:val="24"/>
          <w:szCs w:val="24"/>
        </w:rPr>
        <w:t xml:space="preserve"> appeared in the top ten of all four courses, with several more recurring in two or three (Table </w:t>
      </w:r>
      <w:r w:rsidR="00C17268" w:rsidRPr="004E384A">
        <w:rPr>
          <w:rFonts w:ascii="Calibri" w:hAnsi="Calibri" w:cs="Calibri"/>
          <w:sz w:val="24"/>
          <w:szCs w:val="24"/>
        </w:rPr>
        <w:t>4</w:t>
      </w:r>
      <w:r w:rsidRPr="004E384A">
        <w:rPr>
          <w:rFonts w:ascii="Calibri" w:hAnsi="Calibri" w:cs="Calibri"/>
          <w:sz w:val="24"/>
          <w:szCs w:val="24"/>
        </w:rPr>
        <w:t>), indicating a stable hierarchy of drivers even where absolute performance varies.</w:t>
      </w:r>
    </w:p>
    <w:p w14:paraId="04321ECD" w14:textId="5AAB1D89" w:rsidR="00A66090" w:rsidRPr="004E384A" w:rsidRDefault="0024761D" w:rsidP="002C4FA0">
      <w:pPr>
        <w:spacing w:after="160" w:line="240" w:lineRule="auto"/>
        <w:jc w:val="center"/>
        <w:rPr>
          <w:rFonts w:ascii="Calibri" w:hAnsi="Calibri" w:cs="Calibri"/>
          <w:sz w:val="24"/>
          <w:szCs w:val="24"/>
        </w:rPr>
      </w:pPr>
      <w:r w:rsidRPr="004E384A">
        <w:rPr>
          <w:rFonts w:ascii="Calibri" w:hAnsi="Calibri" w:cs="Calibri"/>
          <w:i/>
          <w:sz w:val="24"/>
          <w:szCs w:val="24"/>
        </w:rPr>
        <w:t xml:space="preserve">Table </w:t>
      </w:r>
      <w:r w:rsidR="00C17268" w:rsidRPr="004E384A">
        <w:rPr>
          <w:rFonts w:ascii="Calibri" w:hAnsi="Calibri" w:cs="Calibri"/>
          <w:i/>
          <w:sz w:val="24"/>
          <w:szCs w:val="24"/>
        </w:rPr>
        <w:t>4</w:t>
      </w:r>
      <w:r w:rsidRPr="004E384A">
        <w:rPr>
          <w:rFonts w:ascii="Calibri" w:hAnsi="Calibri" w:cs="Calibri"/>
          <w:i/>
          <w:sz w:val="24"/>
          <w:szCs w:val="24"/>
        </w:rPr>
        <w:t>: Cross-course SHAP consistency: number of the four courses placing each feature in its top ten by mean absolute SHAP (features appearing in at least two courses shown).</w:t>
      </w:r>
    </w:p>
    <w:tbl>
      <w:tblPr>
        <w:tblStyle w:val="GridTable4"/>
        <w:tblW w:w="0" w:type="auto"/>
        <w:jc w:val="center"/>
        <w:tblLook w:val="04A0" w:firstRow="1" w:lastRow="0" w:firstColumn="1" w:lastColumn="0" w:noHBand="0" w:noVBand="1"/>
      </w:tblPr>
      <w:tblGrid>
        <w:gridCol w:w="4315"/>
        <w:gridCol w:w="4315"/>
      </w:tblGrid>
      <w:tr w:rsidR="004F02F3" w:rsidRPr="004E384A" w14:paraId="4FC6C0C8" w14:textId="77777777" w:rsidTr="008553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7072E04D" w14:textId="17F74349" w:rsidR="004F02F3" w:rsidRPr="004E384A" w:rsidRDefault="004F02F3" w:rsidP="00F32A04">
            <w:pPr>
              <w:rPr>
                <w:rFonts w:ascii="Calibri" w:hAnsi="Calibri" w:cs="Calibri"/>
                <w:b w:val="0"/>
                <w:color w:val="888888"/>
                <w:sz w:val="24"/>
                <w:szCs w:val="24"/>
              </w:rPr>
            </w:pPr>
            <w:r w:rsidRPr="004E384A">
              <w:rPr>
                <w:rFonts w:ascii="Calibri" w:hAnsi="Calibri" w:cs="Calibri"/>
                <w:sz w:val="24"/>
                <w:szCs w:val="24"/>
              </w:rPr>
              <w:t>Feature</w:t>
            </w:r>
          </w:p>
        </w:tc>
        <w:tc>
          <w:tcPr>
            <w:tcW w:w="4315" w:type="dxa"/>
          </w:tcPr>
          <w:p w14:paraId="0213E1B6" w14:textId="05382419" w:rsidR="004F02F3" w:rsidRPr="004E384A" w:rsidRDefault="004F02F3" w:rsidP="00F32A04">
            <w:pPr>
              <w:cnfStyle w:val="100000000000" w:firstRow="1" w:lastRow="0" w:firstColumn="0" w:lastColumn="0" w:oddVBand="0" w:evenVBand="0" w:oddHBand="0" w:evenHBand="0" w:firstRowFirstColumn="0" w:firstRowLastColumn="0" w:lastRowFirstColumn="0" w:lastRowLastColumn="0"/>
              <w:rPr>
                <w:rFonts w:ascii="Calibri" w:hAnsi="Calibri" w:cs="Calibri"/>
                <w:b w:val="0"/>
                <w:color w:val="888888"/>
                <w:sz w:val="24"/>
                <w:szCs w:val="24"/>
              </w:rPr>
            </w:pPr>
            <w:r w:rsidRPr="004E384A">
              <w:rPr>
                <w:rFonts w:ascii="Calibri" w:hAnsi="Calibri" w:cs="Calibri"/>
                <w:sz w:val="24"/>
                <w:szCs w:val="24"/>
              </w:rPr>
              <w:t>Courses with feature</w:t>
            </w:r>
            <w:r w:rsidR="00957504">
              <w:rPr>
                <w:rFonts w:ascii="Calibri" w:hAnsi="Calibri" w:cs="Calibri"/>
                <w:sz w:val="24"/>
                <w:szCs w:val="24"/>
              </w:rPr>
              <w:t>s</w:t>
            </w:r>
            <w:r w:rsidRPr="004E384A">
              <w:rPr>
                <w:rFonts w:ascii="Calibri" w:hAnsi="Calibri" w:cs="Calibri"/>
                <w:sz w:val="24"/>
                <w:szCs w:val="24"/>
              </w:rPr>
              <w:t xml:space="preserve"> in top 10</w:t>
            </w:r>
          </w:p>
        </w:tc>
      </w:tr>
      <w:tr w:rsidR="004F02F3" w:rsidRPr="004E384A" w14:paraId="06FAA072" w14:textId="77777777" w:rsidTr="008553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16DEA54F" w14:textId="4F341EB4" w:rsidR="004F02F3" w:rsidRPr="004E384A" w:rsidRDefault="004F02F3" w:rsidP="00F32A04">
            <w:pPr>
              <w:rPr>
                <w:rFonts w:ascii="Calibri" w:hAnsi="Calibri" w:cs="Calibri"/>
                <w:b w:val="0"/>
                <w:color w:val="888888"/>
                <w:sz w:val="24"/>
                <w:szCs w:val="24"/>
              </w:rPr>
            </w:pPr>
            <w:r w:rsidRPr="004E384A">
              <w:rPr>
                <w:rFonts w:ascii="Calibri" w:hAnsi="Calibri" w:cs="Calibri"/>
                <w:sz w:val="24"/>
                <w:szCs w:val="24"/>
              </w:rPr>
              <w:t>a1_days_early</w:t>
            </w:r>
          </w:p>
        </w:tc>
        <w:tc>
          <w:tcPr>
            <w:tcW w:w="4315" w:type="dxa"/>
          </w:tcPr>
          <w:p w14:paraId="76787A59" w14:textId="1D8AD1CF" w:rsidR="004F02F3" w:rsidRPr="004E384A" w:rsidRDefault="004F02F3"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4</w:t>
            </w:r>
          </w:p>
        </w:tc>
      </w:tr>
      <w:tr w:rsidR="004F02F3" w:rsidRPr="004E384A" w14:paraId="2BBD2245" w14:textId="77777777" w:rsidTr="00855347">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57E9EF7B" w14:textId="719FB3AF" w:rsidR="004F02F3" w:rsidRPr="004E384A" w:rsidRDefault="004F02F3" w:rsidP="00F32A04">
            <w:pPr>
              <w:rPr>
                <w:rFonts w:ascii="Calibri" w:hAnsi="Calibri" w:cs="Calibri"/>
                <w:b w:val="0"/>
                <w:color w:val="888888"/>
                <w:sz w:val="24"/>
                <w:szCs w:val="24"/>
              </w:rPr>
            </w:pPr>
            <w:r w:rsidRPr="004E384A">
              <w:rPr>
                <w:rFonts w:ascii="Calibri" w:hAnsi="Calibri" w:cs="Calibri"/>
                <w:sz w:val="24"/>
                <w:szCs w:val="24"/>
              </w:rPr>
              <w:t>a1_score</w:t>
            </w:r>
          </w:p>
        </w:tc>
        <w:tc>
          <w:tcPr>
            <w:tcW w:w="4315" w:type="dxa"/>
          </w:tcPr>
          <w:p w14:paraId="4495391F" w14:textId="16BD3757" w:rsidR="004F02F3" w:rsidRPr="004E384A" w:rsidRDefault="004F02F3"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4</w:t>
            </w:r>
          </w:p>
        </w:tc>
      </w:tr>
      <w:tr w:rsidR="004F02F3" w:rsidRPr="004E384A" w14:paraId="1A0EFFDA" w14:textId="77777777" w:rsidTr="008553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11D879E6" w14:textId="7400B455" w:rsidR="004F02F3" w:rsidRPr="004E384A" w:rsidRDefault="004F02F3" w:rsidP="00F32A04">
            <w:pPr>
              <w:rPr>
                <w:rFonts w:ascii="Calibri" w:hAnsi="Calibri" w:cs="Calibri"/>
                <w:b w:val="0"/>
                <w:color w:val="888888"/>
                <w:sz w:val="24"/>
                <w:szCs w:val="24"/>
              </w:rPr>
            </w:pPr>
            <w:proofErr w:type="spellStart"/>
            <w:r w:rsidRPr="004E384A">
              <w:rPr>
                <w:rFonts w:ascii="Calibri" w:hAnsi="Calibri" w:cs="Calibri"/>
                <w:sz w:val="24"/>
                <w:szCs w:val="24"/>
              </w:rPr>
              <w:t>vle_active_day_ratio</w:t>
            </w:r>
            <w:proofErr w:type="spellEnd"/>
          </w:p>
        </w:tc>
        <w:tc>
          <w:tcPr>
            <w:tcW w:w="4315" w:type="dxa"/>
          </w:tcPr>
          <w:p w14:paraId="38C93550" w14:textId="5A1315C4" w:rsidR="004F02F3" w:rsidRPr="004E384A" w:rsidRDefault="004F02F3"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4</w:t>
            </w:r>
          </w:p>
        </w:tc>
      </w:tr>
      <w:tr w:rsidR="004F02F3" w:rsidRPr="004E384A" w14:paraId="07D99A07" w14:textId="77777777" w:rsidTr="00855347">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4C7A141A" w14:textId="2936E7D5" w:rsidR="004F02F3" w:rsidRPr="004E384A" w:rsidRDefault="004F02F3" w:rsidP="00F32A04">
            <w:pPr>
              <w:rPr>
                <w:rFonts w:ascii="Calibri" w:hAnsi="Calibri" w:cs="Calibri"/>
                <w:b w:val="0"/>
                <w:color w:val="888888"/>
                <w:sz w:val="24"/>
                <w:szCs w:val="24"/>
              </w:rPr>
            </w:pPr>
            <w:proofErr w:type="spellStart"/>
            <w:r w:rsidRPr="004E384A">
              <w:rPr>
                <w:rFonts w:ascii="Calibri" w:hAnsi="Calibri" w:cs="Calibri"/>
                <w:sz w:val="24"/>
                <w:szCs w:val="24"/>
              </w:rPr>
              <w:t>vle_total_clicks</w:t>
            </w:r>
            <w:proofErr w:type="spellEnd"/>
          </w:p>
        </w:tc>
        <w:tc>
          <w:tcPr>
            <w:tcW w:w="4315" w:type="dxa"/>
          </w:tcPr>
          <w:p w14:paraId="02621559" w14:textId="3A6891DF" w:rsidR="004F02F3" w:rsidRPr="004E384A" w:rsidRDefault="004F02F3"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4</w:t>
            </w:r>
          </w:p>
        </w:tc>
      </w:tr>
      <w:tr w:rsidR="004F02F3" w:rsidRPr="004E384A" w14:paraId="28283883" w14:textId="77777777" w:rsidTr="008553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41F6B5D8" w14:textId="58B0FA64" w:rsidR="004F02F3" w:rsidRPr="004E384A" w:rsidRDefault="004F02F3" w:rsidP="00F32A04">
            <w:pPr>
              <w:rPr>
                <w:rFonts w:ascii="Calibri" w:hAnsi="Calibri" w:cs="Calibri"/>
                <w:b w:val="0"/>
                <w:color w:val="888888"/>
                <w:sz w:val="24"/>
                <w:szCs w:val="24"/>
              </w:rPr>
            </w:pPr>
            <w:r w:rsidRPr="004E384A">
              <w:rPr>
                <w:rFonts w:ascii="Calibri" w:hAnsi="Calibri" w:cs="Calibri"/>
                <w:sz w:val="24"/>
                <w:szCs w:val="24"/>
              </w:rPr>
              <w:t>a1_submitted</w:t>
            </w:r>
          </w:p>
        </w:tc>
        <w:tc>
          <w:tcPr>
            <w:tcW w:w="4315" w:type="dxa"/>
          </w:tcPr>
          <w:p w14:paraId="30AAEBE3" w14:textId="1882BB20" w:rsidR="004F02F3" w:rsidRPr="004E384A" w:rsidRDefault="004F02F3"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3</w:t>
            </w:r>
          </w:p>
        </w:tc>
      </w:tr>
      <w:tr w:rsidR="004F02F3" w:rsidRPr="004E384A" w14:paraId="6B115125" w14:textId="77777777" w:rsidTr="00855347">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2A0CB349" w14:textId="6A518A92" w:rsidR="004F02F3" w:rsidRPr="004E384A" w:rsidRDefault="004F02F3" w:rsidP="00F32A04">
            <w:pPr>
              <w:rPr>
                <w:rFonts w:ascii="Calibri" w:hAnsi="Calibri" w:cs="Calibri"/>
                <w:b w:val="0"/>
                <w:color w:val="888888"/>
                <w:sz w:val="24"/>
                <w:szCs w:val="24"/>
              </w:rPr>
            </w:pPr>
            <w:proofErr w:type="spellStart"/>
            <w:r w:rsidRPr="004E384A">
              <w:rPr>
                <w:rFonts w:ascii="Calibri" w:hAnsi="Calibri" w:cs="Calibri"/>
                <w:sz w:val="24"/>
                <w:szCs w:val="24"/>
              </w:rPr>
              <w:t>highest_education_Lower_Than_A_Level</w:t>
            </w:r>
            <w:proofErr w:type="spellEnd"/>
          </w:p>
        </w:tc>
        <w:tc>
          <w:tcPr>
            <w:tcW w:w="4315" w:type="dxa"/>
          </w:tcPr>
          <w:p w14:paraId="4446CC1D" w14:textId="553DFBF9" w:rsidR="004F02F3" w:rsidRPr="004E384A" w:rsidRDefault="004F02F3"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3</w:t>
            </w:r>
          </w:p>
        </w:tc>
      </w:tr>
      <w:tr w:rsidR="004F02F3" w:rsidRPr="004E384A" w14:paraId="05E93ADA" w14:textId="77777777" w:rsidTr="008553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1262E5C4" w14:textId="45F85FBD" w:rsidR="004F02F3" w:rsidRPr="004E384A" w:rsidRDefault="004F02F3" w:rsidP="00F32A04">
            <w:pPr>
              <w:rPr>
                <w:rFonts w:ascii="Calibri" w:hAnsi="Calibri" w:cs="Calibri"/>
                <w:b w:val="0"/>
                <w:color w:val="888888"/>
                <w:sz w:val="24"/>
                <w:szCs w:val="24"/>
              </w:rPr>
            </w:pPr>
            <w:proofErr w:type="spellStart"/>
            <w:r w:rsidRPr="004E384A">
              <w:rPr>
                <w:rFonts w:ascii="Calibri" w:hAnsi="Calibri" w:cs="Calibri"/>
                <w:sz w:val="24"/>
                <w:szCs w:val="24"/>
              </w:rPr>
              <w:t>num_of_prev_attempts</w:t>
            </w:r>
            <w:proofErr w:type="spellEnd"/>
          </w:p>
        </w:tc>
        <w:tc>
          <w:tcPr>
            <w:tcW w:w="4315" w:type="dxa"/>
          </w:tcPr>
          <w:p w14:paraId="77154446" w14:textId="647DBF28" w:rsidR="004F02F3" w:rsidRPr="004E384A" w:rsidRDefault="004F02F3"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2</w:t>
            </w:r>
          </w:p>
        </w:tc>
      </w:tr>
      <w:tr w:rsidR="004F02F3" w:rsidRPr="004E384A" w14:paraId="153F207D" w14:textId="77777777" w:rsidTr="00855347">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5F8375C4" w14:textId="471B5825" w:rsidR="004F02F3" w:rsidRPr="004E384A" w:rsidRDefault="004F02F3" w:rsidP="00F32A04">
            <w:pPr>
              <w:rPr>
                <w:rFonts w:ascii="Calibri" w:hAnsi="Calibri" w:cs="Calibri"/>
                <w:b w:val="0"/>
                <w:color w:val="888888"/>
                <w:sz w:val="24"/>
                <w:szCs w:val="24"/>
              </w:rPr>
            </w:pPr>
            <w:r w:rsidRPr="004E384A">
              <w:rPr>
                <w:rFonts w:ascii="Calibri" w:hAnsi="Calibri" w:cs="Calibri"/>
                <w:sz w:val="24"/>
                <w:szCs w:val="24"/>
              </w:rPr>
              <w:t>a1_score_band_not_submitted</w:t>
            </w:r>
          </w:p>
        </w:tc>
        <w:tc>
          <w:tcPr>
            <w:tcW w:w="4315" w:type="dxa"/>
          </w:tcPr>
          <w:p w14:paraId="5149BF5C" w14:textId="7F114B85" w:rsidR="004F02F3" w:rsidRPr="004E384A" w:rsidRDefault="004F02F3"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2</w:t>
            </w:r>
          </w:p>
        </w:tc>
      </w:tr>
      <w:tr w:rsidR="004F02F3" w:rsidRPr="004E384A" w14:paraId="4CDB59E0" w14:textId="77777777" w:rsidTr="008553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31CE1CC0" w14:textId="558B237A" w:rsidR="004F02F3" w:rsidRPr="004E384A" w:rsidRDefault="004F02F3" w:rsidP="00F32A04">
            <w:pPr>
              <w:rPr>
                <w:rFonts w:ascii="Calibri" w:hAnsi="Calibri" w:cs="Calibri"/>
                <w:b w:val="0"/>
                <w:color w:val="888888"/>
                <w:sz w:val="24"/>
                <w:szCs w:val="24"/>
              </w:rPr>
            </w:pPr>
            <w:proofErr w:type="spellStart"/>
            <w:r w:rsidRPr="004E384A">
              <w:rPr>
                <w:rFonts w:ascii="Calibri" w:hAnsi="Calibri" w:cs="Calibri"/>
                <w:sz w:val="24"/>
                <w:szCs w:val="24"/>
              </w:rPr>
              <w:t>vle_distinct_sites</w:t>
            </w:r>
            <w:proofErr w:type="spellEnd"/>
          </w:p>
        </w:tc>
        <w:tc>
          <w:tcPr>
            <w:tcW w:w="4315" w:type="dxa"/>
          </w:tcPr>
          <w:p w14:paraId="4B31B436" w14:textId="55DCEA64" w:rsidR="004F02F3" w:rsidRPr="004E384A" w:rsidRDefault="004F02F3"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2</w:t>
            </w:r>
          </w:p>
        </w:tc>
      </w:tr>
      <w:tr w:rsidR="004F02F3" w:rsidRPr="004E384A" w14:paraId="5F3ECAD9" w14:textId="77777777" w:rsidTr="00855347">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1613D38C" w14:textId="1718EDD3" w:rsidR="004F02F3" w:rsidRPr="004E384A" w:rsidRDefault="004F02F3" w:rsidP="00F32A04">
            <w:pPr>
              <w:rPr>
                <w:rFonts w:ascii="Calibri" w:hAnsi="Calibri" w:cs="Calibri"/>
                <w:b w:val="0"/>
                <w:color w:val="888888"/>
                <w:sz w:val="24"/>
                <w:szCs w:val="24"/>
              </w:rPr>
            </w:pPr>
            <w:proofErr w:type="spellStart"/>
            <w:r w:rsidRPr="004E384A">
              <w:rPr>
                <w:rFonts w:ascii="Calibri" w:hAnsi="Calibri" w:cs="Calibri"/>
                <w:sz w:val="24"/>
                <w:szCs w:val="24"/>
              </w:rPr>
              <w:t>vle_max_clicks_day</w:t>
            </w:r>
            <w:proofErr w:type="spellEnd"/>
          </w:p>
        </w:tc>
        <w:tc>
          <w:tcPr>
            <w:tcW w:w="4315" w:type="dxa"/>
          </w:tcPr>
          <w:p w14:paraId="11A76E4A" w14:textId="326875EB" w:rsidR="004F02F3" w:rsidRPr="004E384A" w:rsidRDefault="004F02F3"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2</w:t>
            </w:r>
          </w:p>
        </w:tc>
      </w:tr>
      <w:tr w:rsidR="004F02F3" w:rsidRPr="004E384A" w14:paraId="623EB9C8" w14:textId="77777777" w:rsidTr="008553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06F8C8FE" w14:textId="6C809009" w:rsidR="004F02F3" w:rsidRPr="004E384A" w:rsidRDefault="004F02F3" w:rsidP="00F32A04">
            <w:pPr>
              <w:rPr>
                <w:rFonts w:ascii="Calibri" w:hAnsi="Calibri" w:cs="Calibri"/>
                <w:b w:val="0"/>
                <w:color w:val="888888"/>
                <w:sz w:val="24"/>
                <w:szCs w:val="24"/>
              </w:rPr>
            </w:pPr>
            <w:proofErr w:type="spellStart"/>
            <w:r w:rsidRPr="004E384A">
              <w:rPr>
                <w:rFonts w:ascii="Calibri" w:hAnsi="Calibri" w:cs="Calibri"/>
                <w:sz w:val="24"/>
                <w:szCs w:val="24"/>
              </w:rPr>
              <w:t>vle_distinct_activity_types</w:t>
            </w:r>
            <w:proofErr w:type="spellEnd"/>
          </w:p>
        </w:tc>
        <w:tc>
          <w:tcPr>
            <w:tcW w:w="4315" w:type="dxa"/>
          </w:tcPr>
          <w:p w14:paraId="114369CE" w14:textId="1B22970B" w:rsidR="004F02F3" w:rsidRPr="004E384A" w:rsidRDefault="004F02F3" w:rsidP="00F32A04">
            <w:pPr>
              <w:cnfStyle w:val="000000100000" w:firstRow="0" w:lastRow="0" w:firstColumn="0" w:lastColumn="0" w:oddVBand="0" w:evenVBand="0" w:oddHBand="1"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2</w:t>
            </w:r>
          </w:p>
        </w:tc>
      </w:tr>
      <w:tr w:rsidR="004F02F3" w:rsidRPr="004E384A" w14:paraId="0463A6DC" w14:textId="77777777" w:rsidTr="00855347">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1B6A2578" w14:textId="19093885" w:rsidR="004F02F3" w:rsidRPr="004E384A" w:rsidRDefault="004F02F3" w:rsidP="00F32A04">
            <w:pPr>
              <w:rPr>
                <w:rFonts w:ascii="Calibri" w:hAnsi="Calibri" w:cs="Calibri"/>
                <w:b w:val="0"/>
                <w:color w:val="888888"/>
                <w:sz w:val="24"/>
                <w:szCs w:val="24"/>
              </w:rPr>
            </w:pPr>
            <w:proofErr w:type="spellStart"/>
            <w:r w:rsidRPr="004E384A">
              <w:rPr>
                <w:rFonts w:ascii="Calibri" w:hAnsi="Calibri" w:cs="Calibri"/>
                <w:sz w:val="24"/>
                <w:szCs w:val="24"/>
              </w:rPr>
              <w:t>vle_active_days</w:t>
            </w:r>
            <w:proofErr w:type="spellEnd"/>
          </w:p>
        </w:tc>
        <w:tc>
          <w:tcPr>
            <w:tcW w:w="4315" w:type="dxa"/>
          </w:tcPr>
          <w:p w14:paraId="522C3114" w14:textId="11CA10A6" w:rsidR="004F02F3" w:rsidRPr="004E384A" w:rsidRDefault="004F02F3" w:rsidP="00F32A04">
            <w:pPr>
              <w:cnfStyle w:val="000000000000" w:firstRow="0" w:lastRow="0" w:firstColumn="0" w:lastColumn="0" w:oddVBand="0" w:evenVBand="0" w:oddHBand="0" w:evenHBand="0" w:firstRowFirstColumn="0" w:firstRowLastColumn="0" w:lastRowFirstColumn="0" w:lastRowLastColumn="0"/>
              <w:rPr>
                <w:rFonts w:ascii="Calibri" w:hAnsi="Calibri" w:cs="Calibri"/>
                <w:b/>
                <w:color w:val="888888"/>
                <w:sz w:val="24"/>
                <w:szCs w:val="24"/>
              </w:rPr>
            </w:pPr>
            <w:r w:rsidRPr="004E384A">
              <w:rPr>
                <w:rFonts w:ascii="Calibri" w:hAnsi="Calibri" w:cs="Calibri"/>
                <w:sz w:val="24"/>
                <w:szCs w:val="24"/>
              </w:rPr>
              <w:t>2</w:t>
            </w:r>
          </w:p>
        </w:tc>
      </w:tr>
    </w:tbl>
    <w:p w14:paraId="4EA27D30" w14:textId="77777777" w:rsidR="00A66090" w:rsidRPr="004E384A" w:rsidRDefault="00A66090" w:rsidP="00F32A04">
      <w:pPr>
        <w:rPr>
          <w:rFonts w:ascii="Calibri" w:hAnsi="Calibri" w:cs="Calibri"/>
          <w:b/>
          <w:color w:val="888888"/>
          <w:sz w:val="24"/>
          <w:szCs w:val="24"/>
        </w:rPr>
      </w:pPr>
    </w:p>
    <w:p w14:paraId="19C5A3BD" w14:textId="46B997E6" w:rsidR="0024761D" w:rsidRPr="004E384A" w:rsidRDefault="004D7108" w:rsidP="002C4FA0">
      <w:pPr>
        <w:spacing w:line="240" w:lineRule="auto"/>
        <w:jc w:val="center"/>
        <w:rPr>
          <w:rFonts w:ascii="Calibri" w:hAnsi="Calibri" w:cs="Calibri"/>
          <w:b/>
          <w:color w:val="888888"/>
          <w:sz w:val="24"/>
          <w:szCs w:val="24"/>
          <w:lang w:val="en-GB"/>
        </w:rPr>
      </w:pPr>
      <w:r w:rsidRPr="004E384A">
        <w:rPr>
          <w:rFonts w:ascii="Calibri" w:hAnsi="Calibri" w:cs="Calibri"/>
          <w:b/>
          <w:noProof/>
          <w:color w:val="888888"/>
          <w:sz w:val="24"/>
          <w:szCs w:val="24"/>
          <w:lang w:val="en-GB"/>
        </w:rPr>
        <w:drawing>
          <wp:inline distT="0" distB="0" distL="0" distR="0" wp14:anchorId="1D33A517" wp14:editId="728E0B22">
            <wp:extent cx="6858000" cy="3374390"/>
            <wp:effectExtent l="0" t="0" r="0" b="0"/>
            <wp:docPr id="15383920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58000" cy="3374390"/>
                    </a:xfrm>
                    <a:prstGeom prst="rect">
                      <a:avLst/>
                    </a:prstGeom>
                    <a:noFill/>
                    <a:ln>
                      <a:noFill/>
                    </a:ln>
                  </pic:spPr>
                </pic:pic>
              </a:graphicData>
            </a:graphic>
          </wp:inline>
        </w:drawing>
      </w:r>
      <w:r w:rsidR="0024761D" w:rsidRPr="004E384A">
        <w:rPr>
          <w:rFonts w:ascii="Calibri" w:hAnsi="Calibri" w:cs="Calibri"/>
          <w:i/>
          <w:sz w:val="24"/>
          <w:szCs w:val="24"/>
        </w:rPr>
        <w:t xml:space="preserve">Figure </w:t>
      </w:r>
      <w:r w:rsidR="008F4A97" w:rsidRPr="004E384A">
        <w:rPr>
          <w:rFonts w:ascii="Calibri" w:hAnsi="Calibri" w:cs="Calibri"/>
          <w:i/>
          <w:sz w:val="24"/>
          <w:szCs w:val="24"/>
        </w:rPr>
        <w:t>9</w:t>
      </w:r>
      <w:r w:rsidR="0024761D" w:rsidRPr="004E384A">
        <w:rPr>
          <w:rFonts w:ascii="Calibri" w:hAnsi="Calibri" w:cs="Calibri"/>
          <w:i/>
          <w:sz w:val="24"/>
          <w:szCs w:val="24"/>
        </w:rPr>
        <w:t xml:space="preserve">: Cross-course </w:t>
      </w:r>
      <w:proofErr w:type="spellStart"/>
      <w:r w:rsidR="0024761D" w:rsidRPr="004E384A">
        <w:rPr>
          <w:rFonts w:ascii="Calibri" w:hAnsi="Calibri" w:cs="Calibri"/>
          <w:i/>
          <w:sz w:val="24"/>
          <w:szCs w:val="24"/>
        </w:rPr>
        <w:t>generalisation</w:t>
      </w:r>
      <w:proofErr w:type="spellEnd"/>
      <w:r w:rsidR="0024761D" w:rsidRPr="004E384A">
        <w:rPr>
          <w:rFonts w:ascii="Calibri" w:hAnsi="Calibri" w:cs="Calibri"/>
          <w:i/>
          <w:sz w:val="24"/>
          <w:szCs w:val="24"/>
        </w:rPr>
        <w:t xml:space="preserve">, showing within-course PR-AUC by model and course (left) and the </w:t>
      </w:r>
      <w:proofErr w:type="spellStart"/>
      <w:r w:rsidR="0024761D" w:rsidRPr="004E384A">
        <w:rPr>
          <w:rFonts w:ascii="Calibri" w:hAnsi="Calibri" w:cs="Calibri"/>
          <w:i/>
          <w:sz w:val="24"/>
          <w:szCs w:val="24"/>
        </w:rPr>
        <w:t>XGBoost</w:t>
      </w:r>
      <w:proofErr w:type="spellEnd"/>
      <w:r w:rsidR="0024761D" w:rsidRPr="004E384A">
        <w:rPr>
          <w:rFonts w:ascii="Calibri" w:hAnsi="Calibri" w:cs="Calibri"/>
          <w:i/>
          <w:sz w:val="24"/>
          <w:szCs w:val="24"/>
        </w:rPr>
        <w:t xml:space="preserve"> train-on-one, test-on-others transfer matrix (right).</w:t>
      </w:r>
    </w:p>
    <w:p w14:paraId="07661707" w14:textId="77777777" w:rsidR="004D7108" w:rsidRPr="004E384A" w:rsidRDefault="004D7108" w:rsidP="00F22413">
      <w:pPr>
        <w:spacing w:before="40" w:after="200" w:line="276" w:lineRule="auto"/>
        <w:rPr>
          <w:rFonts w:ascii="Calibri" w:hAnsi="Calibri" w:cs="Calibri"/>
          <w:sz w:val="24"/>
          <w:szCs w:val="24"/>
        </w:rPr>
      </w:pPr>
    </w:p>
    <w:p w14:paraId="52B659A4" w14:textId="48F81BB5" w:rsidR="00E67929" w:rsidRPr="004E384A" w:rsidRDefault="0024761D" w:rsidP="00F32A04">
      <w:pPr>
        <w:jc w:val="both"/>
        <w:rPr>
          <w:rFonts w:ascii="Calibri" w:hAnsi="Calibri" w:cs="Calibri"/>
          <w:sz w:val="24"/>
          <w:szCs w:val="24"/>
        </w:rPr>
      </w:pPr>
      <w:r w:rsidRPr="004E384A">
        <w:rPr>
          <w:rFonts w:ascii="Calibri" w:hAnsi="Calibri" w:cs="Calibri"/>
          <w:sz w:val="24"/>
          <w:szCs w:val="24"/>
        </w:rPr>
        <w:t xml:space="preserve">A controlled ablation withheld the first-assessment mark and its banded form from every model, keeping submission </w:t>
      </w:r>
      <w:proofErr w:type="spellStart"/>
      <w:r w:rsidRPr="004E384A">
        <w:rPr>
          <w:rFonts w:ascii="Calibri" w:hAnsi="Calibri" w:cs="Calibri"/>
          <w:sz w:val="24"/>
          <w:szCs w:val="24"/>
        </w:rPr>
        <w:t>behaviour</w:t>
      </w:r>
      <w:proofErr w:type="spellEnd"/>
      <w:r w:rsidRPr="004E384A">
        <w:rPr>
          <w:rFonts w:ascii="Calibri" w:hAnsi="Calibri" w:cs="Calibri"/>
          <w:sz w:val="24"/>
          <w:szCs w:val="24"/>
        </w:rPr>
        <w:t xml:space="preserve"> and all engagement features. Performance fell only slightly:</w:t>
      </w:r>
      <w:r w:rsidR="003D5AC6">
        <w:rPr>
          <w:rFonts w:ascii="Calibri" w:hAnsi="Calibri" w:cs="Calibri"/>
          <w:sz w:val="24"/>
          <w:szCs w:val="24"/>
        </w:rPr>
        <w:t xml:space="preserve"> </w:t>
      </w:r>
      <w:r w:rsidRPr="004E384A">
        <w:rPr>
          <w:rFonts w:ascii="Calibri" w:hAnsi="Calibri" w:cs="Calibri"/>
          <w:sz w:val="24"/>
          <w:szCs w:val="24"/>
        </w:rPr>
        <w:t xml:space="preserve">best-model PR-AUC dropped from 0.829, 0.877, 0.843 and 0.834 to 0.815, 0.845, 0.836 and 0.821 on BBB, DDD, EEE and FFF, a mean reduction of about 0.017 (Table </w:t>
      </w:r>
      <w:r w:rsidR="00C17268" w:rsidRPr="004E384A">
        <w:rPr>
          <w:rFonts w:ascii="Calibri" w:hAnsi="Calibri" w:cs="Calibri"/>
          <w:sz w:val="24"/>
          <w:szCs w:val="24"/>
        </w:rPr>
        <w:t>5</w:t>
      </w:r>
      <w:r w:rsidRPr="004E384A">
        <w:rPr>
          <w:rFonts w:ascii="Calibri" w:hAnsi="Calibri" w:cs="Calibri"/>
          <w:sz w:val="24"/>
          <w:szCs w:val="24"/>
        </w:rPr>
        <w:t xml:space="preserve">). Withholding the single strongest predictor therefore barely dented performance, which shows that engagement and submission </w:t>
      </w:r>
      <w:proofErr w:type="spellStart"/>
      <w:r w:rsidRPr="004E384A">
        <w:rPr>
          <w:rFonts w:ascii="Calibri" w:hAnsi="Calibri" w:cs="Calibri"/>
          <w:sz w:val="24"/>
          <w:szCs w:val="24"/>
        </w:rPr>
        <w:t>behaviour</w:t>
      </w:r>
      <w:proofErr w:type="spellEnd"/>
      <w:r w:rsidRPr="004E384A">
        <w:rPr>
          <w:rFonts w:ascii="Calibri" w:hAnsi="Calibri" w:cs="Calibri"/>
          <w:sz w:val="24"/>
          <w:szCs w:val="24"/>
        </w:rPr>
        <w:t xml:space="preserve"> carry most of the early-warning signal in their own right.</w:t>
      </w:r>
    </w:p>
    <w:p w14:paraId="68539D5E" w14:textId="32E6C255" w:rsidR="004E1C6C" w:rsidRPr="004E384A" w:rsidRDefault="002E7643" w:rsidP="002C4FA0">
      <w:pPr>
        <w:spacing w:after="160" w:line="240" w:lineRule="auto"/>
        <w:jc w:val="center"/>
        <w:rPr>
          <w:rFonts w:ascii="Calibri" w:hAnsi="Calibri" w:cs="Calibri"/>
          <w:i/>
          <w:sz w:val="24"/>
          <w:szCs w:val="24"/>
        </w:rPr>
      </w:pPr>
      <w:r w:rsidRPr="004E384A">
        <w:rPr>
          <w:rFonts w:ascii="Calibri" w:hAnsi="Calibri" w:cs="Calibri"/>
          <w:i/>
          <w:sz w:val="24"/>
          <w:szCs w:val="24"/>
        </w:rPr>
        <w:t>Table 5: Ablation comparison of best-model PR-AUC with and without the first-assessment mark (</w:t>
      </w:r>
      <w:proofErr w:type="spellStart"/>
      <w:r w:rsidRPr="004E384A">
        <w:rPr>
          <w:rFonts w:ascii="Calibri" w:hAnsi="Calibri" w:cs="Calibri"/>
          <w:i/>
          <w:sz w:val="24"/>
          <w:szCs w:val="24"/>
        </w:rPr>
        <w:t>XGBoost</w:t>
      </w:r>
      <w:proofErr w:type="spellEnd"/>
      <w:r w:rsidRPr="004E384A">
        <w:rPr>
          <w:rFonts w:ascii="Calibri" w:hAnsi="Calibri" w:cs="Calibri"/>
          <w:i/>
          <w:sz w:val="24"/>
          <w:szCs w:val="24"/>
        </w:rPr>
        <w:t xml:space="preserve"> best across all modules without mark).</w:t>
      </w:r>
    </w:p>
    <w:tbl>
      <w:tblPr>
        <w:tblStyle w:val="GridTable4"/>
        <w:tblW w:w="0" w:type="auto"/>
        <w:jc w:val="center"/>
        <w:tblLook w:val="04A0" w:firstRow="1" w:lastRow="0" w:firstColumn="1" w:lastColumn="0" w:noHBand="0" w:noVBand="1"/>
      </w:tblPr>
      <w:tblGrid>
        <w:gridCol w:w="2157"/>
        <w:gridCol w:w="2157"/>
        <w:gridCol w:w="2521"/>
        <w:gridCol w:w="1795"/>
      </w:tblGrid>
      <w:tr w:rsidR="00FA1BC7" w:rsidRPr="004E384A" w14:paraId="5F5C4693" w14:textId="77777777" w:rsidTr="00AA62F6">
        <w:trPr>
          <w:cnfStyle w:val="100000000000" w:firstRow="1" w:lastRow="0" w:firstColumn="0" w:lastColumn="0" w:oddVBand="0" w:evenVBand="0" w:oddHBand="0" w:evenHBand="0" w:firstRowFirstColumn="0" w:firstRowLastColumn="0" w:lastRowFirstColumn="0" w:lastRowLastColumn="0"/>
          <w:trHeight w:val="485"/>
          <w:jc w:val="center"/>
        </w:trPr>
        <w:tc>
          <w:tcPr>
            <w:cnfStyle w:val="001000000000" w:firstRow="0" w:lastRow="0" w:firstColumn="1" w:lastColumn="0" w:oddVBand="0" w:evenVBand="0" w:oddHBand="0" w:evenHBand="0" w:firstRowFirstColumn="0" w:firstRowLastColumn="0" w:lastRowFirstColumn="0" w:lastRowLastColumn="0"/>
            <w:tcW w:w="2157" w:type="dxa"/>
          </w:tcPr>
          <w:p w14:paraId="72948354" w14:textId="2AEE6320" w:rsidR="00FA1BC7" w:rsidRPr="004E384A" w:rsidRDefault="00FA1BC7" w:rsidP="00AA62F6">
            <w:pPr>
              <w:spacing w:after="160"/>
              <w:jc w:val="center"/>
              <w:rPr>
                <w:rFonts w:ascii="Calibri" w:hAnsi="Calibri" w:cs="Calibri"/>
                <w:i/>
                <w:sz w:val="24"/>
                <w:szCs w:val="24"/>
              </w:rPr>
            </w:pPr>
            <w:r w:rsidRPr="004E384A">
              <w:rPr>
                <w:rFonts w:ascii="Calibri" w:hAnsi="Calibri" w:cs="Calibri"/>
                <w:sz w:val="24"/>
                <w:szCs w:val="24"/>
              </w:rPr>
              <w:t>Module</w:t>
            </w:r>
          </w:p>
        </w:tc>
        <w:tc>
          <w:tcPr>
            <w:tcW w:w="2157" w:type="dxa"/>
          </w:tcPr>
          <w:p w14:paraId="467F22DA" w14:textId="165D9B1E" w:rsidR="00FA1BC7" w:rsidRPr="004E384A" w:rsidRDefault="00FA1BC7" w:rsidP="00AA62F6">
            <w:pPr>
              <w:spacing w:after="160"/>
              <w:jc w:val="center"/>
              <w:cnfStyle w:val="100000000000" w:firstRow="1" w:lastRow="0" w:firstColumn="0" w:lastColumn="0" w:oddVBand="0" w:evenVBand="0" w:oddHBand="0" w:evenHBand="0" w:firstRowFirstColumn="0" w:firstRowLastColumn="0" w:lastRowFirstColumn="0" w:lastRowLastColumn="0"/>
              <w:rPr>
                <w:rFonts w:ascii="Calibri" w:hAnsi="Calibri" w:cs="Calibri"/>
                <w:i/>
                <w:sz w:val="24"/>
                <w:szCs w:val="24"/>
              </w:rPr>
            </w:pPr>
            <w:r w:rsidRPr="004E384A">
              <w:rPr>
                <w:rFonts w:ascii="Calibri" w:hAnsi="Calibri" w:cs="Calibri"/>
                <w:sz w:val="24"/>
                <w:szCs w:val="24"/>
              </w:rPr>
              <w:t>Full model PR-AUC</w:t>
            </w:r>
          </w:p>
        </w:tc>
        <w:tc>
          <w:tcPr>
            <w:tcW w:w="2521" w:type="dxa"/>
          </w:tcPr>
          <w:p w14:paraId="1668F06C" w14:textId="2014953C" w:rsidR="00FA1BC7" w:rsidRPr="004E384A" w:rsidRDefault="00FA1BC7" w:rsidP="00AA62F6">
            <w:pPr>
              <w:spacing w:after="160"/>
              <w:jc w:val="center"/>
              <w:cnfStyle w:val="100000000000" w:firstRow="1" w:lastRow="0" w:firstColumn="0" w:lastColumn="0" w:oddVBand="0" w:evenVBand="0" w:oddHBand="0" w:evenHBand="0" w:firstRowFirstColumn="0" w:firstRowLastColumn="0" w:lastRowFirstColumn="0" w:lastRowLastColumn="0"/>
              <w:rPr>
                <w:rFonts w:ascii="Calibri" w:hAnsi="Calibri" w:cs="Calibri"/>
                <w:i/>
                <w:sz w:val="24"/>
                <w:szCs w:val="24"/>
              </w:rPr>
            </w:pPr>
            <w:r w:rsidRPr="004E384A">
              <w:rPr>
                <w:rFonts w:ascii="Calibri" w:hAnsi="Calibri" w:cs="Calibri"/>
                <w:sz w:val="24"/>
                <w:szCs w:val="24"/>
              </w:rPr>
              <w:t>No-A1-mark PR-AUC</w:t>
            </w:r>
          </w:p>
        </w:tc>
        <w:tc>
          <w:tcPr>
            <w:tcW w:w="1795" w:type="dxa"/>
          </w:tcPr>
          <w:p w14:paraId="52DC0FF0" w14:textId="50ADCF46" w:rsidR="00FA1BC7" w:rsidRPr="004E384A" w:rsidRDefault="00FA1BC7" w:rsidP="00AA62F6">
            <w:pPr>
              <w:spacing w:after="160"/>
              <w:jc w:val="center"/>
              <w:cnfStyle w:val="100000000000" w:firstRow="1" w:lastRow="0" w:firstColumn="0" w:lastColumn="0" w:oddVBand="0" w:evenVBand="0" w:oddHBand="0" w:evenHBand="0" w:firstRowFirstColumn="0" w:firstRowLastColumn="0" w:lastRowFirstColumn="0" w:lastRowLastColumn="0"/>
              <w:rPr>
                <w:rFonts w:ascii="Calibri" w:hAnsi="Calibri" w:cs="Calibri"/>
                <w:i/>
                <w:sz w:val="24"/>
                <w:szCs w:val="24"/>
              </w:rPr>
            </w:pPr>
            <w:r w:rsidRPr="004E384A">
              <w:rPr>
                <w:rFonts w:ascii="Calibri" w:hAnsi="Calibri" w:cs="Calibri"/>
                <w:sz w:val="24"/>
                <w:szCs w:val="24"/>
              </w:rPr>
              <w:t>Change (Δ)</w:t>
            </w:r>
          </w:p>
        </w:tc>
      </w:tr>
      <w:tr w:rsidR="00FA1BC7" w:rsidRPr="004E384A" w14:paraId="77596031" w14:textId="77777777" w:rsidTr="00AA62F6">
        <w:trPr>
          <w:cnfStyle w:val="000000100000" w:firstRow="0" w:lastRow="0" w:firstColumn="0" w:lastColumn="0" w:oddVBand="0" w:evenVBand="0" w:oddHBand="1"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2157" w:type="dxa"/>
          </w:tcPr>
          <w:p w14:paraId="720C4DD1" w14:textId="36F59E47" w:rsidR="00FA1BC7" w:rsidRPr="004E384A" w:rsidRDefault="00FA1BC7" w:rsidP="00AA62F6">
            <w:pPr>
              <w:spacing w:after="160"/>
              <w:jc w:val="center"/>
              <w:rPr>
                <w:rFonts w:ascii="Calibri" w:hAnsi="Calibri" w:cs="Calibri"/>
                <w:i/>
                <w:sz w:val="24"/>
                <w:szCs w:val="24"/>
              </w:rPr>
            </w:pPr>
            <w:r w:rsidRPr="004E384A">
              <w:rPr>
                <w:rFonts w:ascii="Calibri" w:hAnsi="Calibri" w:cs="Calibri"/>
                <w:sz w:val="24"/>
                <w:szCs w:val="24"/>
              </w:rPr>
              <w:t>BBB</w:t>
            </w:r>
          </w:p>
        </w:tc>
        <w:tc>
          <w:tcPr>
            <w:tcW w:w="2157" w:type="dxa"/>
          </w:tcPr>
          <w:p w14:paraId="5D1231A7" w14:textId="07C5C836" w:rsidR="00FA1BC7" w:rsidRPr="004E384A" w:rsidRDefault="00FA1BC7" w:rsidP="00AA62F6">
            <w:pPr>
              <w:spacing w:after="160"/>
              <w:jc w:val="center"/>
              <w:cnfStyle w:val="000000100000" w:firstRow="0" w:lastRow="0" w:firstColumn="0" w:lastColumn="0" w:oddVBand="0" w:evenVBand="0" w:oddHBand="1" w:evenHBand="0" w:firstRowFirstColumn="0" w:firstRowLastColumn="0" w:lastRowFirstColumn="0" w:lastRowLastColumn="0"/>
              <w:rPr>
                <w:rFonts w:ascii="Calibri" w:hAnsi="Calibri" w:cs="Calibri"/>
                <w:i/>
                <w:sz w:val="24"/>
                <w:szCs w:val="24"/>
              </w:rPr>
            </w:pPr>
            <w:r w:rsidRPr="004E384A">
              <w:rPr>
                <w:rFonts w:ascii="Calibri" w:hAnsi="Calibri" w:cs="Calibri"/>
                <w:sz w:val="24"/>
                <w:szCs w:val="24"/>
              </w:rPr>
              <w:t>0.829</w:t>
            </w:r>
          </w:p>
        </w:tc>
        <w:tc>
          <w:tcPr>
            <w:tcW w:w="2521" w:type="dxa"/>
          </w:tcPr>
          <w:p w14:paraId="1E07AEB5" w14:textId="499E7EDB" w:rsidR="00FA1BC7" w:rsidRPr="004E384A" w:rsidRDefault="00FA1BC7" w:rsidP="00AA62F6">
            <w:pPr>
              <w:spacing w:after="160"/>
              <w:jc w:val="center"/>
              <w:cnfStyle w:val="000000100000" w:firstRow="0" w:lastRow="0" w:firstColumn="0" w:lastColumn="0" w:oddVBand="0" w:evenVBand="0" w:oddHBand="1" w:evenHBand="0" w:firstRowFirstColumn="0" w:firstRowLastColumn="0" w:lastRowFirstColumn="0" w:lastRowLastColumn="0"/>
              <w:rPr>
                <w:rFonts w:ascii="Calibri" w:hAnsi="Calibri" w:cs="Calibri"/>
                <w:i/>
                <w:sz w:val="24"/>
                <w:szCs w:val="24"/>
              </w:rPr>
            </w:pPr>
            <w:r w:rsidRPr="004E384A">
              <w:rPr>
                <w:rFonts w:ascii="Calibri" w:hAnsi="Calibri" w:cs="Calibri"/>
                <w:sz w:val="24"/>
                <w:szCs w:val="24"/>
              </w:rPr>
              <w:t>0.815</w:t>
            </w:r>
          </w:p>
        </w:tc>
        <w:tc>
          <w:tcPr>
            <w:tcW w:w="1795" w:type="dxa"/>
          </w:tcPr>
          <w:p w14:paraId="27C623D5" w14:textId="60757D16" w:rsidR="00FA1BC7" w:rsidRPr="004E384A" w:rsidRDefault="00FA1BC7" w:rsidP="00AA62F6">
            <w:pPr>
              <w:spacing w:after="160"/>
              <w:jc w:val="center"/>
              <w:cnfStyle w:val="000000100000" w:firstRow="0" w:lastRow="0" w:firstColumn="0" w:lastColumn="0" w:oddVBand="0" w:evenVBand="0" w:oddHBand="1" w:evenHBand="0" w:firstRowFirstColumn="0" w:firstRowLastColumn="0" w:lastRowFirstColumn="0" w:lastRowLastColumn="0"/>
              <w:rPr>
                <w:rFonts w:ascii="Calibri" w:hAnsi="Calibri" w:cs="Calibri"/>
                <w:i/>
                <w:sz w:val="24"/>
                <w:szCs w:val="24"/>
              </w:rPr>
            </w:pPr>
            <w:r w:rsidRPr="004E384A">
              <w:rPr>
                <w:rFonts w:ascii="Calibri" w:hAnsi="Calibri" w:cs="Calibri"/>
                <w:sz w:val="24"/>
                <w:szCs w:val="24"/>
              </w:rPr>
              <w:t>−0.014</w:t>
            </w:r>
          </w:p>
        </w:tc>
      </w:tr>
      <w:tr w:rsidR="00FA1BC7" w:rsidRPr="004E384A" w14:paraId="731755D6" w14:textId="77777777" w:rsidTr="00AA62F6">
        <w:trPr>
          <w:jc w:val="center"/>
        </w:trPr>
        <w:tc>
          <w:tcPr>
            <w:cnfStyle w:val="001000000000" w:firstRow="0" w:lastRow="0" w:firstColumn="1" w:lastColumn="0" w:oddVBand="0" w:evenVBand="0" w:oddHBand="0" w:evenHBand="0" w:firstRowFirstColumn="0" w:firstRowLastColumn="0" w:lastRowFirstColumn="0" w:lastRowLastColumn="0"/>
            <w:tcW w:w="2157" w:type="dxa"/>
          </w:tcPr>
          <w:p w14:paraId="3ACC3262" w14:textId="164C938E" w:rsidR="00FA1BC7" w:rsidRPr="004E384A" w:rsidRDefault="00FA1BC7" w:rsidP="00AA62F6">
            <w:pPr>
              <w:spacing w:after="160"/>
              <w:jc w:val="center"/>
              <w:rPr>
                <w:rFonts w:ascii="Calibri" w:hAnsi="Calibri" w:cs="Calibri"/>
                <w:i/>
                <w:sz w:val="24"/>
                <w:szCs w:val="24"/>
              </w:rPr>
            </w:pPr>
            <w:r w:rsidRPr="004E384A">
              <w:rPr>
                <w:rFonts w:ascii="Calibri" w:hAnsi="Calibri" w:cs="Calibri"/>
                <w:sz w:val="24"/>
                <w:szCs w:val="24"/>
              </w:rPr>
              <w:t>DDD</w:t>
            </w:r>
          </w:p>
        </w:tc>
        <w:tc>
          <w:tcPr>
            <w:tcW w:w="2157" w:type="dxa"/>
          </w:tcPr>
          <w:p w14:paraId="46B5B9BC" w14:textId="12C56AE8" w:rsidR="00FA1BC7" w:rsidRPr="004E384A" w:rsidRDefault="00FA1BC7" w:rsidP="00AA62F6">
            <w:pPr>
              <w:spacing w:after="160"/>
              <w:jc w:val="center"/>
              <w:cnfStyle w:val="000000000000" w:firstRow="0" w:lastRow="0" w:firstColumn="0" w:lastColumn="0" w:oddVBand="0" w:evenVBand="0" w:oddHBand="0" w:evenHBand="0" w:firstRowFirstColumn="0" w:firstRowLastColumn="0" w:lastRowFirstColumn="0" w:lastRowLastColumn="0"/>
              <w:rPr>
                <w:rFonts w:ascii="Calibri" w:hAnsi="Calibri" w:cs="Calibri"/>
                <w:i/>
                <w:sz w:val="24"/>
                <w:szCs w:val="24"/>
              </w:rPr>
            </w:pPr>
            <w:r w:rsidRPr="004E384A">
              <w:rPr>
                <w:rFonts w:ascii="Calibri" w:hAnsi="Calibri" w:cs="Calibri"/>
                <w:sz w:val="24"/>
                <w:szCs w:val="24"/>
              </w:rPr>
              <w:t>0.877</w:t>
            </w:r>
          </w:p>
        </w:tc>
        <w:tc>
          <w:tcPr>
            <w:tcW w:w="2521" w:type="dxa"/>
          </w:tcPr>
          <w:p w14:paraId="44A33CDC" w14:textId="3AA30239" w:rsidR="00FA1BC7" w:rsidRPr="004E384A" w:rsidRDefault="00FA1BC7" w:rsidP="00AA62F6">
            <w:pPr>
              <w:spacing w:after="160"/>
              <w:jc w:val="center"/>
              <w:cnfStyle w:val="000000000000" w:firstRow="0" w:lastRow="0" w:firstColumn="0" w:lastColumn="0" w:oddVBand="0" w:evenVBand="0" w:oddHBand="0" w:evenHBand="0" w:firstRowFirstColumn="0" w:firstRowLastColumn="0" w:lastRowFirstColumn="0" w:lastRowLastColumn="0"/>
              <w:rPr>
                <w:rFonts w:ascii="Calibri" w:hAnsi="Calibri" w:cs="Calibri"/>
                <w:i/>
                <w:sz w:val="24"/>
                <w:szCs w:val="24"/>
              </w:rPr>
            </w:pPr>
            <w:r w:rsidRPr="004E384A">
              <w:rPr>
                <w:rFonts w:ascii="Calibri" w:hAnsi="Calibri" w:cs="Calibri"/>
                <w:sz w:val="24"/>
                <w:szCs w:val="24"/>
              </w:rPr>
              <w:t>0.845</w:t>
            </w:r>
          </w:p>
        </w:tc>
        <w:tc>
          <w:tcPr>
            <w:tcW w:w="1795" w:type="dxa"/>
          </w:tcPr>
          <w:p w14:paraId="45629C6A" w14:textId="1A992A8A" w:rsidR="00FA1BC7" w:rsidRPr="004E384A" w:rsidRDefault="00FA1BC7" w:rsidP="00AA62F6">
            <w:pPr>
              <w:spacing w:after="160"/>
              <w:jc w:val="center"/>
              <w:cnfStyle w:val="000000000000" w:firstRow="0" w:lastRow="0" w:firstColumn="0" w:lastColumn="0" w:oddVBand="0" w:evenVBand="0" w:oddHBand="0" w:evenHBand="0" w:firstRowFirstColumn="0" w:firstRowLastColumn="0" w:lastRowFirstColumn="0" w:lastRowLastColumn="0"/>
              <w:rPr>
                <w:rFonts w:ascii="Calibri" w:hAnsi="Calibri" w:cs="Calibri"/>
                <w:i/>
                <w:sz w:val="24"/>
                <w:szCs w:val="24"/>
              </w:rPr>
            </w:pPr>
            <w:r w:rsidRPr="004E384A">
              <w:rPr>
                <w:rFonts w:ascii="Calibri" w:hAnsi="Calibri" w:cs="Calibri"/>
                <w:sz w:val="24"/>
                <w:szCs w:val="24"/>
              </w:rPr>
              <w:t>−0.032</w:t>
            </w:r>
          </w:p>
        </w:tc>
      </w:tr>
      <w:tr w:rsidR="00FA1BC7" w:rsidRPr="004E384A" w14:paraId="48C8ADB6" w14:textId="77777777" w:rsidTr="00AA62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7" w:type="dxa"/>
          </w:tcPr>
          <w:p w14:paraId="6144EFF2" w14:textId="01019DD8" w:rsidR="00FA1BC7" w:rsidRPr="004E384A" w:rsidRDefault="00FA1BC7" w:rsidP="00AA62F6">
            <w:pPr>
              <w:spacing w:after="160"/>
              <w:jc w:val="center"/>
              <w:rPr>
                <w:rFonts w:ascii="Calibri" w:hAnsi="Calibri" w:cs="Calibri"/>
                <w:i/>
                <w:sz w:val="24"/>
                <w:szCs w:val="24"/>
              </w:rPr>
            </w:pPr>
            <w:r w:rsidRPr="004E384A">
              <w:rPr>
                <w:rFonts w:ascii="Calibri" w:hAnsi="Calibri" w:cs="Calibri"/>
                <w:sz w:val="24"/>
                <w:szCs w:val="24"/>
              </w:rPr>
              <w:t>EEE</w:t>
            </w:r>
          </w:p>
        </w:tc>
        <w:tc>
          <w:tcPr>
            <w:tcW w:w="2157" w:type="dxa"/>
          </w:tcPr>
          <w:p w14:paraId="2CB604D6" w14:textId="3611134E" w:rsidR="00FA1BC7" w:rsidRPr="004E384A" w:rsidRDefault="00FA1BC7" w:rsidP="00AA62F6">
            <w:pPr>
              <w:spacing w:after="160"/>
              <w:jc w:val="center"/>
              <w:cnfStyle w:val="000000100000" w:firstRow="0" w:lastRow="0" w:firstColumn="0" w:lastColumn="0" w:oddVBand="0" w:evenVBand="0" w:oddHBand="1" w:evenHBand="0" w:firstRowFirstColumn="0" w:firstRowLastColumn="0" w:lastRowFirstColumn="0" w:lastRowLastColumn="0"/>
              <w:rPr>
                <w:rFonts w:ascii="Calibri" w:hAnsi="Calibri" w:cs="Calibri"/>
                <w:i/>
                <w:sz w:val="24"/>
                <w:szCs w:val="24"/>
              </w:rPr>
            </w:pPr>
            <w:r w:rsidRPr="004E384A">
              <w:rPr>
                <w:rFonts w:ascii="Calibri" w:hAnsi="Calibri" w:cs="Calibri"/>
                <w:sz w:val="24"/>
                <w:szCs w:val="24"/>
              </w:rPr>
              <w:t>0.843</w:t>
            </w:r>
          </w:p>
        </w:tc>
        <w:tc>
          <w:tcPr>
            <w:tcW w:w="2521" w:type="dxa"/>
          </w:tcPr>
          <w:p w14:paraId="5DE44B20" w14:textId="481E54C7" w:rsidR="00FA1BC7" w:rsidRPr="004E384A" w:rsidRDefault="00FA1BC7" w:rsidP="00AA62F6">
            <w:pPr>
              <w:spacing w:after="160"/>
              <w:jc w:val="center"/>
              <w:cnfStyle w:val="000000100000" w:firstRow="0" w:lastRow="0" w:firstColumn="0" w:lastColumn="0" w:oddVBand="0" w:evenVBand="0" w:oddHBand="1" w:evenHBand="0" w:firstRowFirstColumn="0" w:firstRowLastColumn="0" w:lastRowFirstColumn="0" w:lastRowLastColumn="0"/>
              <w:rPr>
                <w:rFonts w:ascii="Calibri" w:hAnsi="Calibri" w:cs="Calibri"/>
                <w:i/>
                <w:sz w:val="24"/>
                <w:szCs w:val="24"/>
              </w:rPr>
            </w:pPr>
            <w:r w:rsidRPr="004E384A">
              <w:rPr>
                <w:rFonts w:ascii="Calibri" w:hAnsi="Calibri" w:cs="Calibri"/>
                <w:sz w:val="24"/>
                <w:szCs w:val="24"/>
              </w:rPr>
              <w:t>0.836</w:t>
            </w:r>
          </w:p>
        </w:tc>
        <w:tc>
          <w:tcPr>
            <w:tcW w:w="1795" w:type="dxa"/>
          </w:tcPr>
          <w:p w14:paraId="1A22EC1C" w14:textId="4EA7397F" w:rsidR="00FA1BC7" w:rsidRPr="004E384A" w:rsidRDefault="00FA1BC7" w:rsidP="00AA62F6">
            <w:pPr>
              <w:spacing w:after="160"/>
              <w:jc w:val="center"/>
              <w:cnfStyle w:val="000000100000" w:firstRow="0" w:lastRow="0" w:firstColumn="0" w:lastColumn="0" w:oddVBand="0" w:evenVBand="0" w:oddHBand="1" w:evenHBand="0" w:firstRowFirstColumn="0" w:firstRowLastColumn="0" w:lastRowFirstColumn="0" w:lastRowLastColumn="0"/>
              <w:rPr>
                <w:rFonts w:ascii="Calibri" w:hAnsi="Calibri" w:cs="Calibri"/>
                <w:i/>
                <w:sz w:val="24"/>
                <w:szCs w:val="24"/>
              </w:rPr>
            </w:pPr>
            <w:r w:rsidRPr="004E384A">
              <w:rPr>
                <w:rFonts w:ascii="Calibri" w:hAnsi="Calibri" w:cs="Calibri"/>
                <w:sz w:val="24"/>
                <w:szCs w:val="24"/>
              </w:rPr>
              <w:t>−0.007</w:t>
            </w:r>
          </w:p>
        </w:tc>
      </w:tr>
      <w:tr w:rsidR="00FA1BC7" w:rsidRPr="004E384A" w14:paraId="22F397A0" w14:textId="77777777" w:rsidTr="00AA62F6">
        <w:trPr>
          <w:jc w:val="center"/>
        </w:trPr>
        <w:tc>
          <w:tcPr>
            <w:cnfStyle w:val="001000000000" w:firstRow="0" w:lastRow="0" w:firstColumn="1" w:lastColumn="0" w:oddVBand="0" w:evenVBand="0" w:oddHBand="0" w:evenHBand="0" w:firstRowFirstColumn="0" w:firstRowLastColumn="0" w:lastRowFirstColumn="0" w:lastRowLastColumn="0"/>
            <w:tcW w:w="2157" w:type="dxa"/>
          </w:tcPr>
          <w:p w14:paraId="55BCFA27" w14:textId="0055A9DD" w:rsidR="00FA1BC7" w:rsidRPr="004E384A" w:rsidRDefault="00FA1BC7" w:rsidP="00AA62F6">
            <w:pPr>
              <w:spacing w:after="160"/>
              <w:jc w:val="center"/>
              <w:rPr>
                <w:rFonts w:ascii="Calibri" w:hAnsi="Calibri" w:cs="Calibri"/>
                <w:i/>
                <w:sz w:val="24"/>
                <w:szCs w:val="24"/>
              </w:rPr>
            </w:pPr>
            <w:r w:rsidRPr="004E384A">
              <w:rPr>
                <w:rFonts w:ascii="Calibri" w:hAnsi="Calibri" w:cs="Calibri"/>
                <w:sz w:val="24"/>
                <w:szCs w:val="24"/>
              </w:rPr>
              <w:t>FFF</w:t>
            </w:r>
          </w:p>
        </w:tc>
        <w:tc>
          <w:tcPr>
            <w:tcW w:w="2157" w:type="dxa"/>
          </w:tcPr>
          <w:p w14:paraId="4DD59E9B" w14:textId="716225E6" w:rsidR="00FA1BC7" w:rsidRPr="004E384A" w:rsidRDefault="00FA1BC7" w:rsidP="00AA62F6">
            <w:pPr>
              <w:spacing w:after="160"/>
              <w:jc w:val="center"/>
              <w:cnfStyle w:val="000000000000" w:firstRow="0" w:lastRow="0" w:firstColumn="0" w:lastColumn="0" w:oddVBand="0" w:evenVBand="0" w:oddHBand="0" w:evenHBand="0" w:firstRowFirstColumn="0" w:firstRowLastColumn="0" w:lastRowFirstColumn="0" w:lastRowLastColumn="0"/>
              <w:rPr>
                <w:rFonts w:ascii="Calibri" w:hAnsi="Calibri" w:cs="Calibri"/>
                <w:i/>
                <w:sz w:val="24"/>
                <w:szCs w:val="24"/>
              </w:rPr>
            </w:pPr>
            <w:r w:rsidRPr="004E384A">
              <w:rPr>
                <w:rFonts w:ascii="Calibri" w:hAnsi="Calibri" w:cs="Calibri"/>
                <w:sz w:val="24"/>
                <w:szCs w:val="24"/>
              </w:rPr>
              <w:t>0.834</w:t>
            </w:r>
          </w:p>
        </w:tc>
        <w:tc>
          <w:tcPr>
            <w:tcW w:w="2521" w:type="dxa"/>
          </w:tcPr>
          <w:p w14:paraId="1732847E" w14:textId="5D54E59C" w:rsidR="00FA1BC7" w:rsidRPr="004E384A" w:rsidRDefault="00FA1BC7" w:rsidP="00AA62F6">
            <w:pPr>
              <w:spacing w:after="160"/>
              <w:jc w:val="center"/>
              <w:cnfStyle w:val="000000000000" w:firstRow="0" w:lastRow="0" w:firstColumn="0" w:lastColumn="0" w:oddVBand="0" w:evenVBand="0" w:oddHBand="0" w:evenHBand="0" w:firstRowFirstColumn="0" w:firstRowLastColumn="0" w:lastRowFirstColumn="0" w:lastRowLastColumn="0"/>
              <w:rPr>
                <w:rFonts w:ascii="Calibri" w:hAnsi="Calibri" w:cs="Calibri"/>
                <w:i/>
                <w:sz w:val="24"/>
                <w:szCs w:val="24"/>
              </w:rPr>
            </w:pPr>
            <w:r w:rsidRPr="004E384A">
              <w:rPr>
                <w:rFonts w:ascii="Calibri" w:hAnsi="Calibri" w:cs="Calibri"/>
                <w:sz w:val="24"/>
                <w:szCs w:val="24"/>
              </w:rPr>
              <w:t>0.821</w:t>
            </w:r>
          </w:p>
        </w:tc>
        <w:tc>
          <w:tcPr>
            <w:tcW w:w="1795" w:type="dxa"/>
          </w:tcPr>
          <w:p w14:paraId="081183A2" w14:textId="1CF9800B" w:rsidR="00FA1BC7" w:rsidRPr="004E384A" w:rsidRDefault="00FA1BC7" w:rsidP="00AA62F6">
            <w:pPr>
              <w:spacing w:after="160"/>
              <w:jc w:val="center"/>
              <w:cnfStyle w:val="000000000000" w:firstRow="0" w:lastRow="0" w:firstColumn="0" w:lastColumn="0" w:oddVBand="0" w:evenVBand="0" w:oddHBand="0" w:evenHBand="0" w:firstRowFirstColumn="0" w:firstRowLastColumn="0" w:lastRowFirstColumn="0" w:lastRowLastColumn="0"/>
              <w:rPr>
                <w:rFonts w:ascii="Calibri" w:hAnsi="Calibri" w:cs="Calibri"/>
                <w:i/>
                <w:sz w:val="24"/>
                <w:szCs w:val="24"/>
              </w:rPr>
            </w:pPr>
            <w:r w:rsidRPr="004E384A">
              <w:rPr>
                <w:rFonts w:ascii="Calibri" w:hAnsi="Calibri" w:cs="Calibri"/>
                <w:sz w:val="24"/>
                <w:szCs w:val="24"/>
              </w:rPr>
              <w:t>−0.014</w:t>
            </w:r>
          </w:p>
        </w:tc>
      </w:tr>
      <w:tr w:rsidR="00FA1BC7" w:rsidRPr="004E384A" w14:paraId="627F8DCD" w14:textId="77777777" w:rsidTr="00AA62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7" w:type="dxa"/>
          </w:tcPr>
          <w:p w14:paraId="760C8A52" w14:textId="2AB1EED4" w:rsidR="00FA1BC7" w:rsidRPr="004E384A" w:rsidRDefault="00FA1BC7" w:rsidP="00AA62F6">
            <w:pPr>
              <w:spacing w:after="160"/>
              <w:jc w:val="center"/>
              <w:rPr>
                <w:rFonts w:ascii="Calibri" w:hAnsi="Calibri" w:cs="Calibri"/>
                <w:i/>
                <w:sz w:val="24"/>
                <w:szCs w:val="24"/>
              </w:rPr>
            </w:pPr>
            <w:r w:rsidRPr="004E384A">
              <w:rPr>
                <w:rFonts w:ascii="Calibri" w:hAnsi="Calibri" w:cs="Calibri"/>
                <w:sz w:val="24"/>
                <w:szCs w:val="24"/>
              </w:rPr>
              <w:t>Mean</w:t>
            </w:r>
          </w:p>
        </w:tc>
        <w:tc>
          <w:tcPr>
            <w:tcW w:w="2157" w:type="dxa"/>
          </w:tcPr>
          <w:p w14:paraId="5A236AA4" w14:textId="072403C6" w:rsidR="00FA1BC7" w:rsidRPr="004E384A" w:rsidRDefault="00FA1BC7" w:rsidP="00AA62F6">
            <w:pPr>
              <w:spacing w:after="160"/>
              <w:jc w:val="center"/>
              <w:cnfStyle w:val="000000100000" w:firstRow="0" w:lastRow="0" w:firstColumn="0" w:lastColumn="0" w:oddVBand="0" w:evenVBand="0" w:oddHBand="1" w:evenHBand="0" w:firstRowFirstColumn="0" w:firstRowLastColumn="0" w:lastRowFirstColumn="0" w:lastRowLastColumn="0"/>
              <w:rPr>
                <w:rFonts w:ascii="Calibri" w:hAnsi="Calibri" w:cs="Calibri"/>
                <w:i/>
                <w:sz w:val="24"/>
                <w:szCs w:val="24"/>
              </w:rPr>
            </w:pPr>
            <w:r w:rsidRPr="004E384A">
              <w:rPr>
                <w:rFonts w:ascii="Calibri" w:hAnsi="Calibri" w:cs="Calibri"/>
                <w:sz w:val="24"/>
                <w:szCs w:val="24"/>
              </w:rPr>
              <w:t>0.846</w:t>
            </w:r>
          </w:p>
        </w:tc>
        <w:tc>
          <w:tcPr>
            <w:tcW w:w="2521" w:type="dxa"/>
          </w:tcPr>
          <w:p w14:paraId="1BBF035A" w14:textId="0BB184B8" w:rsidR="00FA1BC7" w:rsidRPr="004E384A" w:rsidRDefault="00FA1BC7" w:rsidP="00AA62F6">
            <w:pPr>
              <w:spacing w:after="160"/>
              <w:jc w:val="center"/>
              <w:cnfStyle w:val="000000100000" w:firstRow="0" w:lastRow="0" w:firstColumn="0" w:lastColumn="0" w:oddVBand="0" w:evenVBand="0" w:oddHBand="1" w:evenHBand="0" w:firstRowFirstColumn="0" w:firstRowLastColumn="0" w:lastRowFirstColumn="0" w:lastRowLastColumn="0"/>
              <w:rPr>
                <w:rFonts w:ascii="Calibri" w:hAnsi="Calibri" w:cs="Calibri"/>
                <w:i/>
                <w:sz w:val="24"/>
                <w:szCs w:val="24"/>
              </w:rPr>
            </w:pPr>
            <w:r w:rsidRPr="004E384A">
              <w:rPr>
                <w:rFonts w:ascii="Calibri" w:hAnsi="Calibri" w:cs="Calibri"/>
                <w:sz w:val="24"/>
                <w:szCs w:val="24"/>
              </w:rPr>
              <w:t>0.829</w:t>
            </w:r>
          </w:p>
        </w:tc>
        <w:tc>
          <w:tcPr>
            <w:tcW w:w="1795" w:type="dxa"/>
          </w:tcPr>
          <w:p w14:paraId="09F04B25" w14:textId="343D4CC1" w:rsidR="00FA1BC7" w:rsidRPr="004E384A" w:rsidRDefault="00FA1BC7" w:rsidP="00AA62F6">
            <w:pPr>
              <w:spacing w:after="160"/>
              <w:jc w:val="center"/>
              <w:cnfStyle w:val="000000100000" w:firstRow="0" w:lastRow="0" w:firstColumn="0" w:lastColumn="0" w:oddVBand="0" w:evenVBand="0" w:oddHBand="1" w:evenHBand="0" w:firstRowFirstColumn="0" w:firstRowLastColumn="0" w:lastRowFirstColumn="0" w:lastRowLastColumn="0"/>
              <w:rPr>
                <w:rFonts w:ascii="Calibri" w:hAnsi="Calibri" w:cs="Calibri"/>
                <w:i/>
                <w:sz w:val="24"/>
                <w:szCs w:val="24"/>
              </w:rPr>
            </w:pPr>
            <w:r w:rsidRPr="004E384A">
              <w:rPr>
                <w:rFonts w:ascii="Calibri" w:hAnsi="Calibri" w:cs="Calibri"/>
                <w:sz w:val="24"/>
                <w:szCs w:val="24"/>
              </w:rPr>
              <w:t>−0.017</w:t>
            </w:r>
          </w:p>
        </w:tc>
      </w:tr>
    </w:tbl>
    <w:p w14:paraId="370DA5D8" w14:textId="77777777" w:rsidR="0024761D" w:rsidRPr="004E384A" w:rsidRDefault="0024761D" w:rsidP="00F32A04">
      <w:pPr>
        <w:pStyle w:val="Heading1"/>
        <w:spacing w:before="200" w:line="360" w:lineRule="auto"/>
        <w:rPr>
          <w:rFonts w:ascii="Calibri" w:hAnsi="Calibri" w:cs="Calibri"/>
          <w:sz w:val="24"/>
          <w:szCs w:val="24"/>
        </w:rPr>
      </w:pPr>
      <w:r w:rsidRPr="004E384A">
        <w:rPr>
          <w:rFonts w:ascii="Calibri" w:hAnsi="Calibri" w:cs="Calibri"/>
          <w:b/>
          <w:color w:val="000000"/>
          <w:sz w:val="24"/>
          <w:szCs w:val="24"/>
        </w:rPr>
        <w:t>4. Discussion</w:t>
      </w:r>
    </w:p>
    <w:p w14:paraId="21A021F8" w14:textId="77777777"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4.1 Predictive accuracy (RQ1)</w:t>
      </w:r>
    </w:p>
    <w:p w14:paraId="1743DA0C" w14:textId="27C63ACE" w:rsidR="0024761D" w:rsidRPr="004E384A" w:rsidRDefault="0024761D" w:rsidP="00F32A04">
      <w:pPr>
        <w:jc w:val="both"/>
        <w:rPr>
          <w:rFonts w:ascii="Calibri" w:hAnsi="Calibri" w:cs="Calibri"/>
          <w:sz w:val="24"/>
          <w:szCs w:val="24"/>
        </w:rPr>
      </w:pPr>
      <w:r w:rsidRPr="004E384A">
        <w:rPr>
          <w:rFonts w:ascii="Calibri" w:hAnsi="Calibri" w:cs="Calibri"/>
          <w:sz w:val="24"/>
          <w:szCs w:val="24"/>
        </w:rPr>
        <w:t xml:space="preserve">Failure could be </w:t>
      </w:r>
      <w:r w:rsidR="004E27E5">
        <w:rPr>
          <w:rFonts w:ascii="Calibri" w:hAnsi="Calibri" w:cs="Calibri"/>
          <w:sz w:val="24"/>
          <w:szCs w:val="24"/>
        </w:rPr>
        <w:t>well predicted</w:t>
      </w:r>
      <w:r w:rsidRPr="004E384A">
        <w:rPr>
          <w:rFonts w:ascii="Calibri" w:hAnsi="Calibri" w:cs="Calibri"/>
          <w:sz w:val="24"/>
          <w:szCs w:val="24"/>
        </w:rPr>
        <w:t xml:space="preserve"> from data available at the first-assessment checkpoint, with the best model reaching PR-AUC 0.877 on DDD and 0.829-0.877 across modules. </w:t>
      </w:r>
      <w:r w:rsidR="00F71397" w:rsidRPr="004E384A">
        <w:rPr>
          <w:rFonts w:ascii="Calibri" w:hAnsi="Calibri" w:cs="Calibri"/>
          <w:sz w:val="24"/>
          <w:szCs w:val="24"/>
        </w:rPr>
        <w:t xml:space="preserve">Comparison with prior OULAD work needs care, since studies differ in horizon and metric. </w:t>
      </w:r>
      <w:proofErr w:type="spellStart"/>
      <w:r w:rsidR="00F71397" w:rsidRPr="004E384A">
        <w:rPr>
          <w:rFonts w:ascii="Calibri" w:hAnsi="Calibri" w:cs="Calibri"/>
          <w:sz w:val="24"/>
          <w:szCs w:val="24"/>
        </w:rPr>
        <w:t>Oyedotun</w:t>
      </w:r>
      <w:proofErr w:type="spellEnd"/>
      <w:r w:rsidR="00F71397" w:rsidRPr="004E384A">
        <w:rPr>
          <w:rFonts w:ascii="Calibri" w:hAnsi="Calibri" w:cs="Calibri"/>
          <w:sz w:val="24"/>
          <w:szCs w:val="24"/>
        </w:rPr>
        <w:t xml:space="preserve"> et al. (2025) report a ROC-AUC of about 0.79 using whole-course engagement</w:t>
      </w:r>
      <w:r w:rsidR="00117610" w:rsidRPr="004E384A">
        <w:rPr>
          <w:rFonts w:ascii="Calibri" w:hAnsi="Calibri" w:cs="Calibri"/>
          <w:sz w:val="24"/>
          <w:szCs w:val="24"/>
        </w:rPr>
        <w:t xml:space="preserve"> with particular interest in</w:t>
      </w:r>
      <w:r w:rsidR="00CD7F9B" w:rsidRPr="004E384A">
        <w:rPr>
          <w:rFonts w:ascii="Calibri" w:hAnsi="Calibri" w:cs="Calibri"/>
          <w:sz w:val="24"/>
          <w:szCs w:val="24"/>
        </w:rPr>
        <w:t xml:space="preserve"> Total</w:t>
      </w:r>
      <w:r w:rsidR="00117610" w:rsidRPr="004E384A">
        <w:rPr>
          <w:rFonts w:ascii="Calibri" w:hAnsi="Calibri" w:cs="Calibri"/>
          <w:sz w:val="24"/>
          <w:szCs w:val="24"/>
        </w:rPr>
        <w:t xml:space="preserve"> </w:t>
      </w:r>
      <w:r w:rsidR="00CD7F9B" w:rsidRPr="004E384A">
        <w:rPr>
          <w:rFonts w:ascii="Calibri" w:hAnsi="Calibri" w:cs="Calibri"/>
          <w:sz w:val="24"/>
          <w:szCs w:val="24"/>
        </w:rPr>
        <w:t>VLE clicks</w:t>
      </w:r>
      <w:r w:rsidR="00F71397" w:rsidRPr="004E384A">
        <w:rPr>
          <w:rFonts w:ascii="Calibri" w:hAnsi="Calibri" w:cs="Calibri"/>
          <w:sz w:val="24"/>
          <w:szCs w:val="24"/>
        </w:rPr>
        <w:t>, and the models here reach ROC-AUC 0.8</w:t>
      </w:r>
      <w:r w:rsidR="006F7B99">
        <w:rPr>
          <w:rFonts w:ascii="Calibri" w:hAnsi="Calibri" w:cs="Calibri"/>
          <w:sz w:val="24"/>
          <w:szCs w:val="24"/>
        </w:rPr>
        <w:t>0</w:t>
      </w:r>
      <w:r w:rsidR="00F71397" w:rsidRPr="004E384A">
        <w:rPr>
          <w:rFonts w:ascii="Calibri" w:hAnsi="Calibri" w:cs="Calibri"/>
          <w:sz w:val="24"/>
          <w:szCs w:val="24"/>
        </w:rPr>
        <w:t>-0.86 at a stricter, leakage-safe early horizon.</w:t>
      </w:r>
      <w:r w:rsidR="004F757E" w:rsidRPr="004E384A">
        <w:rPr>
          <w:rFonts w:ascii="Calibri" w:hAnsi="Calibri" w:cs="Calibri"/>
          <w:sz w:val="24"/>
          <w:szCs w:val="24"/>
        </w:rPr>
        <w:t xml:space="preserve"> Comparisons with higher headline numbers are less direct:</w:t>
      </w:r>
      <w:r w:rsidR="003D5AC6">
        <w:rPr>
          <w:rFonts w:ascii="Calibri" w:hAnsi="Calibri" w:cs="Calibri"/>
          <w:sz w:val="24"/>
          <w:szCs w:val="24"/>
        </w:rPr>
        <w:t xml:space="preserve"> </w:t>
      </w:r>
      <w:proofErr w:type="spellStart"/>
      <w:r w:rsidR="00F71397" w:rsidRPr="004E384A">
        <w:rPr>
          <w:rFonts w:ascii="Calibri" w:hAnsi="Calibri" w:cs="Calibri"/>
          <w:sz w:val="24"/>
          <w:szCs w:val="24"/>
        </w:rPr>
        <w:t>Aljohani</w:t>
      </w:r>
      <w:proofErr w:type="spellEnd"/>
      <w:r w:rsidR="00E63C56" w:rsidRPr="004E384A">
        <w:rPr>
          <w:rFonts w:ascii="Calibri" w:hAnsi="Calibri" w:cs="Calibri"/>
          <w:sz w:val="24"/>
          <w:szCs w:val="24"/>
        </w:rPr>
        <w:t xml:space="preserve"> et al.</w:t>
      </w:r>
      <w:r w:rsidR="00F71397" w:rsidRPr="004E384A">
        <w:rPr>
          <w:rFonts w:ascii="Calibri" w:hAnsi="Calibri" w:cs="Calibri"/>
          <w:sz w:val="24"/>
          <w:szCs w:val="24"/>
        </w:rPr>
        <w:t xml:space="preserve"> (2019) and Gupta</w:t>
      </w:r>
      <w:r w:rsidR="003F4F8F" w:rsidRPr="004E384A">
        <w:rPr>
          <w:rFonts w:ascii="Calibri" w:hAnsi="Calibri" w:cs="Calibri"/>
          <w:sz w:val="24"/>
          <w:szCs w:val="24"/>
        </w:rPr>
        <w:t xml:space="preserve"> et al.</w:t>
      </w:r>
      <w:r w:rsidR="00F71397" w:rsidRPr="004E384A">
        <w:rPr>
          <w:rFonts w:ascii="Calibri" w:hAnsi="Calibri" w:cs="Calibri"/>
          <w:sz w:val="24"/>
          <w:szCs w:val="24"/>
        </w:rPr>
        <w:t xml:space="preserve"> (2022) report higher headline figures</w:t>
      </w:r>
      <w:r w:rsidR="00FB5885">
        <w:rPr>
          <w:rFonts w:ascii="Calibri" w:hAnsi="Calibri" w:cs="Calibri"/>
          <w:sz w:val="24"/>
          <w:szCs w:val="24"/>
        </w:rPr>
        <w:t xml:space="preserve"> still</w:t>
      </w:r>
      <w:r w:rsidR="00F71397" w:rsidRPr="004E384A">
        <w:rPr>
          <w:rFonts w:ascii="Calibri" w:hAnsi="Calibri" w:cs="Calibri"/>
          <w:sz w:val="24"/>
          <w:szCs w:val="24"/>
        </w:rPr>
        <w:t xml:space="preserve">, around 90% accuracy and AUC above 0.92 respectively, but both draw on later windows in the course, and accuracy and PR-AUC answer different questions on a near-balanced problem. </w:t>
      </w:r>
      <w:r w:rsidR="00460C01" w:rsidRPr="004E384A">
        <w:rPr>
          <w:rFonts w:ascii="Calibri" w:hAnsi="Calibri" w:cs="Calibri"/>
          <w:sz w:val="24"/>
          <w:szCs w:val="24"/>
        </w:rPr>
        <w:t xml:space="preserve">Read against these differences in horizon and metric, </w:t>
      </w:r>
      <w:r w:rsidRPr="004E384A">
        <w:rPr>
          <w:rFonts w:ascii="Calibri" w:hAnsi="Calibri" w:cs="Calibri"/>
          <w:sz w:val="24"/>
          <w:szCs w:val="24"/>
        </w:rPr>
        <w:t xml:space="preserve">the results are competitive and obtained at a point where a warning can still change the outcome. The most useful finding for RQ1 is not the peak score but the narrow spread: the four families sit within about 0.02 PR-AUC, and the neural network, the most complex, never won. This matches the documented pattern that tree ensembles are hard to beat on modest tabular data, where added neural complexity brings little gain </w:t>
      </w:r>
      <w:r w:rsidR="00670D51" w:rsidRPr="00670D51">
        <w:rPr>
          <w:rFonts w:ascii="Calibri" w:hAnsi="Calibri" w:cs="Calibri"/>
          <w:sz w:val="24"/>
          <w:szCs w:val="24"/>
        </w:rPr>
        <w:t>(</w:t>
      </w:r>
      <w:proofErr w:type="spellStart"/>
      <w:r w:rsidR="00670D51" w:rsidRPr="00670D51">
        <w:rPr>
          <w:rFonts w:ascii="Calibri" w:hAnsi="Calibri" w:cs="Calibri"/>
          <w:sz w:val="24"/>
          <w:szCs w:val="24"/>
        </w:rPr>
        <w:t>Grinsztajn</w:t>
      </w:r>
      <w:proofErr w:type="spellEnd"/>
      <w:r w:rsidR="00670D51" w:rsidRPr="00670D51">
        <w:rPr>
          <w:rFonts w:ascii="Calibri" w:hAnsi="Calibri" w:cs="Calibri"/>
          <w:sz w:val="24"/>
          <w:szCs w:val="24"/>
        </w:rPr>
        <w:t xml:space="preserve"> et al., 2022; Shwartz-Ziv &amp; Armon, 2022)</w:t>
      </w:r>
      <w:r w:rsidRPr="004E384A">
        <w:rPr>
          <w:rFonts w:ascii="Calibri" w:hAnsi="Calibri" w:cs="Calibri"/>
          <w:sz w:val="24"/>
          <w:szCs w:val="24"/>
        </w:rPr>
        <w:t>. The implication is concrete: the interpretable logistic</w:t>
      </w:r>
      <w:r w:rsidR="009B6D5F">
        <w:rPr>
          <w:rFonts w:ascii="Calibri" w:hAnsi="Calibri" w:cs="Calibri"/>
          <w:sz w:val="24"/>
          <w:szCs w:val="24"/>
        </w:rPr>
        <w:t xml:space="preserve"> </w:t>
      </w:r>
      <w:r w:rsidRPr="004E384A">
        <w:rPr>
          <w:rFonts w:ascii="Calibri" w:hAnsi="Calibri" w:cs="Calibri"/>
          <w:sz w:val="24"/>
          <w:szCs w:val="24"/>
        </w:rPr>
        <w:t xml:space="preserve">regression model was within 0.02 of the best everywhere and </w:t>
      </w:r>
      <w:r w:rsidR="00EE32E2">
        <w:rPr>
          <w:rFonts w:ascii="Calibri" w:hAnsi="Calibri" w:cs="Calibri"/>
          <w:sz w:val="24"/>
          <w:szCs w:val="24"/>
        </w:rPr>
        <w:t>won</w:t>
      </w:r>
      <w:r w:rsidRPr="004E384A">
        <w:rPr>
          <w:rFonts w:ascii="Calibri" w:hAnsi="Calibri" w:cs="Calibri"/>
          <w:sz w:val="24"/>
          <w:szCs w:val="24"/>
        </w:rPr>
        <w:t xml:space="preserve"> on EEE, so an institution could deploy the simpler, more transparent model at negligible </w:t>
      </w:r>
      <w:r w:rsidR="003E467D">
        <w:rPr>
          <w:rFonts w:ascii="Calibri" w:hAnsi="Calibri" w:cs="Calibri"/>
          <w:sz w:val="24"/>
          <w:szCs w:val="24"/>
        </w:rPr>
        <w:t>loss in performance</w:t>
      </w:r>
      <w:r w:rsidRPr="004E384A">
        <w:rPr>
          <w:rFonts w:ascii="Calibri" w:hAnsi="Calibri" w:cs="Calibri"/>
          <w:sz w:val="24"/>
          <w:szCs w:val="24"/>
        </w:rPr>
        <w:t xml:space="preserve">, a </w:t>
      </w:r>
      <w:proofErr w:type="spellStart"/>
      <w:r w:rsidRPr="004E384A">
        <w:rPr>
          <w:rFonts w:ascii="Calibri" w:hAnsi="Calibri" w:cs="Calibri"/>
          <w:sz w:val="24"/>
          <w:szCs w:val="24"/>
        </w:rPr>
        <w:t>favourable</w:t>
      </w:r>
      <w:proofErr w:type="spellEnd"/>
      <w:r w:rsidRPr="004E384A">
        <w:rPr>
          <w:rFonts w:ascii="Calibri" w:hAnsi="Calibri" w:cs="Calibri"/>
          <w:sz w:val="24"/>
          <w:szCs w:val="24"/>
        </w:rPr>
        <w:t xml:space="preserve"> trade</w:t>
      </w:r>
      <w:r w:rsidR="00E91902">
        <w:rPr>
          <w:rFonts w:ascii="Calibri" w:hAnsi="Calibri" w:cs="Calibri"/>
          <w:sz w:val="24"/>
          <w:szCs w:val="24"/>
        </w:rPr>
        <w:t>-</w:t>
      </w:r>
      <w:r w:rsidR="00433688">
        <w:rPr>
          <w:rFonts w:ascii="Calibri" w:hAnsi="Calibri" w:cs="Calibri"/>
          <w:sz w:val="24"/>
          <w:szCs w:val="24"/>
        </w:rPr>
        <w:t>off</w:t>
      </w:r>
      <w:r w:rsidRPr="004E384A">
        <w:rPr>
          <w:rFonts w:ascii="Calibri" w:hAnsi="Calibri" w:cs="Calibri"/>
          <w:sz w:val="24"/>
          <w:szCs w:val="24"/>
        </w:rPr>
        <w:t xml:space="preserve"> for a tool that must be explained to tutors.</w:t>
      </w:r>
    </w:p>
    <w:p w14:paraId="2110C59E" w14:textId="59D2CF21"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4.2 Drivers of risk and the role of the first mark (RQ2)</w:t>
      </w:r>
    </w:p>
    <w:p w14:paraId="1B7A0E46" w14:textId="334058FD" w:rsidR="0024761D" w:rsidRPr="004E384A" w:rsidRDefault="0024761D" w:rsidP="00F32A04">
      <w:pPr>
        <w:jc w:val="both"/>
        <w:rPr>
          <w:rFonts w:ascii="Calibri" w:hAnsi="Calibri" w:cs="Calibri"/>
          <w:sz w:val="24"/>
          <w:szCs w:val="24"/>
        </w:rPr>
      </w:pPr>
      <w:r w:rsidRPr="004E384A">
        <w:rPr>
          <w:rFonts w:ascii="Calibri" w:hAnsi="Calibri" w:cs="Calibri"/>
          <w:sz w:val="24"/>
          <w:szCs w:val="24"/>
        </w:rPr>
        <w:t xml:space="preserve">SHAP identified the first-assessment mark and early-submission </w:t>
      </w:r>
      <w:proofErr w:type="spellStart"/>
      <w:r w:rsidRPr="004E384A">
        <w:rPr>
          <w:rFonts w:ascii="Calibri" w:hAnsi="Calibri" w:cs="Calibri"/>
          <w:sz w:val="24"/>
          <w:szCs w:val="24"/>
        </w:rPr>
        <w:t>behaviour</w:t>
      </w:r>
      <w:proofErr w:type="spellEnd"/>
      <w:r w:rsidRPr="004E384A">
        <w:rPr>
          <w:rFonts w:ascii="Calibri" w:hAnsi="Calibri" w:cs="Calibri"/>
          <w:sz w:val="24"/>
          <w:szCs w:val="24"/>
        </w:rPr>
        <w:t xml:space="preserve"> as the leading drivers, with engagement measures close behind and demographic attributes largely secondary. This echoes </w:t>
      </w:r>
      <w:proofErr w:type="spellStart"/>
      <w:r w:rsidRPr="004E384A">
        <w:rPr>
          <w:rFonts w:ascii="Calibri" w:hAnsi="Calibri" w:cs="Calibri"/>
          <w:sz w:val="24"/>
          <w:szCs w:val="24"/>
        </w:rPr>
        <w:t>Oyedotun</w:t>
      </w:r>
      <w:proofErr w:type="spellEnd"/>
      <w:r w:rsidRPr="004E384A">
        <w:rPr>
          <w:rFonts w:ascii="Calibri" w:hAnsi="Calibri" w:cs="Calibri"/>
          <w:sz w:val="24"/>
          <w:szCs w:val="24"/>
        </w:rPr>
        <w:t xml:space="preserve"> et al. (2025) and Adnan et al. (2021), who both found assessment and engagement more predictive than demographics, and it is consistent with the earlier observation of Saqr</w:t>
      </w:r>
      <w:r w:rsidR="00CB5C31" w:rsidRPr="004E384A">
        <w:rPr>
          <w:rFonts w:ascii="Calibri" w:hAnsi="Calibri" w:cs="Calibri"/>
          <w:sz w:val="24"/>
          <w:szCs w:val="24"/>
        </w:rPr>
        <w:t xml:space="preserve"> et al.</w:t>
      </w:r>
      <w:r w:rsidRPr="004E384A">
        <w:rPr>
          <w:rFonts w:ascii="Calibri" w:hAnsi="Calibri" w:cs="Calibri"/>
          <w:sz w:val="24"/>
          <w:szCs w:val="24"/>
        </w:rPr>
        <w:t xml:space="preserve"> (2017) that consistency of engagement is among the strongest early predictors of underachievement. The ablation sharpens the finding beyond what SHAP alone can show. SHAP attributes importance within the fitted model, and because the first-assessment features are correlated, the mark, whether it was submitted, and its banded form share importance rather than holding it independently; reading the global ranking alone could therefore over- or under-state how much the mark truly contributes. Removing it entirely and re-fitting is the cleaner test, and the mean PR-AUC penalty of only about 0.017 shows the model is not merely restating the first grade. This matters in practice, because the mark exists only once the first assessment is in, whereas engagement accrues continuously, so a system that leans on </w:t>
      </w:r>
      <w:proofErr w:type="spellStart"/>
      <w:r w:rsidRPr="004E384A">
        <w:rPr>
          <w:rFonts w:ascii="Calibri" w:hAnsi="Calibri" w:cs="Calibri"/>
          <w:sz w:val="24"/>
          <w:szCs w:val="24"/>
        </w:rPr>
        <w:t>behaviour</w:t>
      </w:r>
      <w:proofErr w:type="spellEnd"/>
      <w:r w:rsidRPr="004E384A">
        <w:rPr>
          <w:rFonts w:ascii="Calibri" w:hAnsi="Calibri" w:cs="Calibri"/>
          <w:sz w:val="24"/>
          <w:szCs w:val="24"/>
        </w:rPr>
        <w:t xml:space="preserve"> could in principle warn even earlier than the horizon used here. Working on OULAD, Opoku et al. (2025) show that standard models can still carry demographic bias that only an explicit audit reveals, and that it can be mitigated at little cost to accuracy. The stakes are practical: Bird et al. (202</w:t>
      </w:r>
      <w:r w:rsidR="00C50F2E">
        <w:rPr>
          <w:rFonts w:ascii="Calibri" w:hAnsi="Calibri" w:cs="Calibri"/>
          <w:sz w:val="24"/>
          <w:szCs w:val="24"/>
        </w:rPr>
        <w:t>5</w:t>
      </w:r>
      <w:r w:rsidRPr="004E384A">
        <w:rPr>
          <w:rFonts w:ascii="Calibri" w:hAnsi="Calibri" w:cs="Calibri"/>
          <w:sz w:val="24"/>
          <w:szCs w:val="24"/>
        </w:rPr>
        <w:t xml:space="preserve">) show that when a biased model targets support, fewer of the </w:t>
      </w:r>
      <w:proofErr w:type="spellStart"/>
      <w:r w:rsidRPr="004E384A">
        <w:rPr>
          <w:rFonts w:ascii="Calibri" w:hAnsi="Calibri" w:cs="Calibri"/>
          <w:sz w:val="24"/>
          <w:szCs w:val="24"/>
        </w:rPr>
        <w:t>marginalised</w:t>
      </w:r>
      <w:proofErr w:type="spellEnd"/>
      <w:r w:rsidRPr="004E384A">
        <w:rPr>
          <w:rFonts w:ascii="Calibri" w:hAnsi="Calibri" w:cs="Calibri"/>
          <w:sz w:val="24"/>
          <w:szCs w:val="24"/>
        </w:rPr>
        <w:t xml:space="preserve"> students it is meant to help actually receive it. T</w:t>
      </w:r>
      <w:r w:rsidR="002C02E0">
        <w:rPr>
          <w:rFonts w:ascii="Calibri" w:hAnsi="Calibri" w:cs="Calibri"/>
          <w:sz w:val="24"/>
          <w:szCs w:val="24"/>
        </w:rPr>
        <w:t>he fact that</w:t>
      </w:r>
      <w:r w:rsidRPr="004E384A">
        <w:rPr>
          <w:rFonts w:ascii="Calibri" w:hAnsi="Calibri" w:cs="Calibri"/>
          <w:sz w:val="24"/>
          <w:szCs w:val="24"/>
        </w:rPr>
        <w:t xml:space="preserve"> demographic attributes contribute little reduces the risk that predictions simply track protected characteristics</w:t>
      </w:r>
      <w:r w:rsidR="003340C8">
        <w:rPr>
          <w:rFonts w:ascii="Calibri" w:hAnsi="Calibri" w:cs="Calibri"/>
          <w:sz w:val="24"/>
          <w:szCs w:val="24"/>
        </w:rPr>
        <w:t>;</w:t>
      </w:r>
      <w:r w:rsidRPr="004E384A">
        <w:rPr>
          <w:rFonts w:ascii="Calibri" w:hAnsi="Calibri" w:cs="Calibri"/>
          <w:sz w:val="24"/>
          <w:szCs w:val="24"/>
        </w:rPr>
        <w:t xml:space="preserve"> though it is not a guarantee: engagement itself can act as a proxy for circumstance, and the raw failure-rate gaps by deprivation and prior education (Section 3.1) are real and would need monitoring in any deployment.</w:t>
      </w:r>
    </w:p>
    <w:p w14:paraId="34825F09" w14:textId="77777777"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4.3 Generalisation across courses (RQ3)</w:t>
      </w:r>
    </w:p>
    <w:p w14:paraId="08849A50" w14:textId="77777777" w:rsidR="0024761D" w:rsidRPr="004E384A" w:rsidRDefault="0024761D" w:rsidP="00F32A04">
      <w:pPr>
        <w:jc w:val="both"/>
        <w:rPr>
          <w:rFonts w:ascii="Calibri" w:hAnsi="Calibri" w:cs="Calibri"/>
          <w:sz w:val="24"/>
          <w:szCs w:val="24"/>
        </w:rPr>
      </w:pPr>
      <w:r w:rsidRPr="004E384A">
        <w:rPr>
          <w:rFonts w:ascii="Calibri" w:hAnsi="Calibri" w:cs="Calibri"/>
          <w:sz w:val="24"/>
          <w:szCs w:val="24"/>
        </w:rPr>
        <w:t xml:space="preserve">Transfer was partial: strong within a course, weaker but still useful across courses at 0.72-0.87, and better into some than others. The asymmetry is informative. Transfer into BBB was weakest, fitting its earlier, more variable first-assessment cutoff (as low as day 12) and suggesting its early-engagement dynamics differ. That the same four features recur in the top ten of every course indicates the underlying </w:t>
      </w:r>
      <w:proofErr w:type="spellStart"/>
      <w:r w:rsidRPr="004E384A">
        <w:rPr>
          <w:rFonts w:ascii="Calibri" w:hAnsi="Calibri" w:cs="Calibri"/>
          <w:sz w:val="24"/>
          <w:szCs w:val="24"/>
        </w:rPr>
        <w:t>behavioural</w:t>
      </w:r>
      <w:proofErr w:type="spellEnd"/>
      <w:r w:rsidRPr="004E384A">
        <w:rPr>
          <w:rFonts w:ascii="Calibri" w:hAnsi="Calibri" w:cs="Calibri"/>
          <w:sz w:val="24"/>
          <w:szCs w:val="24"/>
        </w:rPr>
        <w:t xml:space="preserve"> hierarchy is stable even where the fitted decision surface is not. This extends Dai et al. (2025), who found transfer across presentations of one course, to the harder case of different courses, where the result is a qualified yes. The distinction worth drawing separates two senses of </w:t>
      </w:r>
      <w:proofErr w:type="spellStart"/>
      <w:r w:rsidRPr="004E384A">
        <w:rPr>
          <w:rFonts w:ascii="Calibri" w:hAnsi="Calibri" w:cs="Calibri"/>
          <w:sz w:val="24"/>
          <w:szCs w:val="24"/>
        </w:rPr>
        <w:t>generalisation</w:t>
      </w:r>
      <w:proofErr w:type="spellEnd"/>
      <w:r w:rsidRPr="004E384A">
        <w:rPr>
          <w:rFonts w:ascii="Calibri" w:hAnsi="Calibri" w:cs="Calibri"/>
          <w:sz w:val="24"/>
          <w:szCs w:val="24"/>
        </w:rPr>
        <w:t xml:space="preserve"> easily conflated: stable feature importance does not imply a transferable model. A model can rank drivers similarly across courses yet still </w:t>
      </w:r>
      <w:proofErr w:type="spellStart"/>
      <w:r w:rsidRPr="004E384A">
        <w:rPr>
          <w:rFonts w:ascii="Calibri" w:hAnsi="Calibri" w:cs="Calibri"/>
          <w:sz w:val="24"/>
          <w:szCs w:val="24"/>
        </w:rPr>
        <w:t>miscalibrate</w:t>
      </w:r>
      <w:proofErr w:type="spellEnd"/>
      <w:r w:rsidRPr="004E384A">
        <w:rPr>
          <w:rFonts w:ascii="Calibri" w:hAnsi="Calibri" w:cs="Calibri"/>
          <w:sz w:val="24"/>
          <w:szCs w:val="24"/>
        </w:rPr>
        <w:t xml:space="preserve"> when moved, which is why the practical recommendation is a shared feature set with per-course calibration rather than one model applied everywhere.</w:t>
      </w:r>
    </w:p>
    <w:p w14:paraId="6220B1D2" w14:textId="77777777"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4.4 Implications</w:t>
      </w:r>
    </w:p>
    <w:p w14:paraId="1B52BF6D" w14:textId="56ACB4F7" w:rsidR="0024761D" w:rsidRPr="004E384A" w:rsidRDefault="0024761D" w:rsidP="00F32A04">
      <w:pPr>
        <w:jc w:val="both"/>
        <w:rPr>
          <w:rFonts w:ascii="Calibri" w:hAnsi="Calibri" w:cs="Calibri"/>
          <w:sz w:val="24"/>
          <w:szCs w:val="24"/>
        </w:rPr>
      </w:pPr>
      <w:r w:rsidRPr="004E384A">
        <w:rPr>
          <w:rFonts w:ascii="Calibri" w:hAnsi="Calibri" w:cs="Calibri"/>
          <w:sz w:val="24"/>
          <w:szCs w:val="24"/>
        </w:rPr>
        <w:t>For practice, the results support an interpretable early-warning tool that flags at-risk students around the first assessment and gives tutors a per-student explanation to act on. The competitiveness of the linear model and the small ablation penalty point the same way: a transparent, engagement-aware model is a defensible basis for intervention, functioning as decision support with a tutor in the loop rather than an automated gate. Accurate prediction is only half the problem, however. Evidence that early-warning systems improve outcomes is mixed: some link them to higher retention (Villano et al., 2018)</w:t>
      </w:r>
      <w:r w:rsidR="009501D8" w:rsidRPr="009501D8">
        <w:rPr>
          <w:rFonts w:ascii="Calibri" w:hAnsi="Calibri" w:cs="Calibri"/>
          <w:sz w:val="24"/>
          <w:szCs w:val="24"/>
        </w:rPr>
        <w:t xml:space="preserve">, while a Dutch field experiment found that </w:t>
      </w:r>
      <w:r w:rsidR="000D0423">
        <w:rPr>
          <w:rFonts w:ascii="Calibri" w:hAnsi="Calibri" w:cs="Calibri"/>
          <w:sz w:val="24"/>
          <w:szCs w:val="24"/>
        </w:rPr>
        <w:t>early warning system</w:t>
      </w:r>
      <w:r w:rsidR="00885C2E">
        <w:rPr>
          <w:rFonts w:ascii="Calibri" w:hAnsi="Calibri" w:cs="Calibri"/>
          <w:sz w:val="24"/>
          <w:szCs w:val="24"/>
        </w:rPr>
        <w:t>-</w:t>
      </w:r>
      <w:r w:rsidR="009501D8" w:rsidRPr="009501D8">
        <w:rPr>
          <w:rFonts w:ascii="Calibri" w:hAnsi="Calibri" w:cs="Calibri"/>
          <w:sz w:val="24"/>
          <w:szCs w:val="24"/>
        </w:rPr>
        <w:t>assisted counselling did not improve dropout or academic performance (</w:t>
      </w:r>
      <w:proofErr w:type="spellStart"/>
      <w:r w:rsidR="009501D8" w:rsidRPr="009501D8">
        <w:rPr>
          <w:rFonts w:ascii="Calibri" w:hAnsi="Calibri" w:cs="Calibri"/>
          <w:sz w:val="24"/>
          <w:szCs w:val="24"/>
        </w:rPr>
        <w:t>Plak</w:t>
      </w:r>
      <w:proofErr w:type="spellEnd"/>
      <w:r w:rsidR="009501D8" w:rsidRPr="009501D8">
        <w:rPr>
          <w:rFonts w:ascii="Calibri" w:hAnsi="Calibri" w:cs="Calibri"/>
          <w:sz w:val="24"/>
          <w:szCs w:val="24"/>
        </w:rPr>
        <w:t xml:space="preserve"> et al., 2022), and a cluster-</w:t>
      </w:r>
      <w:proofErr w:type="spellStart"/>
      <w:r w:rsidR="009501D8" w:rsidRPr="009501D8">
        <w:rPr>
          <w:rFonts w:ascii="Calibri" w:hAnsi="Calibri" w:cs="Calibri"/>
          <w:sz w:val="24"/>
          <w:szCs w:val="24"/>
        </w:rPr>
        <w:t>randomised</w:t>
      </w:r>
      <w:proofErr w:type="spellEnd"/>
      <w:r w:rsidR="009501D8" w:rsidRPr="009501D8">
        <w:rPr>
          <w:rFonts w:ascii="Calibri" w:hAnsi="Calibri" w:cs="Calibri"/>
          <w:sz w:val="24"/>
          <w:szCs w:val="24"/>
        </w:rPr>
        <w:t xml:space="preserve"> trial similarly found no significant effect on completion (Sletten et al., 2023).</w:t>
      </w:r>
      <w:r w:rsidRPr="004E384A">
        <w:rPr>
          <w:rFonts w:ascii="Calibri" w:hAnsi="Calibri" w:cs="Calibri"/>
          <w:sz w:val="24"/>
          <w:szCs w:val="24"/>
        </w:rPr>
        <w:t xml:space="preserve"> What separates success from null results appears to be the intervention attached to the flag rather than the flag itself: Chang et al. (2025) paired predictions with a tailored, culturally responsive intervention and saw most at-risk students reach a passing grade. An accurate model is therefore necessary but not sufficient; its value depends on the support it triggers. Reporting risk by demographic group also lets an institution check whether support reaches the groups with higher failure rates, turning a potential source of bias into a monitoring signal.</w:t>
      </w:r>
    </w:p>
    <w:p w14:paraId="69CE7945" w14:textId="77777777" w:rsidR="00F22413" w:rsidRPr="004E384A" w:rsidRDefault="00F22413" w:rsidP="00F32A04">
      <w:pPr>
        <w:jc w:val="both"/>
        <w:rPr>
          <w:rFonts w:ascii="Calibri" w:hAnsi="Calibri" w:cs="Calibri"/>
          <w:sz w:val="24"/>
          <w:szCs w:val="24"/>
        </w:rPr>
      </w:pPr>
    </w:p>
    <w:p w14:paraId="50866EEC" w14:textId="77777777"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4.5 Limitations</w:t>
      </w:r>
    </w:p>
    <w:p w14:paraId="12EE59CF" w14:textId="2690EFE0" w:rsidR="007B01DE" w:rsidRPr="004E384A" w:rsidRDefault="007B01DE" w:rsidP="00F32A04">
      <w:pPr>
        <w:jc w:val="both"/>
        <w:rPr>
          <w:rFonts w:ascii="Calibri" w:hAnsi="Calibri" w:cs="Calibri"/>
          <w:sz w:val="24"/>
          <w:szCs w:val="24"/>
        </w:rPr>
      </w:pPr>
      <w:r w:rsidRPr="004E384A">
        <w:rPr>
          <w:rFonts w:ascii="Calibri" w:hAnsi="Calibri" w:cs="Calibri"/>
          <w:sz w:val="24"/>
          <w:szCs w:val="24"/>
        </w:rPr>
        <w:t>Several limitations qualify these findings. The target conflates failure with post-census withdrawal, which</w:t>
      </w:r>
      <w:r w:rsidR="00242572" w:rsidRPr="004E384A">
        <w:rPr>
          <w:rFonts w:ascii="Calibri" w:hAnsi="Calibri" w:cs="Calibri"/>
          <w:sz w:val="24"/>
          <w:szCs w:val="24"/>
        </w:rPr>
        <w:t xml:space="preserve"> may</w:t>
      </w:r>
      <w:r w:rsidRPr="004E384A">
        <w:rPr>
          <w:rFonts w:ascii="Calibri" w:hAnsi="Calibri" w:cs="Calibri"/>
          <w:sz w:val="24"/>
          <w:szCs w:val="24"/>
        </w:rPr>
        <w:t xml:space="preserve"> have different causes (Kocsis </w:t>
      </w:r>
      <w:r w:rsidR="00FA7C22" w:rsidRPr="004E384A">
        <w:rPr>
          <w:rFonts w:ascii="Calibri" w:hAnsi="Calibri" w:cs="Calibri"/>
          <w:sz w:val="24"/>
          <w:szCs w:val="24"/>
        </w:rPr>
        <w:t>&amp;</w:t>
      </w:r>
      <w:r w:rsidR="005A55CE" w:rsidRPr="004E384A">
        <w:rPr>
          <w:rFonts w:ascii="Calibri" w:hAnsi="Calibri" w:cs="Calibri"/>
          <w:sz w:val="24"/>
          <w:szCs w:val="24"/>
        </w:rPr>
        <w:t xml:space="preserve"> </w:t>
      </w:r>
      <w:r w:rsidR="000040B9" w:rsidRPr="004E384A">
        <w:rPr>
          <w:rFonts w:ascii="Calibri" w:hAnsi="Calibri" w:cs="Calibri"/>
          <w:sz w:val="24"/>
          <w:szCs w:val="24"/>
        </w:rPr>
        <w:t>Molnár</w:t>
      </w:r>
      <w:r w:rsidRPr="004E384A">
        <w:rPr>
          <w:rFonts w:ascii="Calibri" w:hAnsi="Calibri" w:cs="Calibri"/>
          <w:sz w:val="24"/>
          <w:szCs w:val="24"/>
        </w:rPr>
        <w:t>, 202</w:t>
      </w:r>
      <w:r w:rsidR="005A55CE" w:rsidRPr="004E384A">
        <w:rPr>
          <w:rFonts w:ascii="Calibri" w:hAnsi="Calibri" w:cs="Calibri"/>
          <w:sz w:val="24"/>
          <w:szCs w:val="24"/>
        </w:rPr>
        <w:t>5</w:t>
      </w:r>
      <w:r w:rsidRPr="004E384A">
        <w:rPr>
          <w:rFonts w:ascii="Calibri" w:hAnsi="Calibri" w:cs="Calibri"/>
          <w:sz w:val="24"/>
          <w:szCs w:val="24"/>
        </w:rPr>
        <w:t xml:space="preserve">). SMOTE </w:t>
      </w:r>
      <w:r w:rsidR="00126F15">
        <w:rPr>
          <w:rFonts w:ascii="Calibri" w:hAnsi="Calibri" w:cs="Calibri"/>
          <w:sz w:val="24"/>
          <w:szCs w:val="24"/>
        </w:rPr>
        <w:t>can distort categorical variables</w:t>
      </w:r>
      <w:r w:rsidR="0020198B">
        <w:rPr>
          <w:rFonts w:ascii="Calibri" w:hAnsi="Calibri" w:cs="Calibri"/>
          <w:sz w:val="24"/>
          <w:szCs w:val="24"/>
        </w:rPr>
        <w:t xml:space="preserve"> because interpolation in encoded</w:t>
      </w:r>
      <w:r w:rsidR="001A7472">
        <w:rPr>
          <w:rFonts w:ascii="Calibri" w:hAnsi="Calibri" w:cs="Calibri"/>
          <w:sz w:val="24"/>
          <w:szCs w:val="24"/>
        </w:rPr>
        <w:t xml:space="preserve"> feature</w:t>
      </w:r>
      <w:r w:rsidR="0020198B">
        <w:rPr>
          <w:rFonts w:ascii="Calibri" w:hAnsi="Calibri" w:cs="Calibri"/>
          <w:sz w:val="24"/>
          <w:szCs w:val="24"/>
        </w:rPr>
        <w:t xml:space="preserve"> space </w:t>
      </w:r>
      <w:r w:rsidR="004D7B58">
        <w:rPr>
          <w:rFonts w:ascii="Calibri" w:hAnsi="Calibri" w:cs="Calibri"/>
          <w:sz w:val="24"/>
          <w:szCs w:val="24"/>
        </w:rPr>
        <w:t>may not preserve their true meaning</w:t>
      </w:r>
      <w:r w:rsidRPr="004E384A">
        <w:rPr>
          <w:rFonts w:ascii="Calibri" w:hAnsi="Calibri" w:cs="Calibri"/>
          <w:sz w:val="24"/>
          <w:szCs w:val="24"/>
        </w:rPr>
        <w:t xml:space="preserve"> (Mukherjee </w:t>
      </w:r>
      <w:r w:rsidR="004F115E" w:rsidRPr="004E384A">
        <w:rPr>
          <w:rFonts w:ascii="Calibri" w:hAnsi="Calibri" w:cs="Calibri"/>
          <w:sz w:val="24"/>
          <w:szCs w:val="24"/>
        </w:rPr>
        <w:t>&amp;</w:t>
      </w:r>
      <w:r w:rsidRPr="004E384A">
        <w:rPr>
          <w:rFonts w:ascii="Calibri" w:hAnsi="Calibri" w:cs="Calibri"/>
          <w:sz w:val="24"/>
          <w:szCs w:val="24"/>
        </w:rPr>
        <w:t xml:space="preserve"> Khushi, 2021). SHAP attributions reflect association within the model rather than causation (Salih et al., 202</w:t>
      </w:r>
      <w:r w:rsidR="0058702E" w:rsidRPr="004E384A">
        <w:rPr>
          <w:rFonts w:ascii="Calibri" w:hAnsi="Calibri" w:cs="Calibri"/>
          <w:sz w:val="24"/>
          <w:szCs w:val="24"/>
        </w:rPr>
        <w:t>5</w:t>
      </w:r>
      <w:r w:rsidRPr="004E384A">
        <w:rPr>
          <w:rFonts w:ascii="Calibri" w:hAnsi="Calibri" w:cs="Calibri"/>
          <w:sz w:val="24"/>
          <w:szCs w:val="24"/>
        </w:rPr>
        <w:t>) and depend on the chosen background set (García-Céspedes et al., 2025), so they explain the model, not the world. The horizon is a single checkpoint rather than a rolling weekly prediction, and because the cutoff day varies by course (12 to 33), the meaning of early is not perfectly uniform. Finally, all data comes from one institution, so external validity is untested, and the results, though stable under cross-validation, rest on a single test split per course.</w:t>
      </w:r>
    </w:p>
    <w:p w14:paraId="2CCA26A3" w14:textId="77777777" w:rsidR="0024761D" w:rsidRPr="004E384A" w:rsidRDefault="0024761D" w:rsidP="00F32A04">
      <w:pPr>
        <w:pStyle w:val="Heading2"/>
        <w:spacing w:before="120" w:after="40" w:line="360" w:lineRule="auto"/>
        <w:rPr>
          <w:rFonts w:ascii="Calibri" w:hAnsi="Calibri" w:cs="Calibri"/>
          <w:sz w:val="24"/>
          <w:szCs w:val="24"/>
        </w:rPr>
      </w:pPr>
      <w:r w:rsidRPr="004E384A">
        <w:rPr>
          <w:rFonts w:ascii="Calibri" w:hAnsi="Calibri" w:cs="Calibri"/>
          <w:b/>
          <w:color w:val="000000"/>
          <w:sz w:val="24"/>
          <w:szCs w:val="24"/>
        </w:rPr>
        <w:t>4.6 Future work</w:t>
      </w:r>
    </w:p>
    <w:p w14:paraId="623917AD" w14:textId="23A99315" w:rsidR="0024761D" w:rsidRPr="004E384A" w:rsidRDefault="0024761D" w:rsidP="00F32A04">
      <w:pPr>
        <w:jc w:val="both"/>
        <w:rPr>
          <w:rFonts w:ascii="Calibri" w:hAnsi="Calibri" w:cs="Calibri"/>
          <w:sz w:val="24"/>
          <w:szCs w:val="24"/>
        </w:rPr>
      </w:pPr>
      <w:r w:rsidRPr="004E384A">
        <w:rPr>
          <w:rFonts w:ascii="Calibri" w:hAnsi="Calibri" w:cs="Calibri"/>
          <w:sz w:val="24"/>
          <w:szCs w:val="24"/>
        </w:rPr>
        <w:t xml:space="preserve">Four extensions follow. Rolling weekly predictions, rather than a single checkpoint, would show how early reliable warning is possible and how risk evolves. Pooling courses and testing on an entirely held-out course would establish how far a single shared model can travel. A formal fairness audit, going beyond group failure rates to a differential-accuracy measure such as the </w:t>
      </w:r>
      <w:r w:rsidR="009C3A18" w:rsidRPr="009C3A18">
        <w:rPr>
          <w:rFonts w:ascii="Calibri" w:hAnsi="Calibri" w:cs="Calibri"/>
          <w:sz w:val="24"/>
          <w:szCs w:val="24"/>
        </w:rPr>
        <w:t>Absolute Between-ROC Area</w:t>
      </w:r>
      <w:r w:rsidRPr="004E384A">
        <w:rPr>
          <w:rFonts w:ascii="Calibri" w:hAnsi="Calibri" w:cs="Calibri"/>
          <w:sz w:val="24"/>
          <w:szCs w:val="24"/>
        </w:rPr>
        <w:t xml:space="preserve"> (Gardner</w:t>
      </w:r>
      <w:r w:rsidR="00283F5C" w:rsidRPr="004E384A">
        <w:rPr>
          <w:rFonts w:ascii="Calibri" w:hAnsi="Calibri" w:cs="Calibri"/>
          <w:sz w:val="24"/>
          <w:szCs w:val="24"/>
        </w:rPr>
        <w:t xml:space="preserve"> et al.</w:t>
      </w:r>
      <w:r w:rsidRPr="004E384A">
        <w:rPr>
          <w:rFonts w:ascii="Calibri" w:hAnsi="Calibri" w:cs="Calibri"/>
          <w:sz w:val="24"/>
          <w:szCs w:val="24"/>
        </w:rPr>
        <w:t xml:space="preserve">, 2019), would strengthen the equity case before deployment. Most importantly, given the mixed evidence above, an early-warning system's value is </w:t>
      </w:r>
      <w:proofErr w:type="spellStart"/>
      <w:r w:rsidRPr="004E384A">
        <w:rPr>
          <w:rFonts w:ascii="Calibri" w:hAnsi="Calibri" w:cs="Calibri"/>
          <w:sz w:val="24"/>
          <w:szCs w:val="24"/>
        </w:rPr>
        <w:t>realised</w:t>
      </w:r>
      <w:proofErr w:type="spellEnd"/>
      <w:r w:rsidRPr="004E384A">
        <w:rPr>
          <w:rFonts w:ascii="Calibri" w:hAnsi="Calibri" w:cs="Calibri"/>
          <w:sz w:val="24"/>
          <w:szCs w:val="24"/>
        </w:rPr>
        <w:t xml:space="preserve"> only through intervention, so a controlled trial linking flags to tutor action is the necessary next step.</w:t>
      </w:r>
    </w:p>
    <w:p w14:paraId="434E273B" w14:textId="77777777" w:rsidR="0024761D" w:rsidRPr="004E384A" w:rsidRDefault="0024761D" w:rsidP="00F32A04">
      <w:pPr>
        <w:pStyle w:val="Heading1"/>
        <w:spacing w:before="200" w:line="360" w:lineRule="auto"/>
        <w:rPr>
          <w:rFonts w:ascii="Calibri" w:hAnsi="Calibri" w:cs="Calibri"/>
          <w:sz w:val="24"/>
          <w:szCs w:val="24"/>
        </w:rPr>
      </w:pPr>
      <w:r w:rsidRPr="004E384A">
        <w:rPr>
          <w:rFonts w:ascii="Calibri" w:hAnsi="Calibri" w:cs="Calibri"/>
          <w:b/>
          <w:color w:val="000000"/>
          <w:sz w:val="24"/>
          <w:szCs w:val="24"/>
        </w:rPr>
        <w:t>5. Conclusion</w:t>
      </w:r>
    </w:p>
    <w:p w14:paraId="7DEB0A9A" w14:textId="7F341F9F" w:rsidR="00F32A04" w:rsidRPr="004E384A" w:rsidRDefault="0024761D" w:rsidP="00F32A04">
      <w:pPr>
        <w:jc w:val="both"/>
        <w:rPr>
          <w:rFonts w:ascii="Calibri" w:hAnsi="Calibri" w:cs="Calibri"/>
          <w:sz w:val="24"/>
          <w:szCs w:val="24"/>
        </w:rPr>
      </w:pPr>
      <w:r w:rsidRPr="004E384A">
        <w:rPr>
          <w:rFonts w:ascii="Calibri" w:hAnsi="Calibri" w:cs="Calibri"/>
          <w:sz w:val="24"/>
          <w:szCs w:val="24"/>
        </w:rPr>
        <w:t>This project built and evaluated an interpretable, leakage-safe pipeline for predicting distance-learning failure at the first-assessment checkpoint. Across four OULAD modules</w:t>
      </w:r>
      <w:r w:rsidR="004E384A">
        <w:rPr>
          <w:rFonts w:ascii="Calibri" w:hAnsi="Calibri" w:cs="Calibri"/>
          <w:sz w:val="24"/>
          <w:szCs w:val="24"/>
        </w:rPr>
        <w:t>,</w:t>
      </w:r>
      <w:r w:rsidRPr="004E384A">
        <w:rPr>
          <w:rFonts w:ascii="Calibri" w:hAnsi="Calibri" w:cs="Calibri"/>
          <w:sz w:val="24"/>
          <w:szCs w:val="24"/>
        </w:rPr>
        <w:t xml:space="preserve"> the best model reached a held-out PR-AUC of 0.829-0.877, with an interpretable linear model within 0.02 throughout and cross-validation variance small enough to make the model ranking meaningful. SHAP showed that first-assessment </w:t>
      </w:r>
      <w:proofErr w:type="spellStart"/>
      <w:r w:rsidRPr="004E384A">
        <w:rPr>
          <w:rFonts w:ascii="Calibri" w:hAnsi="Calibri" w:cs="Calibri"/>
          <w:sz w:val="24"/>
          <w:szCs w:val="24"/>
        </w:rPr>
        <w:t>behaviour</w:t>
      </w:r>
      <w:proofErr w:type="spellEnd"/>
      <w:r w:rsidRPr="004E384A">
        <w:rPr>
          <w:rFonts w:ascii="Calibri" w:hAnsi="Calibri" w:cs="Calibri"/>
          <w:sz w:val="24"/>
          <w:szCs w:val="24"/>
        </w:rPr>
        <w:t xml:space="preserve"> and VLE engagement drive predicted risk while demographics contribute little, and an ablation showed engagement alone retains most of the signal</w:t>
      </w:r>
      <w:r w:rsidR="004402FF">
        <w:rPr>
          <w:rFonts w:ascii="Calibri" w:hAnsi="Calibri" w:cs="Calibri"/>
          <w:sz w:val="24"/>
          <w:szCs w:val="24"/>
        </w:rPr>
        <w:t>;</w:t>
      </w:r>
      <w:r w:rsidRPr="004E384A">
        <w:rPr>
          <w:rFonts w:ascii="Calibri" w:hAnsi="Calibri" w:cs="Calibri"/>
          <w:sz w:val="24"/>
          <w:szCs w:val="24"/>
        </w:rPr>
        <w:t xml:space="preserve"> the first-assessment mark</w:t>
      </w:r>
      <w:r w:rsidR="0061366A">
        <w:rPr>
          <w:rFonts w:ascii="Calibri" w:hAnsi="Calibri" w:cs="Calibri"/>
          <w:sz w:val="24"/>
          <w:szCs w:val="24"/>
        </w:rPr>
        <w:t xml:space="preserve"> </w:t>
      </w:r>
      <w:r w:rsidR="002A1AE1">
        <w:rPr>
          <w:rFonts w:ascii="Calibri" w:hAnsi="Calibri" w:cs="Calibri"/>
          <w:sz w:val="24"/>
          <w:szCs w:val="24"/>
        </w:rPr>
        <w:t>was</w:t>
      </w:r>
      <w:r w:rsidRPr="004E384A">
        <w:rPr>
          <w:rFonts w:ascii="Calibri" w:hAnsi="Calibri" w:cs="Calibri"/>
          <w:sz w:val="24"/>
          <w:szCs w:val="24"/>
        </w:rPr>
        <w:t xml:space="preserve"> worth only about 0.017 PR-AUC on average. Transfer across courses was partial</w:t>
      </w:r>
      <w:r w:rsidR="005637D8">
        <w:rPr>
          <w:rFonts w:ascii="Calibri" w:hAnsi="Calibri" w:cs="Calibri"/>
          <w:sz w:val="24"/>
          <w:szCs w:val="24"/>
        </w:rPr>
        <w:t>,</w:t>
      </w:r>
      <w:r w:rsidRPr="004E384A">
        <w:rPr>
          <w:rFonts w:ascii="Calibri" w:hAnsi="Calibri" w:cs="Calibri"/>
          <w:sz w:val="24"/>
          <w:szCs w:val="24"/>
        </w:rPr>
        <w:t xml:space="preserve"> but the leading drivers were stable, pointing to a shared feature set with per-course calibration. These results support accurate, explainable and reasonably general early identification of at-risk students, while making clear that per-course validation and a real intervention study are the next steps toward deployment.</w:t>
      </w:r>
    </w:p>
    <w:p w14:paraId="0BE97FEC" w14:textId="77777777" w:rsidR="00BD3A40" w:rsidRPr="004E384A" w:rsidRDefault="00BD3A40" w:rsidP="00F32A04">
      <w:pPr>
        <w:jc w:val="both"/>
        <w:rPr>
          <w:rFonts w:ascii="Calibri" w:hAnsi="Calibri" w:cs="Calibri"/>
          <w:sz w:val="24"/>
          <w:szCs w:val="24"/>
        </w:rPr>
      </w:pPr>
    </w:p>
    <w:p w14:paraId="168FDE63" w14:textId="77777777" w:rsidR="007D7198" w:rsidRPr="004E384A" w:rsidRDefault="007D7198" w:rsidP="00F32A04">
      <w:pPr>
        <w:jc w:val="both"/>
        <w:rPr>
          <w:rFonts w:ascii="Calibri" w:hAnsi="Calibri" w:cs="Calibri"/>
          <w:sz w:val="24"/>
          <w:szCs w:val="24"/>
        </w:rPr>
      </w:pPr>
    </w:p>
    <w:p w14:paraId="0DA41ACA" w14:textId="77777777" w:rsidR="007D7198" w:rsidRPr="004E384A" w:rsidRDefault="007D7198" w:rsidP="00F32A04">
      <w:pPr>
        <w:jc w:val="both"/>
        <w:rPr>
          <w:rFonts w:ascii="Calibri" w:hAnsi="Calibri" w:cs="Calibri"/>
          <w:sz w:val="24"/>
          <w:szCs w:val="24"/>
        </w:rPr>
      </w:pPr>
    </w:p>
    <w:p w14:paraId="4FB68BF8" w14:textId="77777777" w:rsidR="0024761D" w:rsidRPr="004E384A" w:rsidRDefault="0024761D" w:rsidP="00F32A04">
      <w:pPr>
        <w:pStyle w:val="Heading1"/>
        <w:spacing w:before="200" w:line="360" w:lineRule="auto"/>
        <w:rPr>
          <w:rFonts w:ascii="Calibri" w:hAnsi="Calibri" w:cs="Calibri"/>
          <w:sz w:val="24"/>
          <w:szCs w:val="24"/>
        </w:rPr>
      </w:pPr>
      <w:r w:rsidRPr="004E384A">
        <w:rPr>
          <w:rFonts w:ascii="Calibri" w:hAnsi="Calibri" w:cs="Calibri"/>
          <w:b/>
          <w:color w:val="000000"/>
          <w:sz w:val="24"/>
          <w:szCs w:val="24"/>
        </w:rPr>
        <w:t>References</w:t>
      </w:r>
    </w:p>
    <w:p w14:paraId="2998638E" w14:textId="3BEF68F1" w:rsidR="00F3538A" w:rsidRPr="00D0329A" w:rsidRDefault="00F3538A" w:rsidP="001B5161">
      <w:pPr>
        <w:spacing w:line="240" w:lineRule="auto"/>
        <w:ind w:left="720" w:hanging="720"/>
        <w:jc w:val="both"/>
        <w:rPr>
          <w:rFonts w:ascii="Calibri" w:hAnsi="Calibri" w:cs="Calibri"/>
          <w:sz w:val="24"/>
          <w:szCs w:val="24"/>
        </w:rPr>
      </w:pPr>
      <w:r w:rsidRPr="00D0329A">
        <w:rPr>
          <w:rFonts w:ascii="Calibri" w:hAnsi="Calibri" w:cs="Calibri"/>
          <w:sz w:val="24"/>
          <w:szCs w:val="24"/>
        </w:rPr>
        <w:t xml:space="preserve">Adnan, M., Habib, A., Ashraf, J., </w:t>
      </w:r>
      <w:proofErr w:type="spellStart"/>
      <w:r w:rsidRPr="00D0329A">
        <w:rPr>
          <w:rFonts w:ascii="Calibri" w:hAnsi="Calibri" w:cs="Calibri"/>
          <w:sz w:val="24"/>
          <w:szCs w:val="24"/>
        </w:rPr>
        <w:t>Mussadiq</w:t>
      </w:r>
      <w:proofErr w:type="spellEnd"/>
      <w:r w:rsidRPr="00D0329A">
        <w:rPr>
          <w:rFonts w:ascii="Calibri" w:hAnsi="Calibri" w:cs="Calibri"/>
          <w:sz w:val="24"/>
          <w:szCs w:val="24"/>
        </w:rPr>
        <w:t xml:space="preserve">, S., Raza, A.A., Abid, M., Bashir, M. and Khan, S.U. (2021) ‘Predicting at-risk students at different percentages of course length for early intervention using machine learning models’, </w:t>
      </w:r>
      <w:r w:rsidRPr="00D0329A">
        <w:rPr>
          <w:rFonts w:ascii="Calibri" w:hAnsi="Calibri" w:cs="Calibri"/>
          <w:i/>
          <w:iCs/>
          <w:sz w:val="24"/>
          <w:szCs w:val="24"/>
        </w:rPr>
        <w:t>IEEE Access</w:t>
      </w:r>
      <w:r w:rsidRPr="00D0329A">
        <w:rPr>
          <w:rFonts w:ascii="Calibri" w:hAnsi="Calibri" w:cs="Calibri"/>
          <w:sz w:val="24"/>
          <w:szCs w:val="24"/>
        </w:rPr>
        <w:t xml:space="preserve">, 9, pp. 7519–7539. </w:t>
      </w:r>
      <w:hyperlink r:id="rId15" w:history="1">
        <w:r w:rsidRPr="00D0329A">
          <w:rPr>
            <w:rStyle w:val="Hyperlink"/>
            <w:rFonts w:ascii="Calibri" w:hAnsi="Calibri" w:cs="Calibri"/>
            <w:sz w:val="24"/>
            <w:szCs w:val="24"/>
          </w:rPr>
          <w:t>https://doi.org/10.1109/ACCESS.2021.3049446</w:t>
        </w:r>
      </w:hyperlink>
    </w:p>
    <w:p w14:paraId="435CD2BD" w14:textId="282AC5D6" w:rsidR="001F4389" w:rsidRPr="00D0329A" w:rsidRDefault="0036540E" w:rsidP="001B5161">
      <w:pPr>
        <w:spacing w:line="240" w:lineRule="auto"/>
        <w:ind w:left="720" w:hanging="720"/>
        <w:jc w:val="both"/>
        <w:rPr>
          <w:rFonts w:ascii="Calibri" w:hAnsi="Calibri" w:cs="Calibri"/>
          <w:sz w:val="24"/>
          <w:szCs w:val="24"/>
        </w:rPr>
      </w:pPr>
      <w:proofErr w:type="spellStart"/>
      <w:r w:rsidRPr="00D0329A">
        <w:rPr>
          <w:rFonts w:ascii="Calibri" w:hAnsi="Calibri" w:cs="Calibri"/>
          <w:sz w:val="24"/>
          <w:szCs w:val="24"/>
        </w:rPr>
        <w:t>Akçapınar</w:t>
      </w:r>
      <w:proofErr w:type="spellEnd"/>
      <w:r w:rsidRPr="00D0329A">
        <w:rPr>
          <w:rFonts w:ascii="Calibri" w:hAnsi="Calibri" w:cs="Calibri"/>
          <w:sz w:val="24"/>
          <w:szCs w:val="24"/>
        </w:rPr>
        <w:t xml:space="preserve">, G., Altun, A. and </w:t>
      </w:r>
      <w:proofErr w:type="spellStart"/>
      <w:r w:rsidRPr="00D0329A">
        <w:rPr>
          <w:rFonts w:ascii="Calibri" w:hAnsi="Calibri" w:cs="Calibri"/>
          <w:sz w:val="24"/>
          <w:szCs w:val="24"/>
        </w:rPr>
        <w:t>Aşkar</w:t>
      </w:r>
      <w:proofErr w:type="spellEnd"/>
      <w:r w:rsidRPr="00D0329A">
        <w:rPr>
          <w:rFonts w:ascii="Calibri" w:hAnsi="Calibri" w:cs="Calibri"/>
          <w:sz w:val="24"/>
          <w:szCs w:val="24"/>
        </w:rPr>
        <w:t xml:space="preserve">, P. (2019) ‘Using learning analytics to develop early-warning system for at-risk students’, </w:t>
      </w:r>
      <w:r w:rsidRPr="00D0329A">
        <w:rPr>
          <w:rFonts w:ascii="Calibri" w:hAnsi="Calibri" w:cs="Calibri"/>
          <w:i/>
          <w:iCs/>
          <w:sz w:val="24"/>
          <w:szCs w:val="24"/>
        </w:rPr>
        <w:t>International Journal of Educational Technology in Higher Education</w:t>
      </w:r>
      <w:r w:rsidRPr="00D0329A">
        <w:rPr>
          <w:rFonts w:ascii="Calibri" w:hAnsi="Calibri" w:cs="Calibri"/>
          <w:sz w:val="24"/>
          <w:szCs w:val="24"/>
        </w:rPr>
        <w:t>, 16,</w:t>
      </w:r>
      <w:r w:rsidR="00F50E8E" w:rsidRPr="00D0329A">
        <w:rPr>
          <w:rFonts w:ascii="Calibri" w:hAnsi="Calibri" w:cs="Calibri"/>
          <w:sz w:val="24"/>
          <w:szCs w:val="24"/>
        </w:rPr>
        <w:t xml:space="preserve"> </w:t>
      </w:r>
      <w:r w:rsidRPr="00D0329A">
        <w:rPr>
          <w:rFonts w:ascii="Calibri" w:hAnsi="Calibri" w:cs="Calibri"/>
          <w:sz w:val="24"/>
          <w:szCs w:val="24"/>
        </w:rPr>
        <w:t xml:space="preserve">40. </w:t>
      </w:r>
      <w:hyperlink r:id="rId16" w:tgtFrame="_new" w:history="1">
        <w:r w:rsidRPr="00D0329A">
          <w:rPr>
            <w:rStyle w:val="Hyperlink"/>
            <w:rFonts w:ascii="Calibri" w:hAnsi="Calibri" w:cs="Calibri"/>
            <w:sz w:val="24"/>
            <w:szCs w:val="24"/>
          </w:rPr>
          <w:t>https://doi.org/10.1186/s41239-019-0172-z</w:t>
        </w:r>
      </w:hyperlink>
    </w:p>
    <w:p w14:paraId="539978E5" w14:textId="58F6F27F" w:rsidR="00233B8C" w:rsidRPr="00D0329A" w:rsidRDefault="00360139" w:rsidP="001B5161">
      <w:pPr>
        <w:spacing w:line="240" w:lineRule="auto"/>
        <w:ind w:left="720" w:hanging="720"/>
        <w:jc w:val="both"/>
        <w:rPr>
          <w:rFonts w:ascii="Calibri" w:hAnsi="Calibri" w:cs="Calibri"/>
          <w:sz w:val="24"/>
          <w:szCs w:val="24"/>
        </w:rPr>
      </w:pPr>
      <w:proofErr w:type="spellStart"/>
      <w:r w:rsidRPr="00D0329A">
        <w:rPr>
          <w:rFonts w:ascii="Calibri" w:hAnsi="Calibri" w:cs="Calibri"/>
          <w:sz w:val="24"/>
          <w:szCs w:val="24"/>
        </w:rPr>
        <w:t>Aljohani</w:t>
      </w:r>
      <w:proofErr w:type="spellEnd"/>
      <w:r w:rsidRPr="00D0329A">
        <w:rPr>
          <w:rFonts w:ascii="Calibri" w:hAnsi="Calibri" w:cs="Calibri"/>
          <w:sz w:val="24"/>
          <w:szCs w:val="24"/>
        </w:rPr>
        <w:t xml:space="preserve">, N.R., </w:t>
      </w:r>
      <w:proofErr w:type="spellStart"/>
      <w:r w:rsidRPr="00D0329A">
        <w:rPr>
          <w:rFonts w:ascii="Calibri" w:hAnsi="Calibri" w:cs="Calibri"/>
          <w:sz w:val="24"/>
          <w:szCs w:val="24"/>
        </w:rPr>
        <w:t>Fayoumi</w:t>
      </w:r>
      <w:proofErr w:type="spellEnd"/>
      <w:r w:rsidRPr="00D0329A">
        <w:rPr>
          <w:rFonts w:ascii="Calibri" w:hAnsi="Calibri" w:cs="Calibri"/>
          <w:sz w:val="24"/>
          <w:szCs w:val="24"/>
        </w:rPr>
        <w:t xml:space="preserve">, A. and Hassan, S.-U. (2019) ‘Predicting at-risk students using clickstream data in the virtual learning environment’, </w:t>
      </w:r>
      <w:r w:rsidRPr="00D0329A">
        <w:rPr>
          <w:rFonts w:ascii="Calibri" w:hAnsi="Calibri" w:cs="Calibri"/>
          <w:i/>
          <w:iCs/>
          <w:sz w:val="24"/>
          <w:szCs w:val="24"/>
        </w:rPr>
        <w:t>Sustainability</w:t>
      </w:r>
      <w:r w:rsidRPr="00D0329A">
        <w:rPr>
          <w:rFonts w:ascii="Calibri" w:hAnsi="Calibri" w:cs="Calibri"/>
          <w:sz w:val="24"/>
          <w:szCs w:val="24"/>
        </w:rPr>
        <w:t>, 11(24),</w:t>
      </w:r>
      <w:r w:rsidR="00216AD6" w:rsidRPr="00D0329A">
        <w:rPr>
          <w:rFonts w:ascii="Calibri" w:hAnsi="Calibri" w:cs="Calibri"/>
          <w:sz w:val="24"/>
          <w:szCs w:val="24"/>
        </w:rPr>
        <w:t xml:space="preserve"> </w:t>
      </w:r>
      <w:r w:rsidRPr="00D0329A">
        <w:rPr>
          <w:rFonts w:ascii="Calibri" w:hAnsi="Calibri" w:cs="Calibri"/>
          <w:sz w:val="24"/>
          <w:szCs w:val="24"/>
        </w:rPr>
        <w:t xml:space="preserve">7238. </w:t>
      </w:r>
      <w:hyperlink r:id="rId17" w:tgtFrame="_new" w:history="1">
        <w:r w:rsidRPr="00D0329A">
          <w:rPr>
            <w:rStyle w:val="Hyperlink"/>
            <w:rFonts w:ascii="Calibri" w:hAnsi="Calibri" w:cs="Calibri"/>
            <w:sz w:val="24"/>
            <w:szCs w:val="24"/>
          </w:rPr>
          <w:t>https://doi.org/10.3390/su11247238</w:t>
        </w:r>
      </w:hyperlink>
    </w:p>
    <w:p w14:paraId="5EFC9899" w14:textId="2558D053" w:rsidR="003518A4" w:rsidRPr="00D0329A" w:rsidRDefault="003518A4" w:rsidP="001B5161">
      <w:pPr>
        <w:spacing w:line="240" w:lineRule="auto"/>
        <w:ind w:left="720" w:hanging="720"/>
        <w:jc w:val="both"/>
        <w:rPr>
          <w:rFonts w:ascii="Calibri" w:hAnsi="Calibri" w:cs="Calibri"/>
          <w:sz w:val="24"/>
          <w:szCs w:val="24"/>
        </w:rPr>
      </w:pPr>
      <w:r w:rsidRPr="00D0329A">
        <w:rPr>
          <w:rFonts w:ascii="Calibri" w:hAnsi="Calibri" w:cs="Calibri"/>
          <w:sz w:val="24"/>
          <w:szCs w:val="24"/>
        </w:rPr>
        <w:t xml:space="preserve">Bird, K.A., Castleman, B.L. and Song, Y. (2025) ‘Are algorithms biased in education? Exploring racial bias in predicting community college student success’, </w:t>
      </w:r>
      <w:r w:rsidRPr="00D0329A">
        <w:rPr>
          <w:rFonts w:ascii="Calibri" w:hAnsi="Calibri" w:cs="Calibri"/>
          <w:i/>
          <w:iCs/>
          <w:sz w:val="24"/>
          <w:szCs w:val="24"/>
        </w:rPr>
        <w:t>Journal of Policy Analysis and Management</w:t>
      </w:r>
      <w:r w:rsidRPr="00D0329A">
        <w:rPr>
          <w:rFonts w:ascii="Calibri" w:hAnsi="Calibri" w:cs="Calibri"/>
          <w:sz w:val="24"/>
          <w:szCs w:val="24"/>
        </w:rPr>
        <w:t xml:space="preserve">, 44(2), pp. 379–402. </w:t>
      </w:r>
      <w:hyperlink r:id="rId18" w:history="1">
        <w:r w:rsidRPr="00D0329A">
          <w:rPr>
            <w:rStyle w:val="Hyperlink"/>
            <w:rFonts w:ascii="Calibri" w:hAnsi="Calibri" w:cs="Calibri"/>
            <w:sz w:val="24"/>
            <w:szCs w:val="24"/>
          </w:rPr>
          <w:t>https://doi.org/10.1002/pam.22569</w:t>
        </w:r>
      </w:hyperlink>
    </w:p>
    <w:p w14:paraId="58059650" w14:textId="2CA25816" w:rsidR="005051DB" w:rsidRPr="00D0329A" w:rsidRDefault="00E02AC8" w:rsidP="001B5161">
      <w:pPr>
        <w:spacing w:line="240" w:lineRule="auto"/>
        <w:ind w:left="720" w:hanging="720"/>
        <w:jc w:val="both"/>
        <w:rPr>
          <w:rFonts w:ascii="Calibri" w:hAnsi="Calibri" w:cs="Calibri"/>
          <w:sz w:val="24"/>
          <w:szCs w:val="24"/>
        </w:rPr>
      </w:pPr>
      <w:proofErr w:type="spellStart"/>
      <w:r w:rsidRPr="00D0329A">
        <w:rPr>
          <w:rFonts w:ascii="Calibri" w:hAnsi="Calibri" w:cs="Calibri"/>
          <w:sz w:val="24"/>
          <w:szCs w:val="24"/>
        </w:rPr>
        <w:t>Breiman</w:t>
      </w:r>
      <w:proofErr w:type="spellEnd"/>
      <w:r w:rsidRPr="00D0329A">
        <w:rPr>
          <w:rFonts w:ascii="Calibri" w:hAnsi="Calibri" w:cs="Calibri"/>
          <w:sz w:val="24"/>
          <w:szCs w:val="24"/>
        </w:rPr>
        <w:t xml:space="preserve">, L. (2001) ‘Random forests’, </w:t>
      </w:r>
      <w:r w:rsidRPr="00D0329A">
        <w:rPr>
          <w:rFonts w:ascii="Calibri" w:hAnsi="Calibri" w:cs="Calibri"/>
          <w:i/>
          <w:iCs/>
          <w:sz w:val="24"/>
          <w:szCs w:val="24"/>
        </w:rPr>
        <w:t>Machine Learning</w:t>
      </w:r>
      <w:r w:rsidRPr="00D0329A">
        <w:rPr>
          <w:rFonts w:ascii="Calibri" w:hAnsi="Calibri" w:cs="Calibri"/>
          <w:sz w:val="24"/>
          <w:szCs w:val="24"/>
        </w:rPr>
        <w:t xml:space="preserve">, 45, pp. 5–32. </w:t>
      </w:r>
      <w:hyperlink r:id="rId19" w:history="1">
        <w:r w:rsidR="005051DB" w:rsidRPr="00D0329A">
          <w:rPr>
            <w:rStyle w:val="Hyperlink"/>
            <w:rFonts w:ascii="Calibri" w:hAnsi="Calibri" w:cs="Calibri"/>
            <w:sz w:val="24"/>
            <w:szCs w:val="24"/>
          </w:rPr>
          <w:t>https://doi.org/10.1023/A:1010933404324</w:t>
        </w:r>
      </w:hyperlink>
    </w:p>
    <w:p w14:paraId="64E4D232" w14:textId="1DD0B10F" w:rsidR="00CB64C8" w:rsidRPr="00D0329A" w:rsidRDefault="004D4A43" w:rsidP="001B5161">
      <w:pPr>
        <w:spacing w:line="240" w:lineRule="auto"/>
        <w:ind w:left="720" w:hanging="720"/>
        <w:jc w:val="both"/>
        <w:rPr>
          <w:rFonts w:ascii="Calibri" w:hAnsi="Calibri" w:cs="Calibri"/>
          <w:sz w:val="24"/>
          <w:szCs w:val="24"/>
        </w:rPr>
      </w:pPr>
      <w:r w:rsidRPr="00D0329A">
        <w:rPr>
          <w:rFonts w:ascii="Calibri" w:hAnsi="Calibri" w:cs="Calibri"/>
          <w:sz w:val="24"/>
          <w:szCs w:val="24"/>
        </w:rPr>
        <w:t xml:space="preserve">Chang, Y.-H., Chen, F.-C. and Lee, C.-I. (2025) ‘Developing an early warning system with personalized interventions to enhance academic outcomes for at-risk students in Taiwanese higher education’, </w:t>
      </w:r>
      <w:r w:rsidRPr="00D0329A">
        <w:rPr>
          <w:rFonts w:ascii="Calibri" w:hAnsi="Calibri" w:cs="Calibri"/>
          <w:i/>
          <w:iCs/>
          <w:sz w:val="24"/>
          <w:szCs w:val="24"/>
        </w:rPr>
        <w:t>Education Sciences</w:t>
      </w:r>
      <w:r w:rsidRPr="00D0329A">
        <w:rPr>
          <w:rFonts w:ascii="Calibri" w:hAnsi="Calibri" w:cs="Calibri"/>
          <w:sz w:val="24"/>
          <w:szCs w:val="24"/>
        </w:rPr>
        <w:t>, 15(10),</w:t>
      </w:r>
      <w:r w:rsidR="00D03DFB" w:rsidRPr="00D0329A">
        <w:rPr>
          <w:rFonts w:ascii="Calibri" w:hAnsi="Calibri" w:cs="Calibri"/>
          <w:sz w:val="24"/>
          <w:szCs w:val="24"/>
        </w:rPr>
        <w:t xml:space="preserve"> </w:t>
      </w:r>
      <w:r w:rsidRPr="00D0329A">
        <w:rPr>
          <w:rFonts w:ascii="Calibri" w:hAnsi="Calibri" w:cs="Calibri"/>
          <w:sz w:val="24"/>
          <w:szCs w:val="24"/>
        </w:rPr>
        <w:t xml:space="preserve">1321. </w:t>
      </w:r>
      <w:hyperlink r:id="rId20" w:tgtFrame="_new" w:history="1">
        <w:r w:rsidRPr="00D0329A">
          <w:rPr>
            <w:rStyle w:val="Hyperlink"/>
            <w:rFonts w:ascii="Calibri" w:hAnsi="Calibri" w:cs="Calibri"/>
            <w:sz w:val="24"/>
            <w:szCs w:val="24"/>
          </w:rPr>
          <w:t>https://doi.org/10.3390/educsci15101321</w:t>
        </w:r>
      </w:hyperlink>
    </w:p>
    <w:p w14:paraId="1225E484" w14:textId="29014B54" w:rsidR="00A30177" w:rsidRPr="00D0329A" w:rsidRDefault="00A30177" w:rsidP="001B5161">
      <w:pPr>
        <w:spacing w:line="240" w:lineRule="auto"/>
        <w:ind w:left="720" w:hanging="720"/>
        <w:jc w:val="both"/>
        <w:rPr>
          <w:rFonts w:ascii="Calibri" w:hAnsi="Calibri" w:cs="Calibri"/>
          <w:sz w:val="24"/>
          <w:szCs w:val="24"/>
        </w:rPr>
      </w:pPr>
      <w:r w:rsidRPr="00D0329A">
        <w:rPr>
          <w:rFonts w:ascii="Calibri" w:hAnsi="Calibri" w:cs="Calibri"/>
          <w:sz w:val="24"/>
          <w:szCs w:val="24"/>
        </w:rPr>
        <w:t xml:space="preserve">Chawla, N.V., Bowyer, K.W., Hall, L.O. and </w:t>
      </w:r>
      <w:proofErr w:type="spellStart"/>
      <w:r w:rsidRPr="00D0329A">
        <w:rPr>
          <w:rFonts w:ascii="Calibri" w:hAnsi="Calibri" w:cs="Calibri"/>
          <w:sz w:val="24"/>
          <w:szCs w:val="24"/>
        </w:rPr>
        <w:t>Kegelmeyer</w:t>
      </w:r>
      <w:proofErr w:type="spellEnd"/>
      <w:r w:rsidRPr="00D0329A">
        <w:rPr>
          <w:rFonts w:ascii="Calibri" w:hAnsi="Calibri" w:cs="Calibri"/>
          <w:sz w:val="24"/>
          <w:szCs w:val="24"/>
        </w:rPr>
        <w:t xml:space="preserve">, W.P. (2002) ‘SMOTE: synthetic minority over-sampling technique’, </w:t>
      </w:r>
      <w:r w:rsidRPr="00D0329A">
        <w:rPr>
          <w:rFonts w:ascii="Calibri" w:hAnsi="Calibri" w:cs="Calibri"/>
          <w:i/>
          <w:iCs/>
          <w:sz w:val="24"/>
          <w:szCs w:val="24"/>
        </w:rPr>
        <w:t>Journal of Artificial Intelligence Research</w:t>
      </w:r>
      <w:r w:rsidRPr="00D0329A">
        <w:rPr>
          <w:rFonts w:ascii="Calibri" w:hAnsi="Calibri" w:cs="Calibri"/>
          <w:sz w:val="24"/>
          <w:szCs w:val="24"/>
        </w:rPr>
        <w:t xml:space="preserve">, 16, pp. 321–357. </w:t>
      </w:r>
      <w:hyperlink r:id="rId21" w:history="1">
        <w:r w:rsidRPr="00D0329A">
          <w:rPr>
            <w:rStyle w:val="Hyperlink"/>
            <w:rFonts w:ascii="Calibri" w:hAnsi="Calibri" w:cs="Calibri"/>
            <w:sz w:val="24"/>
            <w:szCs w:val="24"/>
          </w:rPr>
          <w:t>https://doi.org/10.1613/jair.953</w:t>
        </w:r>
      </w:hyperlink>
    </w:p>
    <w:p w14:paraId="16090136" w14:textId="31B3B0EF" w:rsidR="005276A0" w:rsidRPr="00D0329A" w:rsidRDefault="005276A0" w:rsidP="001B5161">
      <w:pPr>
        <w:spacing w:line="240" w:lineRule="auto"/>
        <w:ind w:left="720" w:hanging="720"/>
        <w:jc w:val="both"/>
        <w:rPr>
          <w:rFonts w:ascii="Calibri" w:hAnsi="Calibri" w:cs="Calibri"/>
          <w:sz w:val="24"/>
          <w:szCs w:val="24"/>
        </w:rPr>
      </w:pPr>
      <w:r w:rsidRPr="00D0329A">
        <w:rPr>
          <w:rFonts w:ascii="Calibri" w:hAnsi="Calibri" w:cs="Calibri"/>
          <w:sz w:val="24"/>
          <w:szCs w:val="24"/>
        </w:rPr>
        <w:t xml:space="preserve">Chen, T. and </w:t>
      </w:r>
      <w:proofErr w:type="spellStart"/>
      <w:r w:rsidRPr="00D0329A">
        <w:rPr>
          <w:rFonts w:ascii="Calibri" w:hAnsi="Calibri" w:cs="Calibri"/>
          <w:sz w:val="24"/>
          <w:szCs w:val="24"/>
        </w:rPr>
        <w:t>Guestrin</w:t>
      </w:r>
      <w:proofErr w:type="spellEnd"/>
      <w:r w:rsidRPr="00D0329A">
        <w:rPr>
          <w:rFonts w:ascii="Calibri" w:hAnsi="Calibri" w:cs="Calibri"/>
          <w:sz w:val="24"/>
          <w:szCs w:val="24"/>
        </w:rPr>
        <w:t>, C. (2016) ‘</w:t>
      </w:r>
      <w:proofErr w:type="spellStart"/>
      <w:r w:rsidRPr="00D0329A">
        <w:rPr>
          <w:rFonts w:ascii="Calibri" w:hAnsi="Calibri" w:cs="Calibri"/>
          <w:sz w:val="24"/>
          <w:szCs w:val="24"/>
        </w:rPr>
        <w:t>XGBoost</w:t>
      </w:r>
      <w:proofErr w:type="spellEnd"/>
      <w:r w:rsidRPr="00D0329A">
        <w:rPr>
          <w:rFonts w:ascii="Calibri" w:hAnsi="Calibri" w:cs="Calibri"/>
          <w:sz w:val="24"/>
          <w:szCs w:val="24"/>
        </w:rPr>
        <w:t xml:space="preserve">: a scalable tree boosting system’, in </w:t>
      </w:r>
      <w:r w:rsidRPr="00D0329A">
        <w:rPr>
          <w:rFonts w:ascii="Calibri" w:hAnsi="Calibri" w:cs="Calibri"/>
          <w:i/>
          <w:iCs/>
          <w:sz w:val="24"/>
          <w:szCs w:val="24"/>
        </w:rPr>
        <w:t>Proceedings of the 22nd ACM SIGKDD International Conference on Knowledge Discovery and Data Mining (KDD ’16)</w:t>
      </w:r>
      <w:r w:rsidRPr="00D0329A">
        <w:rPr>
          <w:rFonts w:ascii="Calibri" w:hAnsi="Calibri" w:cs="Calibri"/>
          <w:sz w:val="24"/>
          <w:szCs w:val="24"/>
        </w:rPr>
        <w:t xml:space="preserve">. New York: Association for Computing Machinery (ACM), pp. 785–794. </w:t>
      </w:r>
      <w:hyperlink r:id="rId22" w:tgtFrame="_new" w:history="1">
        <w:r w:rsidRPr="00D0329A">
          <w:rPr>
            <w:rStyle w:val="Hyperlink"/>
            <w:rFonts w:ascii="Calibri" w:hAnsi="Calibri" w:cs="Calibri"/>
            <w:sz w:val="24"/>
            <w:szCs w:val="24"/>
          </w:rPr>
          <w:t>https://doi.org/10.1145/2939672.2939785</w:t>
        </w:r>
      </w:hyperlink>
    </w:p>
    <w:p w14:paraId="5F2991AD" w14:textId="55977C04" w:rsidR="00022CF4" w:rsidRPr="00D0329A" w:rsidRDefault="00022CF4" w:rsidP="001B5161">
      <w:pPr>
        <w:spacing w:line="240" w:lineRule="auto"/>
        <w:ind w:left="720" w:hanging="720"/>
        <w:jc w:val="both"/>
        <w:rPr>
          <w:rFonts w:ascii="Calibri" w:hAnsi="Calibri" w:cs="Calibri"/>
          <w:sz w:val="24"/>
          <w:szCs w:val="24"/>
        </w:rPr>
      </w:pPr>
      <w:r w:rsidRPr="00D0329A">
        <w:rPr>
          <w:rFonts w:ascii="Calibri" w:hAnsi="Calibri" w:cs="Calibri"/>
          <w:sz w:val="24"/>
          <w:szCs w:val="24"/>
        </w:rPr>
        <w:t xml:space="preserve">Dai, W., Lin, J., Jin, F.J.-Y., Tsai, Y.-S., Srivastava, N., Le </w:t>
      </w:r>
      <w:proofErr w:type="spellStart"/>
      <w:r w:rsidRPr="00D0329A">
        <w:rPr>
          <w:rFonts w:ascii="Calibri" w:hAnsi="Calibri" w:cs="Calibri"/>
          <w:sz w:val="24"/>
          <w:szCs w:val="24"/>
        </w:rPr>
        <w:t>Bodic</w:t>
      </w:r>
      <w:proofErr w:type="spellEnd"/>
      <w:r w:rsidRPr="00D0329A">
        <w:rPr>
          <w:rFonts w:ascii="Calibri" w:hAnsi="Calibri" w:cs="Calibri"/>
          <w:sz w:val="24"/>
          <w:szCs w:val="24"/>
        </w:rPr>
        <w:t xml:space="preserve">, P., Gašević, D. and Chen, G. (2025) ‘Learning analytics for early identification of at-risk students and feedback intervention’, </w:t>
      </w:r>
      <w:r w:rsidRPr="00D0329A">
        <w:rPr>
          <w:rFonts w:ascii="Calibri" w:hAnsi="Calibri" w:cs="Calibri"/>
          <w:i/>
          <w:iCs/>
          <w:sz w:val="24"/>
          <w:szCs w:val="24"/>
        </w:rPr>
        <w:t>Journal of Learning Analytics</w:t>
      </w:r>
      <w:r w:rsidRPr="00D0329A">
        <w:rPr>
          <w:rFonts w:ascii="Calibri" w:hAnsi="Calibri" w:cs="Calibri"/>
          <w:sz w:val="24"/>
          <w:szCs w:val="24"/>
        </w:rPr>
        <w:t xml:space="preserve">, 12(3), pp. 102–125. </w:t>
      </w:r>
      <w:hyperlink r:id="rId23" w:history="1">
        <w:r w:rsidRPr="00D0329A">
          <w:rPr>
            <w:rStyle w:val="Hyperlink"/>
            <w:rFonts w:ascii="Calibri" w:hAnsi="Calibri" w:cs="Calibri"/>
            <w:sz w:val="24"/>
            <w:szCs w:val="24"/>
          </w:rPr>
          <w:t>https://doi.org/10.18608/jla.2025.8735</w:t>
        </w:r>
      </w:hyperlink>
    </w:p>
    <w:p w14:paraId="2CB1EE1B" w14:textId="710310AC" w:rsidR="00D96EDF" w:rsidRPr="00D0329A" w:rsidRDefault="00D96EDF" w:rsidP="001B5161">
      <w:pPr>
        <w:spacing w:line="240" w:lineRule="auto"/>
        <w:ind w:left="720" w:hanging="720"/>
        <w:jc w:val="both"/>
        <w:rPr>
          <w:rFonts w:ascii="Calibri" w:hAnsi="Calibri" w:cs="Calibri"/>
          <w:sz w:val="24"/>
          <w:szCs w:val="24"/>
        </w:rPr>
      </w:pPr>
      <w:r w:rsidRPr="00D0329A">
        <w:rPr>
          <w:rFonts w:ascii="Calibri" w:hAnsi="Calibri" w:cs="Calibri"/>
          <w:sz w:val="24"/>
          <w:szCs w:val="24"/>
        </w:rPr>
        <w:t xml:space="preserve">García-Céspedes, R., Alias-Carrascosa, F.J. and Moreno, M. (2025) ‘On machine learning models explainability in the banking sector: the case of SHAP’, </w:t>
      </w:r>
      <w:r w:rsidRPr="00D0329A">
        <w:rPr>
          <w:rFonts w:ascii="Calibri" w:hAnsi="Calibri" w:cs="Calibri"/>
          <w:i/>
          <w:iCs/>
          <w:sz w:val="24"/>
          <w:szCs w:val="24"/>
        </w:rPr>
        <w:t>Journal of the Operational Research Society</w:t>
      </w:r>
      <w:r w:rsidRPr="00D0329A">
        <w:rPr>
          <w:rFonts w:ascii="Calibri" w:hAnsi="Calibri" w:cs="Calibri"/>
          <w:sz w:val="24"/>
          <w:szCs w:val="24"/>
        </w:rPr>
        <w:t xml:space="preserve">, 76(12), pp. 2591–2603. </w:t>
      </w:r>
      <w:hyperlink r:id="rId24" w:history="1">
        <w:r w:rsidRPr="00D0329A">
          <w:rPr>
            <w:rStyle w:val="Hyperlink"/>
            <w:rFonts w:ascii="Calibri" w:hAnsi="Calibri" w:cs="Calibri"/>
            <w:sz w:val="24"/>
            <w:szCs w:val="24"/>
          </w:rPr>
          <w:t>https://doi.org/10.1080/01605682.2025.2485263</w:t>
        </w:r>
      </w:hyperlink>
      <w:r w:rsidRPr="00D0329A">
        <w:rPr>
          <w:rFonts w:ascii="Calibri" w:hAnsi="Calibri" w:cs="Calibri"/>
          <w:sz w:val="24"/>
          <w:szCs w:val="24"/>
        </w:rPr>
        <w:t xml:space="preserve"> </w:t>
      </w:r>
    </w:p>
    <w:p w14:paraId="0BF26BC7" w14:textId="2F7D9253" w:rsidR="00F620F5" w:rsidRPr="00D0329A" w:rsidRDefault="00F620F5" w:rsidP="001B5161">
      <w:pPr>
        <w:spacing w:line="240" w:lineRule="auto"/>
        <w:ind w:left="720" w:hanging="720"/>
        <w:jc w:val="both"/>
        <w:rPr>
          <w:rFonts w:ascii="Calibri" w:hAnsi="Calibri" w:cs="Calibri"/>
          <w:sz w:val="24"/>
          <w:szCs w:val="24"/>
        </w:rPr>
      </w:pPr>
      <w:r w:rsidRPr="00D0329A">
        <w:rPr>
          <w:rFonts w:ascii="Calibri" w:hAnsi="Calibri" w:cs="Calibri"/>
          <w:sz w:val="24"/>
          <w:szCs w:val="24"/>
        </w:rPr>
        <w:t xml:space="preserve">Gardner, J., Brooks, C. and Baker, R.S. (2019) ‘Evaluating the fairness of predictive student models through slicing analysis’, in </w:t>
      </w:r>
      <w:r w:rsidRPr="00D0329A">
        <w:rPr>
          <w:rFonts w:ascii="Calibri" w:hAnsi="Calibri" w:cs="Calibri"/>
          <w:i/>
          <w:iCs/>
          <w:sz w:val="24"/>
          <w:szCs w:val="24"/>
        </w:rPr>
        <w:t>Proceedings of the 9th International Conference on Learning Analytics &amp; Knowledge (LAK19)</w:t>
      </w:r>
      <w:r w:rsidRPr="00D0329A">
        <w:rPr>
          <w:rFonts w:ascii="Calibri" w:hAnsi="Calibri" w:cs="Calibri"/>
          <w:sz w:val="24"/>
          <w:szCs w:val="24"/>
        </w:rPr>
        <w:t xml:space="preserve">. New York: Association for Computing Machinery (ACM), pp. 225–234. </w:t>
      </w:r>
      <w:hyperlink r:id="rId25" w:tgtFrame="_new" w:history="1">
        <w:r w:rsidRPr="00D0329A">
          <w:rPr>
            <w:rStyle w:val="Hyperlink"/>
            <w:rFonts w:ascii="Calibri" w:hAnsi="Calibri" w:cs="Calibri"/>
            <w:sz w:val="24"/>
            <w:szCs w:val="24"/>
          </w:rPr>
          <w:t>https://doi.org/10.1145/3303772.3303791</w:t>
        </w:r>
      </w:hyperlink>
    </w:p>
    <w:p w14:paraId="24E37B33" w14:textId="76B7C3F1" w:rsidR="006619EC" w:rsidRPr="00D0329A" w:rsidRDefault="006619EC" w:rsidP="001B5161">
      <w:pPr>
        <w:spacing w:line="240" w:lineRule="auto"/>
        <w:ind w:left="720" w:hanging="720"/>
        <w:jc w:val="both"/>
        <w:rPr>
          <w:rFonts w:ascii="Calibri" w:hAnsi="Calibri" w:cs="Calibri"/>
          <w:sz w:val="24"/>
          <w:szCs w:val="24"/>
        </w:rPr>
      </w:pPr>
      <w:proofErr w:type="spellStart"/>
      <w:r w:rsidRPr="00D0329A">
        <w:rPr>
          <w:rFonts w:ascii="Calibri" w:hAnsi="Calibri" w:cs="Calibri"/>
          <w:sz w:val="24"/>
          <w:szCs w:val="24"/>
        </w:rPr>
        <w:t>Grinsztajn</w:t>
      </w:r>
      <w:proofErr w:type="spellEnd"/>
      <w:r w:rsidRPr="00D0329A">
        <w:rPr>
          <w:rFonts w:ascii="Calibri" w:hAnsi="Calibri" w:cs="Calibri"/>
          <w:sz w:val="24"/>
          <w:szCs w:val="24"/>
        </w:rPr>
        <w:t xml:space="preserve">, L., </w:t>
      </w:r>
      <w:proofErr w:type="spellStart"/>
      <w:r w:rsidRPr="00D0329A">
        <w:rPr>
          <w:rFonts w:ascii="Calibri" w:hAnsi="Calibri" w:cs="Calibri"/>
          <w:sz w:val="24"/>
          <w:szCs w:val="24"/>
        </w:rPr>
        <w:t>Oyallon</w:t>
      </w:r>
      <w:proofErr w:type="spellEnd"/>
      <w:r w:rsidRPr="00D0329A">
        <w:rPr>
          <w:rFonts w:ascii="Calibri" w:hAnsi="Calibri" w:cs="Calibri"/>
          <w:sz w:val="24"/>
          <w:szCs w:val="24"/>
        </w:rPr>
        <w:t xml:space="preserve">, E. and </w:t>
      </w:r>
      <w:proofErr w:type="spellStart"/>
      <w:r w:rsidRPr="00D0329A">
        <w:rPr>
          <w:rFonts w:ascii="Calibri" w:hAnsi="Calibri" w:cs="Calibri"/>
          <w:sz w:val="24"/>
          <w:szCs w:val="24"/>
        </w:rPr>
        <w:t>Varoquaux</w:t>
      </w:r>
      <w:proofErr w:type="spellEnd"/>
      <w:r w:rsidRPr="00D0329A">
        <w:rPr>
          <w:rFonts w:ascii="Calibri" w:hAnsi="Calibri" w:cs="Calibri"/>
          <w:sz w:val="24"/>
          <w:szCs w:val="24"/>
        </w:rPr>
        <w:t xml:space="preserve">, G. (2022) ‘Why do tree-based models still outperform deep learning on typical tabular data?’, in </w:t>
      </w:r>
      <w:r w:rsidRPr="00D0329A">
        <w:rPr>
          <w:rFonts w:ascii="Calibri" w:hAnsi="Calibri" w:cs="Calibri"/>
          <w:i/>
          <w:iCs/>
          <w:sz w:val="24"/>
          <w:szCs w:val="24"/>
        </w:rPr>
        <w:t>Advances in Neural Information Processing Systems 35</w:t>
      </w:r>
      <w:r w:rsidRPr="00D0329A">
        <w:rPr>
          <w:rFonts w:ascii="Calibri" w:hAnsi="Calibri" w:cs="Calibri"/>
          <w:sz w:val="24"/>
          <w:szCs w:val="24"/>
        </w:rPr>
        <w:t>. Red Hook, NY: Curran Associates, pp. 507–520.</w:t>
      </w:r>
      <w:r w:rsidR="00901425" w:rsidRPr="00D0329A">
        <w:rPr>
          <w:rFonts w:ascii="Calibri" w:hAnsi="Calibri" w:cs="Calibri"/>
          <w:sz w:val="24"/>
          <w:szCs w:val="24"/>
        </w:rPr>
        <w:t xml:space="preserve"> </w:t>
      </w:r>
      <w:hyperlink r:id="rId26" w:tgtFrame="_blank" w:history="1">
        <w:r w:rsidR="00901425" w:rsidRPr="00D0329A">
          <w:rPr>
            <w:rStyle w:val="Hyperlink"/>
            <w:rFonts w:ascii="Calibri" w:hAnsi="Calibri" w:cs="Calibri"/>
            <w:sz w:val="24"/>
            <w:szCs w:val="24"/>
          </w:rPr>
          <w:t>https://doi.org/10.52202/068431-0037</w:t>
        </w:r>
      </w:hyperlink>
    </w:p>
    <w:p w14:paraId="629E3813" w14:textId="57A39061" w:rsidR="00962C5F" w:rsidRPr="00D0329A" w:rsidRDefault="005B29C7" w:rsidP="001B5161">
      <w:pPr>
        <w:spacing w:line="240" w:lineRule="auto"/>
        <w:ind w:left="720" w:hanging="720"/>
        <w:jc w:val="both"/>
        <w:rPr>
          <w:rStyle w:val="Hyperlink"/>
          <w:rFonts w:ascii="Calibri" w:hAnsi="Calibri" w:cs="Calibri"/>
          <w:sz w:val="24"/>
          <w:szCs w:val="24"/>
        </w:rPr>
      </w:pPr>
      <w:r w:rsidRPr="00D0329A">
        <w:rPr>
          <w:rFonts w:ascii="Calibri" w:hAnsi="Calibri" w:cs="Calibri"/>
          <w:sz w:val="24"/>
          <w:szCs w:val="24"/>
        </w:rPr>
        <w:t xml:space="preserve">Gupta, A., Garg, D. and Kumar, P. (2022) ‘Mining sequential learning trajectories with hidden Markov models for early prediction of at-risk students in e-learning environments’, </w:t>
      </w:r>
      <w:r w:rsidRPr="00D0329A">
        <w:rPr>
          <w:rFonts w:ascii="Calibri" w:hAnsi="Calibri" w:cs="Calibri"/>
          <w:i/>
          <w:iCs/>
          <w:sz w:val="24"/>
          <w:szCs w:val="24"/>
        </w:rPr>
        <w:t>IEEE Transactions on Learning Technologies</w:t>
      </w:r>
      <w:r w:rsidRPr="00D0329A">
        <w:rPr>
          <w:rFonts w:ascii="Calibri" w:hAnsi="Calibri" w:cs="Calibri"/>
          <w:sz w:val="24"/>
          <w:szCs w:val="24"/>
        </w:rPr>
        <w:t>, 15(</w:t>
      </w:r>
      <w:r w:rsidR="00007DAB" w:rsidRPr="00D0329A">
        <w:rPr>
          <w:rFonts w:ascii="Calibri" w:hAnsi="Calibri" w:cs="Calibri"/>
          <w:sz w:val="24"/>
          <w:szCs w:val="24"/>
        </w:rPr>
        <w:t>6</w:t>
      </w:r>
      <w:r w:rsidRPr="00D0329A">
        <w:rPr>
          <w:rFonts w:ascii="Calibri" w:hAnsi="Calibri" w:cs="Calibri"/>
          <w:sz w:val="24"/>
          <w:szCs w:val="24"/>
        </w:rPr>
        <w:t xml:space="preserve">), pp. </w:t>
      </w:r>
      <w:r w:rsidR="009178CC" w:rsidRPr="00D0329A">
        <w:rPr>
          <w:rFonts w:ascii="Calibri" w:hAnsi="Calibri" w:cs="Calibri"/>
          <w:sz w:val="24"/>
          <w:szCs w:val="24"/>
        </w:rPr>
        <w:t>783</w:t>
      </w:r>
      <w:r w:rsidRPr="00D0329A">
        <w:rPr>
          <w:rFonts w:ascii="Calibri" w:hAnsi="Calibri" w:cs="Calibri"/>
          <w:sz w:val="24"/>
          <w:szCs w:val="24"/>
        </w:rPr>
        <w:t>–</w:t>
      </w:r>
      <w:r w:rsidR="009178CC" w:rsidRPr="00D0329A">
        <w:rPr>
          <w:rFonts w:ascii="Calibri" w:hAnsi="Calibri" w:cs="Calibri"/>
          <w:sz w:val="24"/>
          <w:szCs w:val="24"/>
        </w:rPr>
        <w:t>797</w:t>
      </w:r>
      <w:r w:rsidRPr="00D0329A">
        <w:rPr>
          <w:rFonts w:ascii="Calibri" w:hAnsi="Calibri" w:cs="Calibri"/>
          <w:sz w:val="24"/>
          <w:szCs w:val="24"/>
        </w:rPr>
        <w:t xml:space="preserve">. </w:t>
      </w:r>
      <w:hyperlink r:id="rId27" w:history="1">
        <w:r w:rsidR="001D1A19" w:rsidRPr="00D0329A">
          <w:rPr>
            <w:rStyle w:val="Hyperlink"/>
            <w:rFonts w:ascii="Calibri" w:hAnsi="Calibri" w:cs="Calibri"/>
            <w:sz w:val="24"/>
            <w:szCs w:val="24"/>
          </w:rPr>
          <w:t>https://doi.org/10.1109/TLT.2022.3197486</w:t>
        </w:r>
      </w:hyperlink>
    </w:p>
    <w:p w14:paraId="314D2B4D" w14:textId="05203C82" w:rsidR="008C5121" w:rsidRPr="00D0329A" w:rsidRDefault="00FA2E76" w:rsidP="001B5161">
      <w:pPr>
        <w:spacing w:line="240" w:lineRule="auto"/>
        <w:ind w:left="720" w:hanging="720"/>
        <w:jc w:val="both"/>
        <w:rPr>
          <w:rFonts w:ascii="Calibri" w:hAnsi="Calibri" w:cs="Calibri"/>
          <w:sz w:val="24"/>
          <w:szCs w:val="24"/>
        </w:rPr>
      </w:pPr>
      <w:r w:rsidRPr="00D0329A">
        <w:rPr>
          <w:rFonts w:ascii="Calibri" w:hAnsi="Calibri" w:cs="Calibri"/>
          <w:sz w:val="24"/>
          <w:szCs w:val="24"/>
        </w:rPr>
        <w:t xml:space="preserve">Jin, L., Wang, Y., Song, H. and So, H.J. (2024) ‘Predictive modelling with the Open University Learning Analytics Dataset (OULAD): a systematic literature review’, in Olney, A.M., </w:t>
      </w:r>
      <w:proofErr w:type="spellStart"/>
      <w:r w:rsidRPr="00D0329A">
        <w:rPr>
          <w:rFonts w:ascii="Calibri" w:hAnsi="Calibri" w:cs="Calibri"/>
          <w:sz w:val="24"/>
          <w:szCs w:val="24"/>
        </w:rPr>
        <w:t>Chounta</w:t>
      </w:r>
      <w:proofErr w:type="spellEnd"/>
      <w:r w:rsidRPr="00D0329A">
        <w:rPr>
          <w:rFonts w:ascii="Calibri" w:hAnsi="Calibri" w:cs="Calibri"/>
          <w:sz w:val="24"/>
          <w:szCs w:val="24"/>
        </w:rPr>
        <w:t xml:space="preserve">, I.A., Liu, Z., Santos, O.C. and Bittencourt, I.I. (eds) </w:t>
      </w:r>
      <w:r w:rsidRPr="00D0329A">
        <w:rPr>
          <w:rFonts w:ascii="Calibri" w:hAnsi="Calibri" w:cs="Calibri"/>
          <w:i/>
          <w:iCs/>
          <w:sz w:val="24"/>
          <w:szCs w:val="24"/>
        </w:rPr>
        <w:t>Artificial Intelligence in Education. Posters and Late Breaking Results, Workshops and Tutorials, Industry and Innovation Tracks, Practitioners, Doctoral Consortium and Blue Sky</w:t>
      </w:r>
      <w:r w:rsidRPr="00D0329A">
        <w:rPr>
          <w:rFonts w:ascii="Calibri" w:hAnsi="Calibri" w:cs="Calibri"/>
          <w:sz w:val="24"/>
          <w:szCs w:val="24"/>
        </w:rPr>
        <w:t>. AIED 2024. Communications in Computer and Information Science,</w:t>
      </w:r>
      <w:r w:rsidR="00DC5C31" w:rsidRPr="00D0329A">
        <w:rPr>
          <w:rFonts w:ascii="Calibri" w:hAnsi="Calibri" w:cs="Calibri"/>
          <w:sz w:val="24"/>
          <w:szCs w:val="24"/>
        </w:rPr>
        <w:t xml:space="preserve"> </w:t>
      </w:r>
      <w:r w:rsidRPr="00D0329A">
        <w:rPr>
          <w:rFonts w:ascii="Calibri" w:hAnsi="Calibri" w:cs="Calibri"/>
          <w:sz w:val="24"/>
          <w:szCs w:val="24"/>
        </w:rPr>
        <w:t xml:space="preserve">2150. Cham: Springer, pp. 477–484. </w:t>
      </w:r>
      <w:hyperlink r:id="rId28" w:tgtFrame="_new" w:history="1">
        <w:r w:rsidRPr="00D0329A">
          <w:rPr>
            <w:rStyle w:val="Hyperlink"/>
            <w:rFonts w:ascii="Calibri" w:hAnsi="Calibri" w:cs="Calibri"/>
            <w:sz w:val="24"/>
            <w:szCs w:val="24"/>
          </w:rPr>
          <w:t>https://doi.org/10.1007/978-3-031-64315-6_46</w:t>
        </w:r>
      </w:hyperlink>
    </w:p>
    <w:p w14:paraId="526E3B00" w14:textId="255B5497" w:rsidR="00D4561C" w:rsidRPr="00D0329A" w:rsidRDefault="00546305" w:rsidP="001B5161">
      <w:pPr>
        <w:spacing w:line="240" w:lineRule="auto"/>
        <w:ind w:left="720" w:hanging="720"/>
        <w:jc w:val="both"/>
        <w:rPr>
          <w:rFonts w:ascii="Calibri" w:hAnsi="Calibri" w:cs="Calibri"/>
          <w:sz w:val="24"/>
          <w:szCs w:val="24"/>
        </w:rPr>
      </w:pPr>
      <w:r w:rsidRPr="00D0329A">
        <w:rPr>
          <w:rFonts w:ascii="Calibri" w:hAnsi="Calibri" w:cs="Calibri"/>
          <w:sz w:val="24"/>
          <w:szCs w:val="24"/>
        </w:rPr>
        <w:t xml:space="preserve">Kocsis, Á. and Molnár, G. (2025) ‘Factors influencing academic performance and dropout rates in higher education’, </w:t>
      </w:r>
      <w:r w:rsidRPr="00D0329A">
        <w:rPr>
          <w:rFonts w:ascii="Calibri" w:hAnsi="Calibri" w:cs="Calibri"/>
          <w:i/>
          <w:iCs/>
          <w:sz w:val="24"/>
          <w:szCs w:val="24"/>
        </w:rPr>
        <w:t>Oxford Review of Education</w:t>
      </w:r>
      <w:r w:rsidRPr="00D0329A">
        <w:rPr>
          <w:rFonts w:ascii="Calibri" w:hAnsi="Calibri" w:cs="Calibri"/>
          <w:sz w:val="24"/>
          <w:szCs w:val="24"/>
        </w:rPr>
        <w:t xml:space="preserve">, 51(3), pp. 414–432. </w:t>
      </w:r>
      <w:hyperlink r:id="rId29" w:history="1">
        <w:r w:rsidRPr="00D0329A">
          <w:rPr>
            <w:rStyle w:val="Hyperlink"/>
            <w:rFonts w:ascii="Calibri" w:hAnsi="Calibri" w:cs="Calibri"/>
            <w:sz w:val="24"/>
            <w:szCs w:val="24"/>
          </w:rPr>
          <w:t>https://doi.org/10.1080/03054985.2024.2316616</w:t>
        </w:r>
      </w:hyperlink>
    </w:p>
    <w:p w14:paraId="11F33B54" w14:textId="11324F8A" w:rsidR="00766429" w:rsidRPr="00D0329A" w:rsidRDefault="00D27F88" w:rsidP="001B5161">
      <w:pPr>
        <w:spacing w:line="240" w:lineRule="auto"/>
        <w:ind w:left="720" w:hanging="720"/>
        <w:jc w:val="both"/>
        <w:rPr>
          <w:rFonts w:ascii="Calibri" w:hAnsi="Calibri" w:cs="Calibri"/>
          <w:sz w:val="24"/>
          <w:szCs w:val="24"/>
        </w:rPr>
      </w:pPr>
      <w:r w:rsidRPr="00D0329A">
        <w:rPr>
          <w:rFonts w:ascii="Calibri" w:hAnsi="Calibri" w:cs="Calibri"/>
          <w:sz w:val="24"/>
          <w:szCs w:val="24"/>
        </w:rPr>
        <w:t xml:space="preserve">Kuzilek, J., </w:t>
      </w:r>
      <w:proofErr w:type="spellStart"/>
      <w:r w:rsidRPr="00D0329A">
        <w:rPr>
          <w:rFonts w:ascii="Calibri" w:hAnsi="Calibri" w:cs="Calibri"/>
          <w:sz w:val="24"/>
          <w:szCs w:val="24"/>
        </w:rPr>
        <w:t>Hlosta</w:t>
      </w:r>
      <w:proofErr w:type="spellEnd"/>
      <w:r w:rsidRPr="00D0329A">
        <w:rPr>
          <w:rFonts w:ascii="Calibri" w:hAnsi="Calibri" w:cs="Calibri"/>
          <w:sz w:val="24"/>
          <w:szCs w:val="24"/>
        </w:rPr>
        <w:t xml:space="preserve">, M. and </w:t>
      </w:r>
      <w:proofErr w:type="spellStart"/>
      <w:r w:rsidRPr="00D0329A">
        <w:rPr>
          <w:rFonts w:ascii="Calibri" w:hAnsi="Calibri" w:cs="Calibri"/>
          <w:sz w:val="24"/>
          <w:szCs w:val="24"/>
        </w:rPr>
        <w:t>Zdrahal</w:t>
      </w:r>
      <w:proofErr w:type="spellEnd"/>
      <w:r w:rsidRPr="00D0329A">
        <w:rPr>
          <w:rFonts w:ascii="Calibri" w:hAnsi="Calibri" w:cs="Calibri"/>
          <w:sz w:val="24"/>
          <w:szCs w:val="24"/>
        </w:rPr>
        <w:t xml:space="preserve">, Z. (2017) ‘Open University Learning Analytics dataset’, </w:t>
      </w:r>
      <w:r w:rsidRPr="00D0329A">
        <w:rPr>
          <w:rFonts w:ascii="Calibri" w:hAnsi="Calibri" w:cs="Calibri"/>
          <w:i/>
          <w:iCs/>
          <w:sz w:val="24"/>
          <w:szCs w:val="24"/>
        </w:rPr>
        <w:t>Scientific Data</w:t>
      </w:r>
      <w:r w:rsidRPr="00D0329A">
        <w:rPr>
          <w:rFonts w:ascii="Calibri" w:hAnsi="Calibri" w:cs="Calibri"/>
          <w:sz w:val="24"/>
          <w:szCs w:val="24"/>
        </w:rPr>
        <w:t>, 4,</w:t>
      </w:r>
      <w:r w:rsidR="00E26734" w:rsidRPr="00D0329A">
        <w:rPr>
          <w:rFonts w:ascii="Calibri" w:hAnsi="Calibri" w:cs="Calibri"/>
          <w:sz w:val="24"/>
          <w:szCs w:val="24"/>
        </w:rPr>
        <w:t xml:space="preserve"> </w:t>
      </w:r>
      <w:r w:rsidRPr="00D0329A">
        <w:rPr>
          <w:rFonts w:ascii="Calibri" w:hAnsi="Calibri" w:cs="Calibri"/>
          <w:sz w:val="24"/>
          <w:szCs w:val="24"/>
        </w:rPr>
        <w:t xml:space="preserve">170171. </w:t>
      </w:r>
      <w:hyperlink r:id="rId30" w:tgtFrame="_new" w:history="1">
        <w:r w:rsidRPr="00D0329A">
          <w:rPr>
            <w:rStyle w:val="Hyperlink"/>
            <w:rFonts w:ascii="Calibri" w:hAnsi="Calibri" w:cs="Calibri"/>
            <w:sz w:val="24"/>
            <w:szCs w:val="24"/>
          </w:rPr>
          <w:t>https://doi.org/10.1038/sdata.2017.171</w:t>
        </w:r>
      </w:hyperlink>
    </w:p>
    <w:p w14:paraId="37619536" w14:textId="192942C4" w:rsidR="006C5EAC" w:rsidRPr="00D0329A" w:rsidRDefault="00DD7340" w:rsidP="001B5161">
      <w:pPr>
        <w:spacing w:line="240" w:lineRule="auto"/>
        <w:ind w:left="720" w:hanging="720"/>
        <w:jc w:val="both"/>
        <w:rPr>
          <w:rFonts w:ascii="Calibri" w:hAnsi="Calibri" w:cs="Calibri"/>
          <w:sz w:val="24"/>
          <w:szCs w:val="24"/>
          <w:lang w:val="en-GB"/>
        </w:rPr>
      </w:pPr>
      <w:r w:rsidRPr="00D0329A">
        <w:rPr>
          <w:rFonts w:ascii="Calibri" w:hAnsi="Calibri" w:cs="Calibri"/>
          <w:sz w:val="24"/>
          <w:szCs w:val="24"/>
        </w:rPr>
        <w:t xml:space="preserve">Levy, Y. (2007) ‘Comparing dropouts and persistence in e-learning courses’, </w:t>
      </w:r>
      <w:r w:rsidRPr="00D0329A">
        <w:rPr>
          <w:rFonts w:ascii="Calibri" w:hAnsi="Calibri" w:cs="Calibri"/>
          <w:i/>
          <w:iCs/>
          <w:sz w:val="24"/>
          <w:szCs w:val="24"/>
        </w:rPr>
        <w:t>Computers &amp; Education</w:t>
      </w:r>
      <w:r w:rsidRPr="00D0329A">
        <w:rPr>
          <w:rFonts w:ascii="Calibri" w:hAnsi="Calibri" w:cs="Calibri"/>
          <w:sz w:val="24"/>
          <w:szCs w:val="24"/>
        </w:rPr>
        <w:t xml:space="preserve">, 48(2), pp. 185–204. </w:t>
      </w:r>
      <w:hyperlink r:id="rId31" w:history="1">
        <w:r w:rsidR="000821FC" w:rsidRPr="00D0329A">
          <w:rPr>
            <w:rStyle w:val="Hyperlink"/>
            <w:rFonts w:ascii="Calibri" w:hAnsi="Calibri" w:cs="Calibri"/>
            <w:sz w:val="24"/>
            <w:szCs w:val="24"/>
          </w:rPr>
          <w:t>https://doi.org/10.1016/j.compedu.2004.12.004</w:t>
        </w:r>
      </w:hyperlink>
      <w:r w:rsidR="000821FC" w:rsidRPr="00D0329A">
        <w:rPr>
          <w:rFonts w:ascii="Calibri" w:hAnsi="Calibri" w:cs="Calibri"/>
          <w:sz w:val="24"/>
          <w:szCs w:val="24"/>
        </w:rPr>
        <w:t xml:space="preserve"> </w:t>
      </w:r>
    </w:p>
    <w:p w14:paraId="6857AF88" w14:textId="77777777" w:rsidR="0071253B" w:rsidRPr="00D0329A" w:rsidRDefault="0071253B" w:rsidP="001B5161">
      <w:pPr>
        <w:spacing w:line="240" w:lineRule="auto"/>
        <w:ind w:left="720" w:hanging="720"/>
        <w:jc w:val="both"/>
        <w:rPr>
          <w:rFonts w:ascii="Calibri" w:hAnsi="Calibri" w:cs="Calibri"/>
          <w:sz w:val="24"/>
          <w:szCs w:val="24"/>
        </w:rPr>
      </w:pPr>
      <w:r w:rsidRPr="00D0329A">
        <w:rPr>
          <w:rFonts w:ascii="Calibri" w:hAnsi="Calibri" w:cs="Calibri"/>
          <w:sz w:val="24"/>
          <w:szCs w:val="24"/>
        </w:rPr>
        <w:t>Lundberg, S.M. and Lee, S.-I. (2017) ‘A unified approach to interpreting model predictions’</w:t>
      </w:r>
      <w:r w:rsidRPr="00D0329A">
        <w:rPr>
          <w:rFonts w:ascii="Calibri" w:hAnsi="Calibri" w:cs="Calibri"/>
          <w:i/>
          <w:iCs/>
          <w:sz w:val="24"/>
          <w:szCs w:val="24"/>
        </w:rPr>
        <w:t>, in Advances in Neural Information Processing Systems 30</w:t>
      </w:r>
      <w:r w:rsidRPr="00D0329A">
        <w:rPr>
          <w:rFonts w:ascii="Calibri" w:hAnsi="Calibri" w:cs="Calibri"/>
          <w:sz w:val="24"/>
          <w:szCs w:val="24"/>
        </w:rPr>
        <w:t>. Red Hook, NY: Curran Associates, pp. 4765–4774.</w:t>
      </w:r>
    </w:p>
    <w:p w14:paraId="23950035" w14:textId="7093313E" w:rsidR="00C932C5" w:rsidRPr="00D0329A" w:rsidRDefault="00C932C5" w:rsidP="001B5161">
      <w:pPr>
        <w:spacing w:line="240" w:lineRule="auto"/>
        <w:ind w:left="720" w:hanging="720"/>
        <w:jc w:val="both"/>
        <w:rPr>
          <w:rFonts w:ascii="Calibri" w:hAnsi="Calibri" w:cs="Calibri"/>
          <w:sz w:val="24"/>
          <w:szCs w:val="24"/>
        </w:rPr>
      </w:pPr>
      <w:r w:rsidRPr="00D0329A">
        <w:rPr>
          <w:rFonts w:ascii="Calibri" w:hAnsi="Calibri" w:cs="Calibri"/>
          <w:sz w:val="24"/>
          <w:szCs w:val="24"/>
        </w:rPr>
        <w:t xml:space="preserve">Mukherjee, M. and Khushi, M. (2021) ‘SMOTE-ENC: A novel SMOTE-based method to generate synthetic data for nominal and continuous features’, </w:t>
      </w:r>
      <w:r w:rsidRPr="00D0329A">
        <w:rPr>
          <w:rFonts w:ascii="Calibri" w:hAnsi="Calibri" w:cs="Calibri"/>
          <w:i/>
          <w:iCs/>
          <w:sz w:val="24"/>
          <w:szCs w:val="24"/>
        </w:rPr>
        <w:t>Applied System Innovation</w:t>
      </w:r>
      <w:r w:rsidRPr="00D0329A">
        <w:rPr>
          <w:rFonts w:ascii="Calibri" w:hAnsi="Calibri" w:cs="Calibri"/>
          <w:sz w:val="24"/>
          <w:szCs w:val="24"/>
        </w:rPr>
        <w:t>, 4(1),</w:t>
      </w:r>
      <w:r w:rsidR="009D1802" w:rsidRPr="00D0329A">
        <w:rPr>
          <w:rFonts w:ascii="Calibri" w:hAnsi="Calibri" w:cs="Calibri"/>
          <w:sz w:val="24"/>
          <w:szCs w:val="24"/>
        </w:rPr>
        <w:t xml:space="preserve"> </w:t>
      </w:r>
      <w:r w:rsidRPr="00D0329A">
        <w:rPr>
          <w:rFonts w:ascii="Calibri" w:hAnsi="Calibri" w:cs="Calibri"/>
          <w:sz w:val="24"/>
          <w:szCs w:val="24"/>
        </w:rPr>
        <w:t xml:space="preserve">18. </w:t>
      </w:r>
      <w:hyperlink r:id="rId32" w:history="1">
        <w:r w:rsidRPr="00D0329A">
          <w:rPr>
            <w:rStyle w:val="Hyperlink"/>
            <w:rFonts w:ascii="Calibri" w:hAnsi="Calibri" w:cs="Calibri"/>
            <w:sz w:val="24"/>
            <w:szCs w:val="24"/>
          </w:rPr>
          <w:t>https://doi.org/10.3390/asi4010018</w:t>
        </w:r>
      </w:hyperlink>
      <w:r w:rsidRPr="00D0329A">
        <w:rPr>
          <w:rFonts w:ascii="Calibri" w:hAnsi="Calibri" w:cs="Calibri"/>
          <w:sz w:val="24"/>
          <w:szCs w:val="24"/>
        </w:rPr>
        <w:t xml:space="preserve"> </w:t>
      </w:r>
    </w:p>
    <w:p w14:paraId="750AB271" w14:textId="76F98B6D" w:rsidR="003B451D" w:rsidRPr="00D0329A" w:rsidRDefault="003B451D" w:rsidP="001B5161">
      <w:pPr>
        <w:spacing w:line="240" w:lineRule="auto"/>
        <w:ind w:left="720" w:hanging="720"/>
        <w:jc w:val="both"/>
        <w:rPr>
          <w:rFonts w:ascii="Calibri" w:hAnsi="Calibri" w:cs="Calibri"/>
          <w:sz w:val="24"/>
          <w:szCs w:val="24"/>
        </w:rPr>
      </w:pPr>
      <w:r w:rsidRPr="00D0329A">
        <w:rPr>
          <w:rFonts w:ascii="Calibri" w:hAnsi="Calibri" w:cs="Calibri"/>
          <w:sz w:val="24"/>
          <w:szCs w:val="24"/>
        </w:rPr>
        <w:t xml:space="preserve">Opoku, R.A., Pei, B. and Xing, W. (2025) ‘Unveiling accuracy-fairness trade-offs: investigating machine learning models in student performance prediction’, </w:t>
      </w:r>
      <w:r w:rsidRPr="00D0329A">
        <w:rPr>
          <w:rFonts w:ascii="Calibri" w:hAnsi="Calibri" w:cs="Calibri"/>
          <w:i/>
          <w:iCs/>
          <w:sz w:val="24"/>
          <w:szCs w:val="24"/>
        </w:rPr>
        <w:t>Journal of Learning Analytics</w:t>
      </w:r>
      <w:r w:rsidRPr="00D0329A">
        <w:rPr>
          <w:rFonts w:ascii="Calibri" w:hAnsi="Calibri" w:cs="Calibri"/>
          <w:sz w:val="24"/>
          <w:szCs w:val="24"/>
        </w:rPr>
        <w:t xml:space="preserve">, 12(2), pp. 125–139. </w:t>
      </w:r>
      <w:hyperlink r:id="rId33" w:history="1">
        <w:r w:rsidRPr="00D0329A">
          <w:rPr>
            <w:rStyle w:val="Hyperlink"/>
            <w:rFonts w:ascii="Calibri" w:hAnsi="Calibri" w:cs="Calibri"/>
            <w:sz w:val="24"/>
            <w:szCs w:val="24"/>
          </w:rPr>
          <w:t>https://doi.org/10.18608/jla.2025.8543</w:t>
        </w:r>
      </w:hyperlink>
    </w:p>
    <w:p w14:paraId="1CCF05E2" w14:textId="3731B61B" w:rsidR="00DC4D29" w:rsidRPr="00D0329A" w:rsidRDefault="00DC4D29" w:rsidP="001B5161">
      <w:pPr>
        <w:spacing w:line="240" w:lineRule="auto"/>
        <w:ind w:left="720" w:hanging="720"/>
        <w:jc w:val="both"/>
        <w:rPr>
          <w:rFonts w:ascii="Calibri" w:hAnsi="Calibri" w:cs="Calibri"/>
          <w:sz w:val="24"/>
          <w:szCs w:val="24"/>
        </w:rPr>
      </w:pPr>
      <w:proofErr w:type="spellStart"/>
      <w:r w:rsidRPr="00D0329A">
        <w:rPr>
          <w:rFonts w:ascii="Calibri" w:hAnsi="Calibri" w:cs="Calibri"/>
          <w:sz w:val="24"/>
          <w:szCs w:val="24"/>
        </w:rPr>
        <w:t>Oyedotun</w:t>
      </w:r>
      <w:proofErr w:type="spellEnd"/>
      <w:r w:rsidRPr="00D0329A">
        <w:rPr>
          <w:rFonts w:ascii="Calibri" w:hAnsi="Calibri" w:cs="Calibri"/>
          <w:sz w:val="24"/>
          <w:szCs w:val="24"/>
        </w:rPr>
        <w:t xml:space="preserve">, S.A., </w:t>
      </w:r>
      <w:proofErr w:type="spellStart"/>
      <w:r w:rsidRPr="00D0329A">
        <w:rPr>
          <w:rFonts w:ascii="Calibri" w:hAnsi="Calibri" w:cs="Calibri"/>
          <w:sz w:val="24"/>
          <w:szCs w:val="24"/>
        </w:rPr>
        <w:t>Ejenarhome</w:t>
      </w:r>
      <w:proofErr w:type="spellEnd"/>
      <w:r w:rsidRPr="00D0329A">
        <w:rPr>
          <w:rFonts w:ascii="Calibri" w:hAnsi="Calibri" w:cs="Calibri"/>
          <w:sz w:val="24"/>
          <w:szCs w:val="24"/>
        </w:rPr>
        <w:t>, O.P. and Oise, G.P. (2025) ‘Learning analytics and predictive modeling: enhancing student success through data-driven insights’</w:t>
      </w:r>
      <w:r w:rsidRPr="00D0329A">
        <w:rPr>
          <w:rFonts w:ascii="Calibri" w:hAnsi="Calibri" w:cs="Calibri"/>
          <w:i/>
          <w:iCs/>
          <w:sz w:val="24"/>
          <w:szCs w:val="24"/>
        </w:rPr>
        <w:t>, Journal of Science Research and Reviews</w:t>
      </w:r>
      <w:r w:rsidRPr="00D0329A">
        <w:rPr>
          <w:rFonts w:ascii="Calibri" w:hAnsi="Calibri" w:cs="Calibri"/>
          <w:sz w:val="24"/>
          <w:szCs w:val="24"/>
        </w:rPr>
        <w:t xml:space="preserve">, 2(3), pp. 42–51. </w:t>
      </w:r>
      <w:hyperlink r:id="rId34" w:history="1">
        <w:r w:rsidRPr="00D0329A">
          <w:rPr>
            <w:rStyle w:val="Hyperlink"/>
            <w:rFonts w:ascii="Calibri" w:hAnsi="Calibri" w:cs="Calibri"/>
            <w:sz w:val="24"/>
            <w:szCs w:val="24"/>
          </w:rPr>
          <w:t>https://doi.org/10.70882/josrar.2025.v2i3.77</w:t>
        </w:r>
      </w:hyperlink>
    </w:p>
    <w:p w14:paraId="32812332" w14:textId="596E475F" w:rsidR="00F01E59" w:rsidRPr="00D0329A" w:rsidRDefault="00F01E59" w:rsidP="001B5161">
      <w:pPr>
        <w:spacing w:line="240" w:lineRule="auto"/>
        <w:ind w:left="720" w:hanging="720"/>
        <w:jc w:val="both"/>
        <w:rPr>
          <w:rFonts w:ascii="Calibri" w:hAnsi="Calibri" w:cs="Calibri"/>
          <w:sz w:val="24"/>
          <w:szCs w:val="24"/>
        </w:rPr>
      </w:pPr>
      <w:r w:rsidRPr="00D0329A">
        <w:rPr>
          <w:rFonts w:ascii="Calibri" w:hAnsi="Calibri" w:cs="Calibri"/>
          <w:sz w:val="24"/>
          <w:szCs w:val="24"/>
        </w:rPr>
        <w:t xml:space="preserve">Pedregosa, F., </w:t>
      </w:r>
      <w:proofErr w:type="spellStart"/>
      <w:r w:rsidRPr="00D0329A">
        <w:rPr>
          <w:rFonts w:ascii="Calibri" w:hAnsi="Calibri" w:cs="Calibri"/>
          <w:sz w:val="24"/>
          <w:szCs w:val="24"/>
        </w:rPr>
        <w:t>Varoquaux</w:t>
      </w:r>
      <w:proofErr w:type="spellEnd"/>
      <w:r w:rsidRPr="00D0329A">
        <w:rPr>
          <w:rFonts w:ascii="Calibri" w:hAnsi="Calibri" w:cs="Calibri"/>
          <w:sz w:val="24"/>
          <w:szCs w:val="24"/>
        </w:rPr>
        <w:t xml:space="preserve">, G., </w:t>
      </w:r>
      <w:proofErr w:type="spellStart"/>
      <w:r w:rsidRPr="00D0329A">
        <w:rPr>
          <w:rFonts w:ascii="Calibri" w:hAnsi="Calibri" w:cs="Calibri"/>
          <w:sz w:val="24"/>
          <w:szCs w:val="24"/>
        </w:rPr>
        <w:t>Gramfort</w:t>
      </w:r>
      <w:proofErr w:type="spellEnd"/>
      <w:r w:rsidRPr="00D0329A">
        <w:rPr>
          <w:rFonts w:ascii="Calibri" w:hAnsi="Calibri" w:cs="Calibri"/>
          <w:sz w:val="24"/>
          <w:szCs w:val="24"/>
        </w:rPr>
        <w:t xml:space="preserve">, A., Michel, V., Thirion, B., Grisel, O., Blondel, M., </w:t>
      </w:r>
      <w:proofErr w:type="spellStart"/>
      <w:r w:rsidRPr="00D0329A">
        <w:rPr>
          <w:rFonts w:ascii="Calibri" w:hAnsi="Calibri" w:cs="Calibri"/>
          <w:sz w:val="24"/>
          <w:szCs w:val="24"/>
        </w:rPr>
        <w:t>Prettenhofer</w:t>
      </w:r>
      <w:proofErr w:type="spellEnd"/>
      <w:r w:rsidRPr="00D0329A">
        <w:rPr>
          <w:rFonts w:ascii="Calibri" w:hAnsi="Calibri" w:cs="Calibri"/>
          <w:sz w:val="24"/>
          <w:szCs w:val="24"/>
        </w:rPr>
        <w:t xml:space="preserve">, P., Weiss, R., Dubourg, V., Vanderplas, J., Passos, A., </w:t>
      </w:r>
      <w:proofErr w:type="spellStart"/>
      <w:r w:rsidRPr="00D0329A">
        <w:rPr>
          <w:rFonts w:ascii="Calibri" w:hAnsi="Calibri" w:cs="Calibri"/>
          <w:sz w:val="24"/>
          <w:szCs w:val="24"/>
        </w:rPr>
        <w:t>Cournapeau</w:t>
      </w:r>
      <w:proofErr w:type="spellEnd"/>
      <w:r w:rsidRPr="00D0329A">
        <w:rPr>
          <w:rFonts w:ascii="Calibri" w:hAnsi="Calibri" w:cs="Calibri"/>
          <w:sz w:val="24"/>
          <w:szCs w:val="24"/>
        </w:rPr>
        <w:t xml:space="preserve">, D., Brucher, M., Perrot, M. and Duchesnay, É. (2011) ‘Scikit-learn: machine learning in Python’, </w:t>
      </w:r>
      <w:r w:rsidRPr="00D0329A">
        <w:rPr>
          <w:rFonts w:ascii="Calibri" w:hAnsi="Calibri" w:cs="Calibri"/>
          <w:i/>
          <w:iCs/>
          <w:sz w:val="24"/>
          <w:szCs w:val="24"/>
        </w:rPr>
        <w:t>Journal of Machine Learning Research</w:t>
      </w:r>
      <w:r w:rsidRPr="00D0329A">
        <w:rPr>
          <w:rFonts w:ascii="Calibri" w:hAnsi="Calibri" w:cs="Calibri"/>
          <w:sz w:val="24"/>
          <w:szCs w:val="24"/>
        </w:rPr>
        <w:t>, 12</w:t>
      </w:r>
      <w:r w:rsidR="008922CD" w:rsidRPr="00D0329A">
        <w:rPr>
          <w:rFonts w:ascii="Calibri" w:hAnsi="Calibri" w:cs="Calibri"/>
          <w:sz w:val="24"/>
          <w:szCs w:val="24"/>
        </w:rPr>
        <w:t>(</w:t>
      </w:r>
      <w:r w:rsidR="001967DD" w:rsidRPr="00D0329A">
        <w:rPr>
          <w:rFonts w:ascii="Calibri" w:hAnsi="Calibri" w:cs="Calibri"/>
          <w:sz w:val="24"/>
          <w:szCs w:val="24"/>
        </w:rPr>
        <w:t>85</w:t>
      </w:r>
      <w:r w:rsidR="008922CD" w:rsidRPr="00D0329A">
        <w:rPr>
          <w:rFonts w:ascii="Calibri" w:hAnsi="Calibri" w:cs="Calibri"/>
          <w:sz w:val="24"/>
          <w:szCs w:val="24"/>
        </w:rPr>
        <w:t>)</w:t>
      </w:r>
      <w:r w:rsidRPr="00D0329A">
        <w:rPr>
          <w:rFonts w:ascii="Calibri" w:hAnsi="Calibri" w:cs="Calibri"/>
          <w:sz w:val="24"/>
          <w:szCs w:val="24"/>
        </w:rPr>
        <w:t>, pp. 2825–2830.</w:t>
      </w:r>
    </w:p>
    <w:p w14:paraId="521D969A" w14:textId="75E7A539" w:rsidR="008E20A7" w:rsidRPr="00D0329A" w:rsidRDefault="005958D9" w:rsidP="001B5161">
      <w:pPr>
        <w:spacing w:line="240" w:lineRule="auto"/>
        <w:ind w:left="720" w:hanging="720"/>
        <w:jc w:val="both"/>
        <w:rPr>
          <w:rFonts w:ascii="Calibri" w:hAnsi="Calibri" w:cs="Calibri"/>
          <w:sz w:val="24"/>
          <w:szCs w:val="24"/>
        </w:rPr>
      </w:pPr>
      <w:proofErr w:type="spellStart"/>
      <w:r w:rsidRPr="00D0329A">
        <w:rPr>
          <w:rFonts w:ascii="Calibri" w:hAnsi="Calibri" w:cs="Calibri"/>
          <w:sz w:val="24"/>
          <w:szCs w:val="24"/>
        </w:rPr>
        <w:t>Plak</w:t>
      </w:r>
      <w:proofErr w:type="spellEnd"/>
      <w:r w:rsidRPr="00D0329A">
        <w:rPr>
          <w:rFonts w:ascii="Calibri" w:hAnsi="Calibri" w:cs="Calibri"/>
          <w:sz w:val="24"/>
          <w:szCs w:val="24"/>
        </w:rPr>
        <w:t xml:space="preserve">, S., Cornelisz, I., </w:t>
      </w:r>
      <w:proofErr w:type="spellStart"/>
      <w:r w:rsidRPr="00D0329A">
        <w:rPr>
          <w:rFonts w:ascii="Calibri" w:hAnsi="Calibri" w:cs="Calibri"/>
          <w:sz w:val="24"/>
          <w:szCs w:val="24"/>
        </w:rPr>
        <w:t>Meeter</w:t>
      </w:r>
      <w:proofErr w:type="spellEnd"/>
      <w:r w:rsidRPr="00D0329A">
        <w:rPr>
          <w:rFonts w:ascii="Calibri" w:hAnsi="Calibri" w:cs="Calibri"/>
          <w:sz w:val="24"/>
          <w:szCs w:val="24"/>
        </w:rPr>
        <w:t xml:space="preserve">, M. and van </w:t>
      </w:r>
      <w:proofErr w:type="spellStart"/>
      <w:r w:rsidRPr="00D0329A">
        <w:rPr>
          <w:rFonts w:ascii="Calibri" w:hAnsi="Calibri" w:cs="Calibri"/>
          <w:sz w:val="24"/>
          <w:szCs w:val="24"/>
        </w:rPr>
        <w:t>Klaveren</w:t>
      </w:r>
      <w:proofErr w:type="spellEnd"/>
      <w:r w:rsidRPr="00D0329A">
        <w:rPr>
          <w:rFonts w:ascii="Calibri" w:hAnsi="Calibri" w:cs="Calibri"/>
          <w:sz w:val="24"/>
          <w:szCs w:val="24"/>
        </w:rPr>
        <w:t>, C. (202</w:t>
      </w:r>
      <w:r w:rsidR="00A40F9C" w:rsidRPr="00D0329A">
        <w:rPr>
          <w:rFonts w:ascii="Calibri" w:hAnsi="Calibri" w:cs="Calibri"/>
          <w:sz w:val="24"/>
          <w:szCs w:val="24"/>
        </w:rPr>
        <w:t>2</w:t>
      </w:r>
      <w:r w:rsidRPr="00D0329A">
        <w:rPr>
          <w:rFonts w:ascii="Calibri" w:hAnsi="Calibri" w:cs="Calibri"/>
          <w:sz w:val="24"/>
          <w:szCs w:val="24"/>
        </w:rPr>
        <w:t xml:space="preserve">) ‘Early warning systems for more effective student counselling in higher education: evidence from a Dutch field experiment’, </w:t>
      </w:r>
      <w:r w:rsidRPr="00D0329A">
        <w:rPr>
          <w:rFonts w:ascii="Calibri" w:hAnsi="Calibri" w:cs="Calibri"/>
          <w:i/>
          <w:iCs/>
          <w:sz w:val="24"/>
          <w:szCs w:val="24"/>
        </w:rPr>
        <w:t>Higher Education Quarterly</w:t>
      </w:r>
      <w:r w:rsidRPr="00D0329A">
        <w:rPr>
          <w:rFonts w:ascii="Calibri" w:hAnsi="Calibri" w:cs="Calibri"/>
          <w:sz w:val="24"/>
          <w:szCs w:val="24"/>
        </w:rPr>
        <w:t>, 7</w:t>
      </w:r>
      <w:r w:rsidR="001036FC" w:rsidRPr="00D0329A">
        <w:rPr>
          <w:rFonts w:ascii="Calibri" w:hAnsi="Calibri" w:cs="Calibri"/>
          <w:sz w:val="24"/>
          <w:szCs w:val="24"/>
        </w:rPr>
        <w:t>6</w:t>
      </w:r>
      <w:r w:rsidRPr="00D0329A">
        <w:rPr>
          <w:rFonts w:ascii="Calibri" w:hAnsi="Calibri" w:cs="Calibri"/>
          <w:sz w:val="24"/>
          <w:szCs w:val="24"/>
        </w:rPr>
        <w:t>(</w:t>
      </w:r>
      <w:r w:rsidR="001036FC" w:rsidRPr="00D0329A">
        <w:rPr>
          <w:rFonts w:ascii="Calibri" w:hAnsi="Calibri" w:cs="Calibri"/>
          <w:sz w:val="24"/>
          <w:szCs w:val="24"/>
        </w:rPr>
        <w:t>1</w:t>
      </w:r>
      <w:r w:rsidRPr="00D0329A">
        <w:rPr>
          <w:rFonts w:ascii="Calibri" w:hAnsi="Calibri" w:cs="Calibri"/>
          <w:sz w:val="24"/>
          <w:szCs w:val="24"/>
        </w:rPr>
        <w:t xml:space="preserve">), pp. </w:t>
      </w:r>
      <w:r w:rsidR="001036FC" w:rsidRPr="00D0329A">
        <w:rPr>
          <w:rFonts w:ascii="Calibri" w:hAnsi="Calibri" w:cs="Calibri"/>
          <w:sz w:val="24"/>
          <w:szCs w:val="24"/>
        </w:rPr>
        <w:t>131</w:t>
      </w:r>
      <w:r w:rsidRPr="00D0329A">
        <w:rPr>
          <w:rFonts w:ascii="Calibri" w:hAnsi="Calibri" w:cs="Calibri"/>
          <w:sz w:val="24"/>
          <w:szCs w:val="24"/>
        </w:rPr>
        <w:t>–</w:t>
      </w:r>
      <w:r w:rsidR="001036FC" w:rsidRPr="00D0329A">
        <w:rPr>
          <w:rFonts w:ascii="Calibri" w:hAnsi="Calibri" w:cs="Calibri"/>
          <w:sz w:val="24"/>
          <w:szCs w:val="24"/>
        </w:rPr>
        <w:t>152</w:t>
      </w:r>
      <w:r w:rsidRPr="00D0329A">
        <w:rPr>
          <w:rFonts w:ascii="Calibri" w:hAnsi="Calibri" w:cs="Calibri"/>
          <w:sz w:val="24"/>
          <w:szCs w:val="24"/>
        </w:rPr>
        <w:t xml:space="preserve">. </w:t>
      </w:r>
      <w:hyperlink r:id="rId35" w:history="1">
        <w:r w:rsidR="00F53A43" w:rsidRPr="00D0329A">
          <w:rPr>
            <w:rStyle w:val="Hyperlink"/>
            <w:rFonts w:ascii="Calibri" w:hAnsi="Calibri" w:cs="Calibri"/>
            <w:sz w:val="24"/>
            <w:szCs w:val="24"/>
          </w:rPr>
          <w:t>https://doi.org/10.1111/hequ.12298</w:t>
        </w:r>
      </w:hyperlink>
    </w:p>
    <w:p w14:paraId="1A0C825B" w14:textId="6B85990B" w:rsidR="00AD7269" w:rsidRPr="00D0329A" w:rsidRDefault="00B50053" w:rsidP="001B5161">
      <w:pPr>
        <w:spacing w:line="240" w:lineRule="auto"/>
        <w:ind w:left="720" w:hanging="720"/>
        <w:jc w:val="both"/>
        <w:rPr>
          <w:rFonts w:ascii="Calibri" w:hAnsi="Calibri" w:cs="Calibri"/>
          <w:sz w:val="24"/>
          <w:szCs w:val="24"/>
        </w:rPr>
      </w:pPr>
      <w:r w:rsidRPr="00D0329A">
        <w:rPr>
          <w:rFonts w:ascii="Calibri" w:hAnsi="Calibri" w:cs="Calibri"/>
          <w:sz w:val="24"/>
          <w:szCs w:val="24"/>
        </w:rPr>
        <w:t xml:space="preserve">Rahmani, A.M., Groot, W. and Rahmani, H. (2024) ‘Dropout in online higher education: a systematic literature review’, </w:t>
      </w:r>
      <w:r w:rsidRPr="00D0329A">
        <w:rPr>
          <w:rFonts w:ascii="Calibri" w:hAnsi="Calibri" w:cs="Calibri"/>
          <w:i/>
          <w:iCs/>
          <w:sz w:val="24"/>
          <w:szCs w:val="24"/>
        </w:rPr>
        <w:t>International Journal of Educational Technology in Higher Education</w:t>
      </w:r>
      <w:r w:rsidRPr="00D0329A">
        <w:rPr>
          <w:rFonts w:ascii="Calibri" w:hAnsi="Calibri" w:cs="Calibri"/>
          <w:sz w:val="24"/>
          <w:szCs w:val="24"/>
        </w:rPr>
        <w:t>, 21</w:t>
      </w:r>
      <w:r w:rsidR="00177074" w:rsidRPr="00D0329A">
        <w:rPr>
          <w:rFonts w:ascii="Calibri" w:hAnsi="Calibri" w:cs="Calibri"/>
          <w:sz w:val="24"/>
          <w:szCs w:val="24"/>
        </w:rPr>
        <w:t>,</w:t>
      </w:r>
      <w:r w:rsidRPr="00D0329A">
        <w:rPr>
          <w:rFonts w:ascii="Calibri" w:hAnsi="Calibri" w:cs="Calibri"/>
          <w:sz w:val="24"/>
          <w:szCs w:val="24"/>
        </w:rPr>
        <w:t xml:space="preserve"> 19. </w:t>
      </w:r>
      <w:hyperlink r:id="rId36" w:tgtFrame="_new" w:history="1">
        <w:r w:rsidRPr="00D0329A">
          <w:rPr>
            <w:rStyle w:val="Hyperlink"/>
            <w:rFonts w:ascii="Calibri" w:hAnsi="Calibri" w:cs="Calibri"/>
            <w:sz w:val="24"/>
            <w:szCs w:val="24"/>
          </w:rPr>
          <w:t>https://doi.org/10.1186/s41239-024-00450-9</w:t>
        </w:r>
      </w:hyperlink>
    </w:p>
    <w:p w14:paraId="22424249" w14:textId="4E2B04AA" w:rsidR="009B7C50" w:rsidRPr="00D0329A" w:rsidRDefault="005507EA" w:rsidP="001B5161">
      <w:pPr>
        <w:spacing w:line="240" w:lineRule="auto"/>
        <w:ind w:left="720" w:hanging="720"/>
        <w:jc w:val="both"/>
        <w:rPr>
          <w:rFonts w:ascii="Calibri" w:hAnsi="Calibri" w:cs="Calibri"/>
          <w:sz w:val="24"/>
          <w:szCs w:val="24"/>
        </w:rPr>
      </w:pPr>
      <w:proofErr w:type="spellStart"/>
      <w:r w:rsidRPr="00D0329A">
        <w:rPr>
          <w:rFonts w:ascii="Calibri" w:hAnsi="Calibri" w:cs="Calibri"/>
          <w:sz w:val="24"/>
          <w:szCs w:val="24"/>
        </w:rPr>
        <w:t>Sahlaoui</w:t>
      </w:r>
      <w:proofErr w:type="spellEnd"/>
      <w:r w:rsidRPr="00D0329A">
        <w:rPr>
          <w:rFonts w:ascii="Calibri" w:hAnsi="Calibri" w:cs="Calibri"/>
          <w:sz w:val="24"/>
          <w:szCs w:val="24"/>
        </w:rPr>
        <w:t xml:space="preserve">, H., Alaoui, E.A.A., Nayyar, A., </w:t>
      </w:r>
      <w:proofErr w:type="spellStart"/>
      <w:r w:rsidRPr="00D0329A">
        <w:rPr>
          <w:rFonts w:ascii="Calibri" w:hAnsi="Calibri" w:cs="Calibri"/>
          <w:sz w:val="24"/>
          <w:szCs w:val="24"/>
        </w:rPr>
        <w:t>Agoujil</w:t>
      </w:r>
      <w:proofErr w:type="spellEnd"/>
      <w:r w:rsidRPr="00D0329A">
        <w:rPr>
          <w:rFonts w:ascii="Calibri" w:hAnsi="Calibri" w:cs="Calibri"/>
          <w:sz w:val="24"/>
          <w:szCs w:val="24"/>
        </w:rPr>
        <w:t xml:space="preserve">, S. and Jaber, M.M. (2021) ‘Predicting and interpreting student performance using ensemble models and Shapley additive explanations’, </w:t>
      </w:r>
      <w:r w:rsidRPr="00D0329A">
        <w:rPr>
          <w:rFonts w:ascii="Calibri" w:hAnsi="Calibri" w:cs="Calibri"/>
          <w:i/>
          <w:iCs/>
          <w:sz w:val="24"/>
          <w:szCs w:val="24"/>
        </w:rPr>
        <w:t>IEEE Access</w:t>
      </w:r>
      <w:r w:rsidRPr="00D0329A">
        <w:rPr>
          <w:rFonts w:ascii="Calibri" w:hAnsi="Calibri" w:cs="Calibri"/>
          <w:sz w:val="24"/>
          <w:szCs w:val="24"/>
        </w:rPr>
        <w:t xml:space="preserve">, 9, pp. 152688–152703. </w:t>
      </w:r>
      <w:hyperlink r:id="rId37" w:history="1">
        <w:r w:rsidR="009B7C50" w:rsidRPr="00D0329A">
          <w:rPr>
            <w:rStyle w:val="Hyperlink"/>
            <w:rFonts w:ascii="Calibri" w:hAnsi="Calibri" w:cs="Calibri"/>
            <w:sz w:val="24"/>
            <w:szCs w:val="24"/>
          </w:rPr>
          <w:t>https://doi.org/10.1109/ACCESS.2021.3124270</w:t>
        </w:r>
      </w:hyperlink>
    </w:p>
    <w:p w14:paraId="58F6A280" w14:textId="1666C9E1" w:rsidR="00B95E18" w:rsidRPr="00D0329A" w:rsidRDefault="00B95E18" w:rsidP="001B5161">
      <w:pPr>
        <w:spacing w:line="240" w:lineRule="auto"/>
        <w:ind w:left="720" w:hanging="720"/>
        <w:jc w:val="both"/>
        <w:rPr>
          <w:rFonts w:ascii="Calibri" w:hAnsi="Calibri" w:cs="Calibri"/>
          <w:sz w:val="24"/>
          <w:szCs w:val="24"/>
        </w:rPr>
      </w:pPr>
      <w:r w:rsidRPr="00D0329A">
        <w:rPr>
          <w:rFonts w:ascii="Calibri" w:hAnsi="Calibri" w:cs="Calibri"/>
          <w:sz w:val="24"/>
          <w:szCs w:val="24"/>
        </w:rPr>
        <w:t xml:space="preserve">Saito, T. and </w:t>
      </w:r>
      <w:proofErr w:type="spellStart"/>
      <w:r w:rsidRPr="00D0329A">
        <w:rPr>
          <w:rFonts w:ascii="Calibri" w:hAnsi="Calibri" w:cs="Calibri"/>
          <w:sz w:val="24"/>
          <w:szCs w:val="24"/>
        </w:rPr>
        <w:t>Rehmsmeier</w:t>
      </w:r>
      <w:proofErr w:type="spellEnd"/>
      <w:r w:rsidRPr="00D0329A">
        <w:rPr>
          <w:rFonts w:ascii="Calibri" w:hAnsi="Calibri" w:cs="Calibri"/>
          <w:sz w:val="24"/>
          <w:szCs w:val="24"/>
        </w:rPr>
        <w:t xml:space="preserve">, M. (2015) ‘The precision-recall plot is more informative than the ROC plot when evaluating binary classifiers on imbalanced datasets’, </w:t>
      </w:r>
      <w:r w:rsidRPr="00D0329A">
        <w:rPr>
          <w:rFonts w:ascii="Calibri" w:hAnsi="Calibri" w:cs="Calibri"/>
          <w:i/>
          <w:iCs/>
          <w:sz w:val="24"/>
          <w:szCs w:val="24"/>
        </w:rPr>
        <w:t>PLOS ONE</w:t>
      </w:r>
      <w:r w:rsidRPr="00D0329A">
        <w:rPr>
          <w:rFonts w:ascii="Calibri" w:hAnsi="Calibri" w:cs="Calibri"/>
          <w:sz w:val="24"/>
          <w:szCs w:val="24"/>
        </w:rPr>
        <w:t>, 10(3)</w:t>
      </w:r>
      <w:r w:rsidR="00177074" w:rsidRPr="00D0329A">
        <w:rPr>
          <w:rFonts w:ascii="Calibri" w:hAnsi="Calibri" w:cs="Calibri"/>
          <w:sz w:val="24"/>
          <w:szCs w:val="24"/>
        </w:rPr>
        <w:t>,</w:t>
      </w:r>
      <w:r w:rsidRPr="00D0329A">
        <w:rPr>
          <w:rFonts w:ascii="Calibri" w:hAnsi="Calibri" w:cs="Calibri"/>
          <w:sz w:val="24"/>
          <w:szCs w:val="24"/>
        </w:rPr>
        <w:t xml:space="preserve"> e0118432. </w:t>
      </w:r>
      <w:hyperlink r:id="rId38" w:tgtFrame="_new" w:history="1">
        <w:r w:rsidRPr="00D0329A">
          <w:rPr>
            <w:rStyle w:val="Hyperlink"/>
            <w:rFonts w:ascii="Calibri" w:hAnsi="Calibri" w:cs="Calibri"/>
            <w:sz w:val="24"/>
            <w:szCs w:val="24"/>
          </w:rPr>
          <w:t>https://doi.org/10.1371/journal.pone.0118432</w:t>
        </w:r>
      </w:hyperlink>
    </w:p>
    <w:p w14:paraId="1B8585C4" w14:textId="5D8C312B" w:rsidR="00546305" w:rsidRPr="00D0329A" w:rsidRDefault="00546305" w:rsidP="001B5161">
      <w:pPr>
        <w:spacing w:line="240" w:lineRule="auto"/>
        <w:ind w:left="720" w:hanging="720"/>
        <w:jc w:val="both"/>
        <w:rPr>
          <w:rFonts w:ascii="Calibri" w:hAnsi="Calibri" w:cs="Calibri"/>
          <w:sz w:val="24"/>
          <w:szCs w:val="24"/>
        </w:rPr>
      </w:pPr>
      <w:proofErr w:type="spellStart"/>
      <w:r w:rsidRPr="00D0329A">
        <w:rPr>
          <w:rFonts w:ascii="Calibri" w:hAnsi="Calibri" w:cs="Calibri"/>
          <w:sz w:val="24"/>
          <w:szCs w:val="24"/>
        </w:rPr>
        <w:t>Salih</w:t>
      </w:r>
      <w:proofErr w:type="spellEnd"/>
      <w:r w:rsidRPr="00D0329A">
        <w:rPr>
          <w:rFonts w:ascii="Calibri" w:hAnsi="Calibri" w:cs="Calibri"/>
          <w:sz w:val="24"/>
          <w:szCs w:val="24"/>
        </w:rPr>
        <w:t xml:space="preserve">, A.M., </w:t>
      </w:r>
      <w:proofErr w:type="spellStart"/>
      <w:r w:rsidRPr="00D0329A">
        <w:rPr>
          <w:rFonts w:ascii="Calibri" w:hAnsi="Calibri" w:cs="Calibri"/>
          <w:sz w:val="24"/>
          <w:szCs w:val="24"/>
        </w:rPr>
        <w:t>Raisi-Estabragh</w:t>
      </w:r>
      <w:proofErr w:type="spellEnd"/>
      <w:r w:rsidRPr="00D0329A">
        <w:rPr>
          <w:rFonts w:ascii="Calibri" w:hAnsi="Calibri" w:cs="Calibri"/>
          <w:sz w:val="24"/>
          <w:szCs w:val="24"/>
        </w:rPr>
        <w:t xml:space="preserve">, Z., </w:t>
      </w:r>
      <w:proofErr w:type="spellStart"/>
      <w:r w:rsidRPr="00D0329A">
        <w:rPr>
          <w:rFonts w:ascii="Calibri" w:hAnsi="Calibri" w:cs="Calibri"/>
          <w:sz w:val="24"/>
          <w:szCs w:val="24"/>
        </w:rPr>
        <w:t>Galazzo</w:t>
      </w:r>
      <w:proofErr w:type="spellEnd"/>
      <w:r w:rsidRPr="00D0329A">
        <w:rPr>
          <w:rFonts w:ascii="Calibri" w:hAnsi="Calibri" w:cs="Calibri"/>
          <w:sz w:val="24"/>
          <w:szCs w:val="24"/>
        </w:rPr>
        <w:t xml:space="preserve">, I.B., </w:t>
      </w:r>
      <w:proofErr w:type="spellStart"/>
      <w:r w:rsidRPr="00D0329A">
        <w:rPr>
          <w:rFonts w:ascii="Calibri" w:hAnsi="Calibri" w:cs="Calibri"/>
          <w:sz w:val="24"/>
          <w:szCs w:val="24"/>
        </w:rPr>
        <w:t>Radeva</w:t>
      </w:r>
      <w:proofErr w:type="spellEnd"/>
      <w:r w:rsidRPr="00D0329A">
        <w:rPr>
          <w:rFonts w:ascii="Calibri" w:hAnsi="Calibri" w:cs="Calibri"/>
          <w:sz w:val="24"/>
          <w:szCs w:val="24"/>
        </w:rPr>
        <w:t xml:space="preserve">, P., Petersen, S.E., </w:t>
      </w:r>
      <w:proofErr w:type="spellStart"/>
      <w:r w:rsidRPr="00D0329A">
        <w:rPr>
          <w:rFonts w:ascii="Calibri" w:hAnsi="Calibri" w:cs="Calibri"/>
          <w:sz w:val="24"/>
          <w:szCs w:val="24"/>
        </w:rPr>
        <w:t>Lekadir</w:t>
      </w:r>
      <w:proofErr w:type="spellEnd"/>
      <w:r w:rsidRPr="00D0329A">
        <w:rPr>
          <w:rFonts w:ascii="Calibri" w:hAnsi="Calibri" w:cs="Calibri"/>
          <w:sz w:val="24"/>
          <w:szCs w:val="24"/>
        </w:rPr>
        <w:t xml:space="preserve">, K. and </w:t>
      </w:r>
      <w:proofErr w:type="spellStart"/>
      <w:r w:rsidRPr="00D0329A">
        <w:rPr>
          <w:rFonts w:ascii="Calibri" w:hAnsi="Calibri" w:cs="Calibri"/>
          <w:sz w:val="24"/>
          <w:szCs w:val="24"/>
        </w:rPr>
        <w:t>Menegaz</w:t>
      </w:r>
      <w:proofErr w:type="spellEnd"/>
      <w:r w:rsidRPr="00D0329A">
        <w:rPr>
          <w:rFonts w:ascii="Calibri" w:hAnsi="Calibri" w:cs="Calibri"/>
          <w:sz w:val="24"/>
          <w:szCs w:val="24"/>
        </w:rPr>
        <w:t xml:space="preserve">, G. (2025) ‘A perspective on explainable artificial intelligence methods: SHAP and LIME’, </w:t>
      </w:r>
      <w:r w:rsidRPr="00D0329A">
        <w:rPr>
          <w:rFonts w:ascii="Calibri" w:hAnsi="Calibri" w:cs="Calibri"/>
          <w:i/>
          <w:iCs/>
          <w:sz w:val="24"/>
          <w:szCs w:val="24"/>
        </w:rPr>
        <w:t>Advanced Intelligent Systems</w:t>
      </w:r>
      <w:r w:rsidRPr="00D0329A">
        <w:rPr>
          <w:rFonts w:ascii="Calibri" w:hAnsi="Calibri" w:cs="Calibri"/>
          <w:sz w:val="24"/>
          <w:szCs w:val="24"/>
        </w:rPr>
        <w:t>, 7(1),</w:t>
      </w:r>
      <w:r w:rsidR="007A4EA5" w:rsidRPr="00D0329A">
        <w:rPr>
          <w:rFonts w:ascii="Calibri" w:hAnsi="Calibri" w:cs="Calibri"/>
          <w:sz w:val="24"/>
          <w:szCs w:val="24"/>
        </w:rPr>
        <w:t xml:space="preserve"> </w:t>
      </w:r>
      <w:r w:rsidRPr="00D0329A">
        <w:rPr>
          <w:rFonts w:ascii="Calibri" w:hAnsi="Calibri" w:cs="Calibri"/>
          <w:sz w:val="24"/>
          <w:szCs w:val="24"/>
        </w:rPr>
        <w:t xml:space="preserve">2400304. </w:t>
      </w:r>
      <w:hyperlink r:id="rId39" w:history="1">
        <w:r w:rsidRPr="00D0329A">
          <w:rPr>
            <w:rStyle w:val="Hyperlink"/>
            <w:rFonts w:ascii="Calibri" w:hAnsi="Calibri" w:cs="Calibri"/>
            <w:sz w:val="24"/>
            <w:szCs w:val="24"/>
          </w:rPr>
          <w:t>https://doi.org/10.1002/aisy.202400304</w:t>
        </w:r>
      </w:hyperlink>
    </w:p>
    <w:p w14:paraId="7578B791" w14:textId="5218002E" w:rsidR="00816BF0" w:rsidRPr="00D0329A" w:rsidRDefault="00816BF0" w:rsidP="001B5161">
      <w:pPr>
        <w:spacing w:line="240" w:lineRule="auto"/>
        <w:ind w:left="720" w:hanging="720"/>
        <w:jc w:val="both"/>
        <w:rPr>
          <w:rFonts w:ascii="Calibri" w:hAnsi="Calibri" w:cs="Calibri"/>
          <w:sz w:val="24"/>
          <w:szCs w:val="24"/>
        </w:rPr>
      </w:pPr>
      <w:r w:rsidRPr="00D0329A">
        <w:rPr>
          <w:rFonts w:ascii="Calibri" w:hAnsi="Calibri" w:cs="Calibri"/>
          <w:sz w:val="24"/>
          <w:szCs w:val="24"/>
        </w:rPr>
        <w:t xml:space="preserve">Saqr, M., Fors, U. and Tedre, M. (2017) ‘How learning analytics can early predict under-achieving students in a blended medical education course’, </w:t>
      </w:r>
      <w:r w:rsidRPr="00D0329A">
        <w:rPr>
          <w:rFonts w:ascii="Calibri" w:hAnsi="Calibri" w:cs="Calibri"/>
          <w:i/>
          <w:iCs/>
          <w:sz w:val="24"/>
          <w:szCs w:val="24"/>
        </w:rPr>
        <w:t>Medical Teacher</w:t>
      </w:r>
      <w:r w:rsidRPr="00D0329A">
        <w:rPr>
          <w:rFonts w:ascii="Calibri" w:hAnsi="Calibri" w:cs="Calibri"/>
          <w:sz w:val="24"/>
          <w:szCs w:val="24"/>
        </w:rPr>
        <w:t xml:space="preserve">, 39(7), pp. 757–767. </w:t>
      </w:r>
      <w:hyperlink r:id="rId40" w:history="1">
        <w:r w:rsidRPr="00D0329A">
          <w:rPr>
            <w:rStyle w:val="Hyperlink"/>
            <w:rFonts w:ascii="Calibri" w:hAnsi="Calibri" w:cs="Calibri"/>
            <w:sz w:val="24"/>
            <w:szCs w:val="24"/>
          </w:rPr>
          <w:t>https://doi.org/10.1080/0142159X.2017.1309376</w:t>
        </w:r>
      </w:hyperlink>
    </w:p>
    <w:p w14:paraId="21CC39FB" w14:textId="08BC0737" w:rsidR="00C36050" w:rsidRPr="00D0329A" w:rsidRDefault="00C36050" w:rsidP="001B5161">
      <w:pPr>
        <w:spacing w:line="240" w:lineRule="auto"/>
        <w:ind w:left="720" w:hanging="720"/>
        <w:jc w:val="both"/>
        <w:rPr>
          <w:rFonts w:ascii="Calibri" w:hAnsi="Calibri" w:cs="Calibri"/>
          <w:sz w:val="24"/>
          <w:szCs w:val="24"/>
        </w:rPr>
      </w:pPr>
      <w:r w:rsidRPr="00D0329A">
        <w:rPr>
          <w:rFonts w:ascii="Calibri" w:hAnsi="Calibri" w:cs="Calibri"/>
          <w:sz w:val="24"/>
          <w:szCs w:val="24"/>
        </w:rPr>
        <w:t xml:space="preserve">Shwartz-Ziv, R. and Armon, A. (2022) ‘Tabular data: deep learning is not all you need’, </w:t>
      </w:r>
      <w:r w:rsidRPr="00D0329A">
        <w:rPr>
          <w:rFonts w:ascii="Calibri" w:hAnsi="Calibri" w:cs="Calibri"/>
          <w:i/>
          <w:iCs/>
          <w:sz w:val="24"/>
          <w:szCs w:val="24"/>
        </w:rPr>
        <w:t>Information Fusion</w:t>
      </w:r>
      <w:r w:rsidRPr="00D0329A">
        <w:rPr>
          <w:rFonts w:ascii="Calibri" w:hAnsi="Calibri" w:cs="Calibri"/>
          <w:sz w:val="24"/>
          <w:szCs w:val="24"/>
        </w:rPr>
        <w:t xml:space="preserve">, 81, pp. 84–90. </w:t>
      </w:r>
      <w:hyperlink r:id="rId41" w:history="1">
        <w:r w:rsidRPr="00D0329A">
          <w:rPr>
            <w:rStyle w:val="Hyperlink"/>
            <w:rFonts w:ascii="Calibri" w:hAnsi="Calibri" w:cs="Calibri"/>
            <w:sz w:val="24"/>
            <w:szCs w:val="24"/>
          </w:rPr>
          <w:t>https://doi.org/10.1016/j.inffus.2021.11.011</w:t>
        </w:r>
      </w:hyperlink>
    </w:p>
    <w:p w14:paraId="40FE5395" w14:textId="77777777" w:rsidR="00E3531F" w:rsidRPr="00D0329A" w:rsidRDefault="00E3531F" w:rsidP="001B5161">
      <w:pPr>
        <w:spacing w:line="240" w:lineRule="auto"/>
        <w:ind w:left="720" w:hanging="720"/>
        <w:jc w:val="both"/>
        <w:rPr>
          <w:rFonts w:ascii="Calibri" w:hAnsi="Calibri" w:cs="Calibri"/>
          <w:sz w:val="24"/>
          <w:szCs w:val="24"/>
        </w:rPr>
      </w:pPr>
      <w:r w:rsidRPr="00D0329A">
        <w:rPr>
          <w:rFonts w:ascii="Calibri" w:hAnsi="Calibri" w:cs="Calibri"/>
          <w:sz w:val="24"/>
          <w:szCs w:val="24"/>
        </w:rPr>
        <w:t>Sletten, M.A., Tøge, A.G. and Malmberg-Heimonen, I. (2023) ‘Effects of an early warning system on student absence and completion in Norwegian upper secondary schools: a cluster-</w:t>
      </w:r>
      <w:proofErr w:type="spellStart"/>
      <w:r w:rsidRPr="00D0329A">
        <w:rPr>
          <w:rFonts w:ascii="Calibri" w:hAnsi="Calibri" w:cs="Calibri"/>
          <w:sz w:val="24"/>
          <w:szCs w:val="24"/>
        </w:rPr>
        <w:t>randomised</w:t>
      </w:r>
      <w:proofErr w:type="spellEnd"/>
      <w:r w:rsidRPr="00D0329A">
        <w:rPr>
          <w:rFonts w:ascii="Calibri" w:hAnsi="Calibri" w:cs="Calibri"/>
          <w:sz w:val="24"/>
          <w:szCs w:val="24"/>
        </w:rPr>
        <w:t xml:space="preserve"> study’, </w:t>
      </w:r>
      <w:r w:rsidRPr="00D0329A">
        <w:rPr>
          <w:rFonts w:ascii="Calibri" w:hAnsi="Calibri" w:cs="Calibri"/>
          <w:i/>
          <w:iCs/>
          <w:sz w:val="24"/>
          <w:szCs w:val="24"/>
        </w:rPr>
        <w:t>Scandinavian Journal of Educational Research</w:t>
      </w:r>
      <w:r w:rsidRPr="00D0329A">
        <w:rPr>
          <w:rFonts w:ascii="Calibri" w:hAnsi="Calibri" w:cs="Calibri"/>
          <w:sz w:val="24"/>
          <w:szCs w:val="24"/>
        </w:rPr>
        <w:t xml:space="preserve">, 67(7), pp. 1151–1165. </w:t>
      </w:r>
      <w:hyperlink r:id="rId42" w:tgtFrame="_new" w:history="1">
        <w:r w:rsidRPr="00D0329A">
          <w:rPr>
            <w:rStyle w:val="Hyperlink"/>
            <w:rFonts w:ascii="Calibri" w:hAnsi="Calibri" w:cs="Calibri"/>
            <w:sz w:val="24"/>
            <w:szCs w:val="24"/>
          </w:rPr>
          <w:t>https://doi.org/10.1080/00313831.2022.2116481</w:t>
        </w:r>
      </w:hyperlink>
    </w:p>
    <w:p w14:paraId="54843A1F" w14:textId="7A14E8C0" w:rsidR="004E4F0E" w:rsidRPr="00D0329A" w:rsidRDefault="00734157" w:rsidP="001B5161">
      <w:pPr>
        <w:spacing w:line="240" w:lineRule="auto"/>
        <w:ind w:left="720" w:hanging="720"/>
        <w:jc w:val="both"/>
        <w:rPr>
          <w:rFonts w:ascii="Calibri" w:hAnsi="Calibri" w:cs="Calibri"/>
          <w:sz w:val="24"/>
          <w:szCs w:val="24"/>
        </w:rPr>
      </w:pPr>
      <w:r w:rsidRPr="00D0329A">
        <w:rPr>
          <w:rFonts w:ascii="Calibri" w:hAnsi="Calibri" w:cs="Calibri"/>
          <w:sz w:val="24"/>
          <w:szCs w:val="24"/>
        </w:rPr>
        <w:t xml:space="preserve">Villano, R., Harrison, S., Lynch, G. and Chen, G. (2018) ‘Linking early alert systems and student retention: a survival analysis approach’, </w:t>
      </w:r>
      <w:r w:rsidRPr="00D0329A">
        <w:rPr>
          <w:rFonts w:ascii="Calibri" w:hAnsi="Calibri" w:cs="Calibri"/>
          <w:i/>
          <w:iCs/>
          <w:sz w:val="24"/>
          <w:szCs w:val="24"/>
        </w:rPr>
        <w:t>Higher Education</w:t>
      </w:r>
      <w:r w:rsidRPr="00D0329A">
        <w:rPr>
          <w:rFonts w:ascii="Calibri" w:hAnsi="Calibri" w:cs="Calibri"/>
          <w:sz w:val="24"/>
          <w:szCs w:val="24"/>
        </w:rPr>
        <w:t xml:space="preserve">, 76, pp. 903–920. </w:t>
      </w:r>
      <w:hyperlink r:id="rId43" w:tgtFrame="_new" w:history="1">
        <w:r w:rsidRPr="00D0329A">
          <w:rPr>
            <w:rStyle w:val="Hyperlink"/>
            <w:rFonts w:ascii="Calibri" w:hAnsi="Calibri" w:cs="Calibri"/>
            <w:sz w:val="24"/>
            <w:szCs w:val="24"/>
          </w:rPr>
          <w:t>https://doi.org/10.1007/s10734-018-0249-y</w:t>
        </w:r>
      </w:hyperlink>
    </w:p>
    <w:p w14:paraId="16353ABB" w14:textId="77777777" w:rsidR="008D2A35" w:rsidRPr="004E384A" w:rsidRDefault="008D2A35" w:rsidP="00BE0605">
      <w:pPr>
        <w:ind w:left="720" w:hanging="720"/>
        <w:jc w:val="both"/>
        <w:rPr>
          <w:rFonts w:ascii="Calibri" w:hAnsi="Calibri" w:cs="Calibri"/>
        </w:rPr>
      </w:pPr>
    </w:p>
    <w:p w14:paraId="0A331C32" w14:textId="77777777" w:rsidR="008D2A35" w:rsidRPr="004E384A" w:rsidRDefault="008D2A35" w:rsidP="00BE0605">
      <w:pPr>
        <w:ind w:left="720" w:hanging="720"/>
        <w:jc w:val="both"/>
        <w:rPr>
          <w:rFonts w:ascii="Calibri" w:hAnsi="Calibri" w:cs="Calibri"/>
        </w:rPr>
      </w:pPr>
    </w:p>
    <w:p w14:paraId="103E08E5" w14:textId="77777777" w:rsidR="008D2A35" w:rsidRPr="004E384A" w:rsidRDefault="008D2A35" w:rsidP="00BE0605">
      <w:pPr>
        <w:ind w:left="720" w:hanging="720"/>
        <w:jc w:val="both"/>
        <w:rPr>
          <w:rFonts w:ascii="Calibri" w:hAnsi="Calibri" w:cs="Calibri"/>
        </w:rPr>
      </w:pPr>
    </w:p>
    <w:p w14:paraId="7B1BA608" w14:textId="77777777" w:rsidR="008D2A35" w:rsidRPr="004E384A" w:rsidRDefault="008D2A35" w:rsidP="00BE0605">
      <w:pPr>
        <w:ind w:left="720" w:hanging="720"/>
        <w:jc w:val="both"/>
        <w:rPr>
          <w:rFonts w:ascii="Calibri" w:hAnsi="Calibri" w:cs="Calibri"/>
        </w:rPr>
      </w:pPr>
    </w:p>
    <w:p w14:paraId="60F79C73" w14:textId="7F883B45" w:rsidR="006A07E6" w:rsidRPr="004E384A" w:rsidRDefault="006A07E6" w:rsidP="00F26C74">
      <w:pPr>
        <w:ind w:left="720" w:hanging="720"/>
        <w:jc w:val="both"/>
        <w:rPr>
          <w:rFonts w:ascii="Calibri" w:hAnsi="Calibri" w:cs="Calibri"/>
          <w:sz w:val="24"/>
          <w:szCs w:val="24"/>
        </w:rPr>
      </w:pPr>
    </w:p>
    <w:sectPr w:rsidR="006A07E6" w:rsidRPr="004E384A" w:rsidSect="009524D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652CA"/>
    <w:multiLevelType w:val="multilevel"/>
    <w:tmpl w:val="CB2E4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A00D8"/>
    <w:multiLevelType w:val="multilevel"/>
    <w:tmpl w:val="257A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C2057"/>
    <w:multiLevelType w:val="multilevel"/>
    <w:tmpl w:val="DF486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0583C"/>
    <w:multiLevelType w:val="multilevel"/>
    <w:tmpl w:val="7B249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46BB7"/>
    <w:multiLevelType w:val="multilevel"/>
    <w:tmpl w:val="2A92B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A92922"/>
    <w:multiLevelType w:val="multilevel"/>
    <w:tmpl w:val="7A1AD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F62A7B"/>
    <w:multiLevelType w:val="multilevel"/>
    <w:tmpl w:val="F8D21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9C52D5"/>
    <w:multiLevelType w:val="multilevel"/>
    <w:tmpl w:val="0088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8A276E"/>
    <w:multiLevelType w:val="multilevel"/>
    <w:tmpl w:val="DA023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997040">
    <w:abstractNumId w:val="0"/>
  </w:num>
  <w:num w:numId="2" w16cid:durableId="797459219">
    <w:abstractNumId w:val="6"/>
  </w:num>
  <w:num w:numId="3" w16cid:durableId="899363954">
    <w:abstractNumId w:val="7"/>
  </w:num>
  <w:num w:numId="4" w16cid:durableId="1293555304">
    <w:abstractNumId w:val="3"/>
  </w:num>
  <w:num w:numId="5" w16cid:durableId="467015089">
    <w:abstractNumId w:val="4"/>
  </w:num>
  <w:num w:numId="6" w16cid:durableId="1033266459">
    <w:abstractNumId w:val="5"/>
  </w:num>
  <w:num w:numId="7" w16cid:durableId="916356167">
    <w:abstractNumId w:val="8"/>
  </w:num>
  <w:num w:numId="8" w16cid:durableId="427584282">
    <w:abstractNumId w:val="2"/>
  </w:num>
  <w:num w:numId="9" w16cid:durableId="251934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6"/>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A23"/>
    <w:rsid w:val="000040B9"/>
    <w:rsid w:val="00007DAB"/>
    <w:rsid w:val="00020A89"/>
    <w:rsid w:val="00021132"/>
    <w:rsid w:val="00022CF4"/>
    <w:rsid w:val="0003324D"/>
    <w:rsid w:val="00033784"/>
    <w:rsid w:val="00037DE4"/>
    <w:rsid w:val="00043955"/>
    <w:rsid w:val="000821FC"/>
    <w:rsid w:val="00083FA4"/>
    <w:rsid w:val="00084791"/>
    <w:rsid w:val="000B122E"/>
    <w:rsid w:val="000B56F2"/>
    <w:rsid w:val="000C1F86"/>
    <w:rsid w:val="000D0423"/>
    <w:rsid w:val="000D36E7"/>
    <w:rsid w:val="000E2069"/>
    <w:rsid w:val="000E61EB"/>
    <w:rsid w:val="000F267E"/>
    <w:rsid w:val="000F62BE"/>
    <w:rsid w:val="000F72D1"/>
    <w:rsid w:val="0010245D"/>
    <w:rsid w:val="001036FC"/>
    <w:rsid w:val="00106DE1"/>
    <w:rsid w:val="00117610"/>
    <w:rsid w:val="001179D9"/>
    <w:rsid w:val="001265BD"/>
    <w:rsid w:val="00126F15"/>
    <w:rsid w:val="00132C43"/>
    <w:rsid w:val="0013645D"/>
    <w:rsid w:val="00137C18"/>
    <w:rsid w:val="00150D69"/>
    <w:rsid w:val="00157C10"/>
    <w:rsid w:val="001768E2"/>
    <w:rsid w:val="00177074"/>
    <w:rsid w:val="00186579"/>
    <w:rsid w:val="001930FB"/>
    <w:rsid w:val="00194DAF"/>
    <w:rsid w:val="001967DD"/>
    <w:rsid w:val="001A4528"/>
    <w:rsid w:val="001A6831"/>
    <w:rsid w:val="001A6C5E"/>
    <w:rsid w:val="001A7472"/>
    <w:rsid w:val="001B5161"/>
    <w:rsid w:val="001B7E0A"/>
    <w:rsid w:val="001D1A19"/>
    <w:rsid w:val="001D28CC"/>
    <w:rsid w:val="001D5DC5"/>
    <w:rsid w:val="001D67D8"/>
    <w:rsid w:val="001E42EE"/>
    <w:rsid w:val="001F25D8"/>
    <w:rsid w:val="001F4389"/>
    <w:rsid w:val="0020198B"/>
    <w:rsid w:val="00203DD3"/>
    <w:rsid w:val="00212F2C"/>
    <w:rsid w:val="00213B3F"/>
    <w:rsid w:val="00215FED"/>
    <w:rsid w:val="00216AD6"/>
    <w:rsid w:val="0022391F"/>
    <w:rsid w:val="00226AB0"/>
    <w:rsid w:val="00233B8C"/>
    <w:rsid w:val="00234EF2"/>
    <w:rsid w:val="00236D6A"/>
    <w:rsid w:val="002370AE"/>
    <w:rsid w:val="002377A6"/>
    <w:rsid w:val="00237879"/>
    <w:rsid w:val="002402A9"/>
    <w:rsid w:val="00242572"/>
    <w:rsid w:val="00245B23"/>
    <w:rsid w:val="0024761D"/>
    <w:rsid w:val="00247F5A"/>
    <w:rsid w:val="00251523"/>
    <w:rsid w:val="002556BE"/>
    <w:rsid w:val="002601E1"/>
    <w:rsid w:val="002602D8"/>
    <w:rsid w:val="00260434"/>
    <w:rsid w:val="00270D8B"/>
    <w:rsid w:val="0027667E"/>
    <w:rsid w:val="00282057"/>
    <w:rsid w:val="00283F5C"/>
    <w:rsid w:val="0029054F"/>
    <w:rsid w:val="002A1AE1"/>
    <w:rsid w:val="002A218A"/>
    <w:rsid w:val="002A4AA7"/>
    <w:rsid w:val="002A7E90"/>
    <w:rsid w:val="002B570A"/>
    <w:rsid w:val="002B5DE4"/>
    <w:rsid w:val="002C02E0"/>
    <w:rsid w:val="002C412D"/>
    <w:rsid w:val="002C4E4D"/>
    <w:rsid w:val="002C4FA0"/>
    <w:rsid w:val="002D1096"/>
    <w:rsid w:val="002D5F45"/>
    <w:rsid w:val="002D79F0"/>
    <w:rsid w:val="002E32D9"/>
    <w:rsid w:val="002E7643"/>
    <w:rsid w:val="002F4626"/>
    <w:rsid w:val="00306AC4"/>
    <w:rsid w:val="00313165"/>
    <w:rsid w:val="00322B58"/>
    <w:rsid w:val="00333407"/>
    <w:rsid w:val="003340C8"/>
    <w:rsid w:val="00341DA0"/>
    <w:rsid w:val="0034589B"/>
    <w:rsid w:val="003518A4"/>
    <w:rsid w:val="003567F0"/>
    <w:rsid w:val="00360139"/>
    <w:rsid w:val="00362353"/>
    <w:rsid w:val="00364F83"/>
    <w:rsid w:val="0036540E"/>
    <w:rsid w:val="003710E7"/>
    <w:rsid w:val="00372BDD"/>
    <w:rsid w:val="0037501C"/>
    <w:rsid w:val="003820A6"/>
    <w:rsid w:val="0038382A"/>
    <w:rsid w:val="0038475E"/>
    <w:rsid w:val="0039120F"/>
    <w:rsid w:val="003943CF"/>
    <w:rsid w:val="003A233B"/>
    <w:rsid w:val="003B3B33"/>
    <w:rsid w:val="003B451D"/>
    <w:rsid w:val="003B7DF3"/>
    <w:rsid w:val="003C0922"/>
    <w:rsid w:val="003C1CEA"/>
    <w:rsid w:val="003D15CC"/>
    <w:rsid w:val="003D5AC6"/>
    <w:rsid w:val="003E0B7D"/>
    <w:rsid w:val="003E1158"/>
    <w:rsid w:val="003E467D"/>
    <w:rsid w:val="003E61AE"/>
    <w:rsid w:val="003E6837"/>
    <w:rsid w:val="003F22A8"/>
    <w:rsid w:val="003F3C48"/>
    <w:rsid w:val="003F4F4B"/>
    <w:rsid w:val="003F4F8F"/>
    <w:rsid w:val="003F6115"/>
    <w:rsid w:val="00403FEC"/>
    <w:rsid w:val="00404144"/>
    <w:rsid w:val="00405E72"/>
    <w:rsid w:val="004109B0"/>
    <w:rsid w:val="004110DA"/>
    <w:rsid w:val="00411449"/>
    <w:rsid w:val="0042077C"/>
    <w:rsid w:val="00424BD3"/>
    <w:rsid w:val="00433688"/>
    <w:rsid w:val="00433DD4"/>
    <w:rsid w:val="004402FF"/>
    <w:rsid w:val="004451C4"/>
    <w:rsid w:val="004468BF"/>
    <w:rsid w:val="00452162"/>
    <w:rsid w:val="00460C01"/>
    <w:rsid w:val="00460FFC"/>
    <w:rsid w:val="00464087"/>
    <w:rsid w:val="00466C8B"/>
    <w:rsid w:val="00470D77"/>
    <w:rsid w:val="004728E9"/>
    <w:rsid w:val="00474152"/>
    <w:rsid w:val="00484CE3"/>
    <w:rsid w:val="00485F64"/>
    <w:rsid w:val="004A05F4"/>
    <w:rsid w:val="004A632F"/>
    <w:rsid w:val="004A63BC"/>
    <w:rsid w:val="004A68D0"/>
    <w:rsid w:val="004B304E"/>
    <w:rsid w:val="004B700D"/>
    <w:rsid w:val="004C0147"/>
    <w:rsid w:val="004C3C84"/>
    <w:rsid w:val="004C4537"/>
    <w:rsid w:val="004D4A43"/>
    <w:rsid w:val="004D556C"/>
    <w:rsid w:val="004D6249"/>
    <w:rsid w:val="004D7108"/>
    <w:rsid w:val="004D7B58"/>
    <w:rsid w:val="004E1C6C"/>
    <w:rsid w:val="004E27E5"/>
    <w:rsid w:val="004E2B80"/>
    <w:rsid w:val="004E384A"/>
    <w:rsid w:val="004E4F0E"/>
    <w:rsid w:val="004F02F3"/>
    <w:rsid w:val="004F115E"/>
    <w:rsid w:val="004F18AE"/>
    <w:rsid w:val="004F757E"/>
    <w:rsid w:val="00501E2D"/>
    <w:rsid w:val="00502F9F"/>
    <w:rsid w:val="005051DB"/>
    <w:rsid w:val="00510BAE"/>
    <w:rsid w:val="0051150D"/>
    <w:rsid w:val="00513BAF"/>
    <w:rsid w:val="00515754"/>
    <w:rsid w:val="0052445B"/>
    <w:rsid w:val="00526A83"/>
    <w:rsid w:val="005276A0"/>
    <w:rsid w:val="005352C6"/>
    <w:rsid w:val="00546305"/>
    <w:rsid w:val="005501D1"/>
    <w:rsid w:val="005507EA"/>
    <w:rsid w:val="00551028"/>
    <w:rsid w:val="00556B23"/>
    <w:rsid w:val="0056293C"/>
    <w:rsid w:val="005637D8"/>
    <w:rsid w:val="00566D1A"/>
    <w:rsid w:val="00570ECD"/>
    <w:rsid w:val="00574A1E"/>
    <w:rsid w:val="00576307"/>
    <w:rsid w:val="00576566"/>
    <w:rsid w:val="0058247F"/>
    <w:rsid w:val="00583C6D"/>
    <w:rsid w:val="00583DC9"/>
    <w:rsid w:val="0058702E"/>
    <w:rsid w:val="0059561B"/>
    <w:rsid w:val="005958D9"/>
    <w:rsid w:val="005A1491"/>
    <w:rsid w:val="005A3A99"/>
    <w:rsid w:val="005A4298"/>
    <w:rsid w:val="005A55CE"/>
    <w:rsid w:val="005B29C7"/>
    <w:rsid w:val="005B6B67"/>
    <w:rsid w:val="005C1570"/>
    <w:rsid w:val="005D3323"/>
    <w:rsid w:val="005D4815"/>
    <w:rsid w:val="005D602E"/>
    <w:rsid w:val="005F18F0"/>
    <w:rsid w:val="005F2015"/>
    <w:rsid w:val="005F72AC"/>
    <w:rsid w:val="00606596"/>
    <w:rsid w:val="0061366A"/>
    <w:rsid w:val="0061399D"/>
    <w:rsid w:val="00617B3B"/>
    <w:rsid w:val="0062049B"/>
    <w:rsid w:val="006213A9"/>
    <w:rsid w:val="0063283E"/>
    <w:rsid w:val="00633172"/>
    <w:rsid w:val="00633EFD"/>
    <w:rsid w:val="00637E62"/>
    <w:rsid w:val="00642EAA"/>
    <w:rsid w:val="0064613A"/>
    <w:rsid w:val="006464C1"/>
    <w:rsid w:val="0065213E"/>
    <w:rsid w:val="006610E7"/>
    <w:rsid w:val="006619EC"/>
    <w:rsid w:val="00662E92"/>
    <w:rsid w:val="00670D51"/>
    <w:rsid w:val="006A07E6"/>
    <w:rsid w:val="006A57F7"/>
    <w:rsid w:val="006B590B"/>
    <w:rsid w:val="006B5C4A"/>
    <w:rsid w:val="006B6124"/>
    <w:rsid w:val="006B66E5"/>
    <w:rsid w:val="006C2EA9"/>
    <w:rsid w:val="006C5EAC"/>
    <w:rsid w:val="006E506A"/>
    <w:rsid w:val="006F2C2B"/>
    <w:rsid w:val="006F7B99"/>
    <w:rsid w:val="00703057"/>
    <w:rsid w:val="007035C1"/>
    <w:rsid w:val="0071253B"/>
    <w:rsid w:val="007153B1"/>
    <w:rsid w:val="00716D9A"/>
    <w:rsid w:val="007206B3"/>
    <w:rsid w:val="00727EE0"/>
    <w:rsid w:val="00734157"/>
    <w:rsid w:val="0073543E"/>
    <w:rsid w:val="00735A1B"/>
    <w:rsid w:val="00736927"/>
    <w:rsid w:val="007374CC"/>
    <w:rsid w:val="00751C69"/>
    <w:rsid w:val="00763060"/>
    <w:rsid w:val="00763717"/>
    <w:rsid w:val="00766429"/>
    <w:rsid w:val="007664DC"/>
    <w:rsid w:val="00770B87"/>
    <w:rsid w:val="007A4EA5"/>
    <w:rsid w:val="007B01DE"/>
    <w:rsid w:val="007B3EA2"/>
    <w:rsid w:val="007C62F3"/>
    <w:rsid w:val="007D1E2B"/>
    <w:rsid w:val="007D246C"/>
    <w:rsid w:val="007D57F1"/>
    <w:rsid w:val="007D7198"/>
    <w:rsid w:val="007E211F"/>
    <w:rsid w:val="007E3DBE"/>
    <w:rsid w:val="007E6BED"/>
    <w:rsid w:val="007F5BDB"/>
    <w:rsid w:val="00802458"/>
    <w:rsid w:val="00811192"/>
    <w:rsid w:val="00816BF0"/>
    <w:rsid w:val="008206E9"/>
    <w:rsid w:val="00843DAE"/>
    <w:rsid w:val="00845518"/>
    <w:rsid w:val="00854305"/>
    <w:rsid w:val="00855347"/>
    <w:rsid w:val="008654E6"/>
    <w:rsid w:val="00867505"/>
    <w:rsid w:val="00880DD6"/>
    <w:rsid w:val="008821B2"/>
    <w:rsid w:val="008838A2"/>
    <w:rsid w:val="00885C2E"/>
    <w:rsid w:val="008922CD"/>
    <w:rsid w:val="008A3337"/>
    <w:rsid w:val="008B1FE0"/>
    <w:rsid w:val="008C5121"/>
    <w:rsid w:val="008D21F8"/>
    <w:rsid w:val="008D29EB"/>
    <w:rsid w:val="008D2A35"/>
    <w:rsid w:val="008D2C7D"/>
    <w:rsid w:val="008D4CEE"/>
    <w:rsid w:val="008E20A7"/>
    <w:rsid w:val="008E57E9"/>
    <w:rsid w:val="008E5FA1"/>
    <w:rsid w:val="008F4A97"/>
    <w:rsid w:val="00901425"/>
    <w:rsid w:val="00902314"/>
    <w:rsid w:val="00910DF9"/>
    <w:rsid w:val="009112A5"/>
    <w:rsid w:val="00915B7E"/>
    <w:rsid w:val="009178CC"/>
    <w:rsid w:val="00920392"/>
    <w:rsid w:val="00922D7C"/>
    <w:rsid w:val="009258E1"/>
    <w:rsid w:val="00925D66"/>
    <w:rsid w:val="00931D10"/>
    <w:rsid w:val="009501D8"/>
    <w:rsid w:val="009524D5"/>
    <w:rsid w:val="0095599B"/>
    <w:rsid w:val="00956223"/>
    <w:rsid w:val="00957504"/>
    <w:rsid w:val="00962C5F"/>
    <w:rsid w:val="009660EF"/>
    <w:rsid w:val="00967EC4"/>
    <w:rsid w:val="00970F14"/>
    <w:rsid w:val="00971D23"/>
    <w:rsid w:val="00992E47"/>
    <w:rsid w:val="009A0564"/>
    <w:rsid w:val="009A1C2C"/>
    <w:rsid w:val="009A4308"/>
    <w:rsid w:val="009A6935"/>
    <w:rsid w:val="009B6847"/>
    <w:rsid w:val="009B6D5F"/>
    <w:rsid w:val="009B7C50"/>
    <w:rsid w:val="009C1F77"/>
    <w:rsid w:val="009C3A18"/>
    <w:rsid w:val="009D12D2"/>
    <w:rsid w:val="009D1802"/>
    <w:rsid w:val="009D403B"/>
    <w:rsid w:val="009E0495"/>
    <w:rsid w:val="009E3EFC"/>
    <w:rsid w:val="009E444D"/>
    <w:rsid w:val="009E631F"/>
    <w:rsid w:val="009F138E"/>
    <w:rsid w:val="00A16A99"/>
    <w:rsid w:val="00A21A04"/>
    <w:rsid w:val="00A30177"/>
    <w:rsid w:val="00A34F6B"/>
    <w:rsid w:val="00A35137"/>
    <w:rsid w:val="00A404EF"/>
    <w:rsid w:val="00A40D2D"/>
    <w:rsid w:val="00A40F9C"/>
    <w:rsid w:val="00A4671E"/>
    <w:rsid w:val="00A56CD8"/>
    <w:rsid w:val="00A6340C"/>
    <w:rsid w:val="00A66090"/>
    <w:rsid w:val="00A67DB0"/>
    <w:rsid w:val="00A808B0"/>
    <w:rsid w:val="00A8239D"/>
    <w:rsid w:val="00A82EB3"/>
    <w:rsid w:val="00A85566"/>
    <w:rsid w:val="00A90EED"/>
    <w:rsid w:val="00A93185"/>
    <w:rsid w:val="00A9686C"/>
    <w:rsid w:val="00AA62F6"/>
    <w:rsid w:val="00AC0D7C"/>
    <w:rsid w:val="00AC0F79"/>
    <w:rsid w:val="00AC2994"/>
    <w:rsid w:val="00AC2A23"/>
    <w:rsid w:val="00AD0C27"/>
    <w:rsid w:val="00AD1589"/>
    <w:rsid w:val="00AD303A"/>
    <w:rsid w:val="00AD4DD4"/>
    <w:rsid w:val="00AD61AF"/>
    <w:rsid w:val="00AD6C77"/>
    <w:rsid w:val="00AD7269"/>
    <w:rsid w:val="00AE1450"/>
    <w:rsid w:val="00AE54AD"/>
    <w:rsid w:val="00AF0B49"/>
    <w:rsid w:val="00AF2AAC"/>
    <w:rsid w:val="00AF523F"/>
    <w:rsid w:val="00B101A9"/>
    <w:rsid w:val="00B10D62"/>
    <w:rsid w:val="00B1609F"/>
    <w:rsid w:val="00B16F3F"/>
    <w:rsid w:val="00B24C3D"/>
    <w:rsid w:val="00B31630"/>
    <w:rsid w:val="00B31A2A"/>
    <w:rsid w:val="00B35454"/>
    <w:rsid w:val="00B46A46"/>
    <w:rsid w:val="00B50053"/>
    <w:rsid w:val="00B57407"/>
    <w:rsid w:val="00B60546"/>
    <w:rsid w:val="00B611EB"/>
    <w:rsid w:val="00B62955"/>
    <w:rsid w:val="00B63A6B"/>
    <w:rsid w:val="00B641F6"/>
    <w:rsid w:val="00B720FA"/>
    <w:rsid w:val="00B90AD1"/>
    <w:rsid w:val="00B938C3"/>
    <w:rsid w:val="00B93FC1"/>
    <w:rsid w:val="00B9486F"/>
    <w:rsid w:val="00B95E18"/>
    <w:rsid w:val="00BA204B"/>
    <w:rsid w:val="00BA581C"/>
    <w:rsid w:val="00BB5EAC"/>
    <w:rsid w:val="00BB62CB"/>
    <w:rsid w:val="00BC0B4C"/>
    <w:rsid w:val="00BD33F6"/>
    <w:rsid w:val="00BD3A40"/>
    <w:rsid w:val="00BE0605"/>
    <w:rsid w:val="00BE1CE0"/>
    <w:rsid w:val="00BF1EE1"/>
    <w:rsid w:val="00BF54FD"/>
    <w:rsid w:val="00C04268"/>
    <w:rsid w:val="00C04819"/>
    <w:rsid w:val="00C04922"/>
    <w:rsid w:val="00C0536C"/>
    <w:rsid w:val="00C17268"/>
    <w:rsid w:val="00C33EA2"/>
    <w:rsid w:val="00C36050"/>
    <w:rsid w:val="00C43225"/>
    <w:rsid w:val="00C50F2E"/>
    <w:rsid w:val="00C52C7C"/>
    <w:rsid w:val="00C53CD3"/>
    <w:rsid w:val="00C5792F"/>
    <w:rsid w:val="00C65064"/>
    <w:rsid w:val="00C66665"/>
    <w:rsid w:val="00C67D3F"/>
    <w:rsid w:val="00C76182"/>
    <w:rsid w:val="00C80599"/>
    <w:rsid w:val="00C81649"/>
    <w:rsid w:val="00C932C5"/>
    <w:rsid w:val="00C96546"/>
    <w:rsid w:val="00CA1C30"/>
    <w:rsid w:val="00CA52D0"/>
    <w:rsid w:val="00CB3433"/>
    <w:rsid w:val="00CB5C31"/>
    <w:rsid w:val="00CB64C8"/>
    <w:rsid w:val="00CB761D"/>
    <w:rsid w:val="00CC6EF7"/>
    <w:rsid w:val="00CC78D1"/>
    <w:rsid w:val="00CD50EC"/>
    <w:rsid w:val="00CD7F9B"/>
    <w:rsid w:val="00CE1B2B"/>
    <w:rsid w:val="00CE54A6"/>
    <w:rsid w:val="00D0329A"/>
    <w:rsid w:val="00D03DFB"/>
    <w:rsid w:val="00D052AF"/>
    <w:rsid w:val="00D078CC"/>
    <w:rsid w:val="00D127F4"/>
    <w:rsid w:val="00D1392C"/>
    <w:rsid w:val="00D139CF"/>
    <w:rsid w:val="00D160ED"/>
    <w:rsid w:val="00D16E64"/>
    <w:rsid w:val="00D21C28"/>
    <w:rsid w:val="00D27A45"/>
    <w:rsid w:val="00D27F88"/>
    <w:rsid w:val="00D3533A"/>
    <w:rsid w:val="00D36FE5"/>
    <w:rsid w:val="00D42B16"/>
    <w:rsid w:val="00D4561C"/>
    <w:rsid w:val="00D46494"/>
    <w:rsid w:val="00D52CEC"/>
    <w:rsid w:val="00D54DB6"/>
    <w:rsid w:val="00D61E00"/>
    <w:rsid w:val="00D63DA2"/>
    <w:rsid w:val="00D65C18"/>
    <w:rsid w:val="00D82E06"/>
    <w:rsid w:val="00D87DF3"/>
    <w:rsid w:val="00D96EDF"/>
    <w:rsid w:val="00D97886"/>
    <w:rsid w:val="00DA65C7"/>
    <w:rsid w:val="00DB2D69"/>
    <w:rsid w:val="00DB53D2"/>
    <w:rsid w:val="00DC3909"/>
    <w:rsid w:val="00DC4D29"/>
    <w:rsid w:val="00DC55F2"/>
    <w:rsid w:val="00DC5C31"/>
    <w:rsid w:val="00DD7340"/>
    <w:rsid w:val="00DE1121"/>
    <w:rsid w:val="00DE1183"/>
    <w:rsid w:val="00DE1B70"/>
    <w:rsid w:val="00DE6066"/>
    <w:rsid w:val="00DF020D"/>
    <w:rsid w:val="00DF1687"/>
    <w:rsid w:val="00E02AC8"/>
    <w:rsid w:val="00E118FC"/>
    <w:rsid w:val="00E1361B"/>
    <w:rsid w:val="00E1518D"/>
    <w:rsid w:val="00E2244C"/>
    <w:rsid w:val="00E26734"/>
    <w:rsid w:val="00E33D01"/>
    <w:rsid w:val="00E3531F"/>
    <w:rsid w:val="00E36275"/>
    <w:rsid w:val="00E436F1"/>
    <w:rsid w:val="00E52CA0"/>
    <w:rsid w:val="00E5698B"/>
    <w:rsid w:val="00E56B8A"/>
    <w:rsid w:val="00E622CF"/>
    <w:rsid w:val="00E63C56"/>
    <w:rsid w:val="00E66758"/>
    <w:rsid w:val="00E67929"/>
    <w:rsid w:val="00E70A1C"/>
    <w:rsid w:val="00E747ED"/>
    <w:rsid w:val="00E74E04"/>
    <w:rsid w:val="00E75161"/>
    <w:rsid w:val="00E7522F"/>
    <w:rsid w:val="00E85C79"/>
    <w:rsid w:val="00E9002A"/>
    <w:rsid w:val="00E91902"/>
    <w:rsid w:val="00E95115"/>
    <w:rsid w:val="00E9708E"/>
    <w:rsid w:val="00EC58C3"/>
    <w:rsid w:val="00ED4F7A"/>
    <w:rsid w:val="00EE2296"/>
    <w:rsid w:val="00EE32E2"/>
    <w:rsid w:val="00EE363B"/>
    <w:rsid w:val="00EE4B6B"/>
    <w:rsid w:val="00EE682F"/>
    <w:rsid w:val="00EF0B37"/>
    <w:rsid w:val="00F01E59"/>
    <w:rsid w:val="00F06E21"/>
    <w:rsid w:val="00F07F3B"/>
    <w:rsid w:val="00F17539"/>
    <w:rsid w:val="00F22413"/>
    <w:rsid w:val="00F26C74"/>
    <w:rsid w:val="00F32A04"/>
    <w:rsid w:val="00F3538A"/>
    <w:rsid w:val="00F358B6"/>
    <w:rsid w:val="00F41E6B"/>
    <w:rsid w:val="00F44B12"/>
    <w:rsid w:val="00F50E8E"/>
    <w:rsid w:val="00F52428"/>
    <w:rsid w:val="00F53196"/>
    <w:rsid w:val="00F53A43"/>
    <w:rsid w:val="00F620D0"/>
    <w:rsid w:val="00F620F5"/>
    <w:rsid w:val="00F64A9F"/>
    <w:rsid w:val="00F71397"/>
    <w:rsid w:val="00F8171E"/>
    <w:rsid w:val="00F84233"/>
    <w:rsid w:val="00F84425"/>
    <w:rsid w:val="00F84ACE"/>
    <w:rsid w:val="00F85936"/>
    <w:rsid w:val="00F92033"/>
    <w:rsid w:val="00F96C4C"/>
    <w:rsid w:val="00F96C99"/>
    <w:rsid w:val="00F97E2D"/>
    <w:rsid w:val="00FA1BC7"/>
    <w:rsid w:val="00FA2E76"/>
    <w:rsid w:val="00FA7C22"/>
    <w:rsid w:val="00FA7DEC"/>
    <w:rsid w:val="00FB5885"/>
    <w:rsid w:val="00FC1272"/>
    <w:rsid w:val="00FC5C09"/>
    <w:rsid w:val="00FD0B29"/>
    <w:rsid w:val="00FD1776"/>
    <w:rsid w:val="00FE0779"/>
    <w:rsid w:val="00FE42AA"/>
    <w:rsid w:val="00FF71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18E7D"/>
  <w15:chartTrackingRefBased/>
  <w15:docId w15:val="{F5B74CEF-7B69-4676-B74A-F51CA42FE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2F3"/>
    <w:pPr>
      <w:spacing w:after="120" w:line="360" w:lineRule="auto"/>
    </w:pPr>
    <w:rPr>
      <w:rFonts w:ascii="Times New Roman" w:eastAsiaTheme="minorEastAsia" w:hAnsi="Times New Roman"/>
      <w:lang w:val="en-US"/>
    </w:rPr>
  </w:style>
  <w:style w:type="paragraph" w:styleId="Heading1">
    <w:name w:val="heading 1"/>
    <w:basedOn w:val="Normal"/>
    <w:next w:val="Normal"/>
    <w:link w:val="Heading1Char"/>
    <w:uiPriority w:val="9"/>
    <w:qFormat/>
    <w:rsid w:val="00AC2A23"/>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n-GB"/>
    </w:rPr>
  </w:style>
  <w:style w:type="paragraph" w:styleId="Heading2">
    <w:name w:val="heading 2"/>
    <w:basedOn w:val="Normal"/>
    <w:next w:val="Normal"/>
    <w:link w:val="Heading2Char"/>
    <w:uiPriority w:val="9"/>
    <w:unhideWhenUsed/>
    <w:qFormat/>
    <w:rsid w:val="00AC2A23"/>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n-GB"/>
    </w:rPr>
  </w:style>
  <w:style w:type="paragraph" w:styleId="Heading3">
    <w:name w:val="heading 3"/>
    <w:basedOn w:val="Normal"/>
    <w:next w:val="Normal"/>
    <w:link w:val="Heading3Char"/>
    <w:uiPriority w:val="9"/>
    <w:semiHidden/>
    <w:unhideWhenUsed/>
    <w:qFormat/>
    <w:rsid w:val="00AC2A23"/>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lang w:val="en-GB"/>
    </w:rPr>
  </w:style>
  <w:style w:type="paragraph" w:styleId="Heading4">
    <w:name w:val="heading 4"/>
    <w:basedOn w:val="Normal"/>
    <w:next w:val="Normal"/>
    <w:link w:val="Heading4Char"/>
    <w:uiPriority w:val="9"/>
    <w:semiHidden/>
    <w:unhideWhenUsed/>
    <w:qFormat/>
    <w:rsid w:val="00AC2A23"/>
    <w:pPr>
      <w:keepNext/>
      <w:keepLines/>
      <w:spacing w:before="80" w:after="40" w:line="259" w:lineRule="auto"/>
      <w:outlineLvl w:val="3"/>
    </w:pPr>
    <w:rPr>
      <w:rFonts w:asciiTheme="minorHAnsi" w:eastAsiaTheme="majorEastAsia" w:hAnsiTheme="minorHAnsi" w:cstheme="majorBidi"/>
      <w:i/>
      <w:iCs/>
      <w:color w:val="0F4761" w:themeColor="accent1" w:themeShade="BF"/>
      <w:lang w:val="en-GB"/>
    </w:rPr>
  </w:style>
  <w:style w:type="paragraph" w:styleId="Heading5">
    <w:name w:val="heading 5"/>
    <w:basedOn w:val="Normal"/>
    <w:next w:val="Normal"/>
    <w:link w:val="Heading5Char"/>
    <w:uiPriority w:val="9"/>
    <w:semiHidden/>
    <w:unhideWhenUsed/>
    <w:qFormat/>
    <w:rsid w:val="00AC2A23"/>
    <w:pPr>
      <w:keepNext/>
      <w:keepLines/>
      <w:spacing w:before="80" w:after="40" w:line="259" w:lineRule="auto"/>
      <w:outlineLvl w:val="4"/>
    </w:pPr>
    <w:rPr>
      <w:rFonts w:asciiTheme="minorHAnsi" w:eastAsiaTheme="majorEastAsia" w:hAnsiTheme="minorHAnsi" w:cstheme="majorBidi"/>
      <w:color w:val="0F4761" w:themeColor="accent1" w:themeShade="BF"/>
      <w:lang w:val="en-GB"/>
    </w:rPr>
  </w:style>
  <w:style w:type="paragraph" w:styleId="Heading6">
    <w:name w:val="heading 6"/>
    <w:basedOn w:val="Normal"/>
    <w:next w:val="Normal"/>
    <w:link w:val="Heading6Char"/>
    <w:uiPriority w:val="9"/>
    <w:semiHidden/>
    <w:unhideWhenUsed/>
    <w:qFormat/>
    <w:rsid w:val="00AC2A23"/>
    <w:pPr>
      <w:keepNext/>
      <w:keepLines/>
      <w:spacing w:before="40" w:after="0" w:line="259" w:lineRule="auto"/>
      <w:outlineLvl w:val="5"/>
    </w:pPr>
    <w:rPr>
      <w:rFonts w:asciiTheme="minorHAnsi" w:eastAsiaTheme="majorEastAsia" w:hAnsiTheme="minorHAnsi" w:cstheme="majorBidi"/>
      <w:i/>
      <w:iCs/>
      <w:color w:val="595959" w:themeColor="text1" w:themeTint="A6"/>
      <w:lang w:val="en-GB"/>
    </w:rPr>
  </w:style>
  <w:style w:type="paragraph" w:styleId="Heading7">
    <w:name w:val="heading 7"/>
    <w:basedOn w:val="Normal"/>
    <w:next w:val="Normal"/>
    <w:link w:val="Heading7Char"/>
    <w:uiPriority w:val="9"/>
    <w:semiHidden/>
    <w:unhideWhenUsed/>
    <w:qFormat/>
    <w:rsid w:val="00AC2A23"/>
    <w:pPr>
      <w:keepNext/>
      <w:keepLines/>
      <w:spacing w:before="40" w:after="0" w:line="259" w:lineRule="auto"/>
      <w:outlineLvl w:val="6"/>
    </w:pPr>
    <w:rPr>
      <w:rFonts w:asciiTheme="minorHAnsi" w:eastAsiaTheme="majorEastAsia" w:hAnsiTheme="minorHAnsi" w:cstheme="majorBidi"/>
      <w:color w:val="595959" w:themeColor="text1" w:themeTint="A6"/>
      <w:lang w:val="en-GB"/>
    </w:rPr>
  </w:style>
  <w:style w:type="paragraph" w:styleId="Heading8">
    <w:name w:val="heading 8"/>
    <w:basedOn w:val="Normal"/>
    <w:next w:val="Normal"/>
    <w:link w:val="Heading8Char"/>
    <w:uiPriority w:val="9"/>
    <w:semiHidden/>
    <w:unhideWhenUsed/>
    <w:qFormat/>
    <w:rsid w:val="00AC2A23"/>
    <w:pPr>
      <w:keepNext/>
      <w:keepLines/>
      <w:spacing w:after="0" w:line="259" w:lineRule="auto"/>
      <w:outlineLvl w:val="7"/>
    </w:pPr>
    <w:rPr>
      <w:rFonts w:asciiTheme="minorHAnsi" w:eastAsiaTheme="majorEastAsia" w:hAnsiTheme="minorHAnsi" w:cstheme="majorBidi"/>
      <w:i/>
      <w:iCs/>
      <w:color w:val="272727" w:themeColor="text1" w:themeTint="D8"/>
      <w:lang w:val="en-GB"/>
    </w:rPr>
  </w:style>
  <w:style w:type="paragraph" w:styleId="Heading9">
    <w:name w:val="heading 9"/>
    <w:basedOn w:val="Normal"/>
    <w:next w:val="Normal"/>
    <w:link w:val="Heading9Char"/>
    <w:uiPriority w:val="9"/>
    <w:semiHidden/>
    <w:unhideWhenUsed/>
    <w:qFormat/>
    <w:rsid w:val="00AC2A23"/>
    <w:pPr>
      <w:keepNext/>
      <w:keepLines/>
      <w:spacing w:after="0" w:line="259" w:lineRule="auto"/>
      <w:outlineLvl w:val="8"/>
    </w:pPr>
    <w:rPr>
      <w:rFonts w:asciiTheme="minorHAnsi" w:eastAsiaTheme="majorEastAsia" w:hAnsiTheme="minorHAnsi" w:cstheme="majorBidi"/>
      <w:color w:val="272727" w:themeColor="text1" w:themeTint="D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A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2A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A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A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A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A23"/>
    <w:rPr>
      <w:rFonts w:eastAsiaTheme="majorEastAsia" w:cstheme="majorBidi"/>
      <w:color w:val="272727" w:themeColor="text1" w:themeTint="D8"/>
    </w:rPr>
  </w:style>
  <w:style w:type="paragraph" w:styleId="Title">
    <w:name w:val="Title"/>
    <w:basedOn w:val="Normal"/>
    <w:next w:val="Normal"/>
    <w:link w:val="TitleChar"/>
    <w:uiPriority w:val="10"/>
    <w:qFormat/>
    <w:rsid w:val="00AC2A23"/>
    <w:pPr>
      <w:spacing w:after="8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AC2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A23"/>
    <w:pPr>
      <w:numPr>
        <w:ilvl w:val="1"/>
      </w:numPr>
      <w:spacing w:after="160" w:line="259" w:lineRule="auto"/>
    </w:pPr>
    <w:rPr>
      <w:rFonts w:asciiTheme="minorHAnsi" w:eastAsiaTheme="majorEastAsia" w:hAnsiTheme="minorHAnsi"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sid w:val="00AC2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A23"/>
    <w:pPr>
      <w:spacing w:before="160" w:after="160" w:line="259" w:lineRule="auto"/>
      <w:jc w:val="center"/>
    </w:pPr>
    <w:rPr>
      <w:rFonts w:asciiTheme="minorHAnsi" w:eastAsiaTheme="minorHAnsi" w:hAnsiTheme="minorHAnsi"/>
      <w:i/>
      <w:iCs/>
      <w:color w:val="404040" w:themeColor="text1" w:themeTint="BF"/>
      <w:lang w:val="en-GB"/>
    </w:rPr>
  </w:style>
  <w:style w:type="character" w:customStyle="1" w:styleId="QuoteChar">
    <w:name w:val="Quote Char"/>
    <w:basedOn w:val="DefaultParagraphFont"/>
    <w:link w:val="Quote"/>
    <w:uiPriority w:val="29"/>
    <w:rsid w:val="00AC2A23"/>
    <w:rPr>
      <w:i/>
      <w:iCs/>
      <w:color w:val="404040" w:themeColor="text1" w:themeTint="BF"/>
    </w:rPr>
  </w:style>
  <w:style w:type="paragraph" w:styleId="ListParagraph">
    <w:name w:val="List Paragraph"/>
    <w:basedOn w:val="Normal"/>
    <w:uiPriority w:val="34"/>
    <w:qFormat/>
    <w:rsid w:val="00AC2A23"/>
    <w:pPr>
      <w:spacing w:after="160" w:line="259" w:lineRule="auto"/>
      <w:ind w:left="720"/>
      <w:contextualSpacing/>
    </w:pPr>
    <w:rPr>
      <w:rFonts w:asciiTheme="minorHAnsi" w:eastAsiaTheme="minorHAnsi" w:hAnsiTheme="minorHAnsi"/>
      <w:lang w:val="en-GB"/>
    </w:rPr>
  </w:style>
  <w:style w:type="character" w:styleId="IntenseEmphasis">
    <w:name w:val="Intense Emphasis"/>
    <w:basedOn w:val="DefaultParagraphFont"/>
    <w:uiPriority w:val="21"/>
    <w:qFormat/>
    <w:rsid w:val="00AC2A23"/>
    <w:rPr>
      <w:i/>
      <w:iCs/>
      <w:color w:val="0F4761" w:themeColor="accent1" w:themeShade="BF"/>
    </w:rPr>
  </w:style>
  <w:style w:type="paragraph" w:styleId="IntenseQuote">
    <w:name w:val="Intense Quote"/>
    <w:basedOn w:val="Normal"/>
    <w:next w:val="Normal"/>
    <w:link w:val="IntenseQuoteChar"/>
    <w:uiPriority w:val="30"/>
    <w:qFormat/>
    <w:rsid w:val="00AC2A23"/>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i/>
      <w:iCs/>
      <w:color w:val="0F4761" w:themeColor="accent1" w:themeShade="BF"/>
      <w:lang w:val="en-GB"/>
    </w:rPr>
  </w:style>
  <w:style w:type="character" w:customStyle="1" w:styleId="IntenseQuoteChar">
    <w:name w:val="Intense Quote Char"/>
    <w:basedOn w:val="DefaultParagraphFont"/>
    <w:link w:val="IntenseQuote"/>
    <w:uiPriority w:val="30"/>
    <w:rsid w:val="00AC2A23"/>
    <w:rPr>
      <w:i/>
      <w:iCs/>
      <w:color w:val="0F4761" w:themeColor="accent1" w:themeShade="BF"/>
    </w:rPr>
  </w:style>
  <w:style w:type="character" w:styleId="IntenseReference">
    <w:name w:val="Intense Reference"/>
    <w:basedOn w:val="DefaultParagraphFont"/>
    <w:uiPriority w:val="32"/>
    <w:qFormat/>
    <w:rsid w:val="00AC2A23"/>
    <w:rPr>
      <w:b/>
      <w:bCs/>
      <w:smallCaps/>
      <w:color w:val="0F4761" w:themeColor="accent1" w:themeShade="BF"/>
      <w:spacing w:val="5"/>
    </w:rPr>
  </w:style>
  <w:style w:type="table" w:styleId="LightGrid-Accent1">
    <w:name w:val="Light Grid Accent 1"/>
    <w:basedOn w:val="TableNormal"/>
    <w:uiPriority w:val="62"/>
    <w:rsid w:val="007C62F3"/>
    <w:pPr>
      <w:spacing w:after="0" w:line="240" w:lineRule="auto"/>
    </w:pPr>
    <w:rPr>
      <w:rFonts w:eastAsiaTheme="minorEastAsia"/>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character" w:styleId="Hyperlink">
    <w:name w:val="Hyperlink"/>
    <w:basedOn w:val="DefaultParagraphFont"/>
    <w:uiPriority w:val="99"/>
    <w:unhideWhenUsed/>
    <w:rsid w:val="004D4A43"/>
    <w:rPr>
      <w:color w:val="467886" w:themeColor="hyperlink"/>
      <w:u w:val="single"/>
    </w:rPr>
  </w:style>
  <w:style w:type="character" w:styleId="UnresolvedMention">
    <w:name w:val="Unresolved Mention"/>
    <w:basedOn w:val="DefaultParagraphFont"/>
    <w:uiPriority w:val="99"/>
    <w:semiHidden/>
    <w:unhideWhenUsed/>
    <w:rsid w:val="004D4A43"/>
    <w:rPr>
      <w:color w:val="605E5C"/>
      <w:shd w:val="clear" w:color="auto" w:fill="E1DFDD"/>
    </w:rPr>
  </w:style>
  <w:style w:type="character" w:styleId="FollowedHyperlink">
    <w:name w:val="FollowedHyperlink"/>
    <w:basedOn w:val="DefaultParagraphFont"/>
    <w:uiPriority w:val="99"/>
    <w:semiHidden/>
    <w:unhideWhenUsed/>
    <w:rsid w:val="00B35454"/>
    <w:rPr>
      <w:color w:val="96607D" w:themeColor="followedHyperlink"/>
      <w:u w:val="single"/>
    </w:rPr>
  </w:style>
  <w:style w:type="table" w:styleId="TableGrid">
    <w:name w:val="Table Grid"/>
    <w:basedOn w:val="TableNormal"/>
    <w:uiPriority w:val="39"/>
    <w:rsid w:val="00E70A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33D01"/>
    <w:pPr>
      <w:spacing w:before="240" w:after="0"/>
      <w:outlineLvl w:val="9"/>
    </w:pPr>
    <w:rPr>
      <w:sz w:val="32"/>
      <w:szCs w:val="32"/>
      <w:lang w:val="en-US"/>
    </w:rPr>
  </w:style>
  <w:style w:type="paragraph" w:styleId="TOC1">
    <w:name w:val="toc 1"/>
    <w:basedOn w:val="Normal"/>
    <w:next w:val="Normal"/>
    <w:autoRedefine/>
    <w:uiPriority w:val="39"/>
    <w:unhideWhenUsed/>
    <w:rsid w:val="00E33D01"/>
    <w:pPr>
      <w:spacing w:after="100"/>
    </w:pPr>
  </w:style>
  <w:style w:type="paragraph" w:styleId="TOC2">
    <w:name w:val="toc 2"/>
    <w:basedOn w:val="Normal"/>
    <w:next w:val="Normal"/>
    <w:autoRedefine/>
    <w:uiPriority w:val="39"/>
    <w:unhideWhenUsed/>
    <w:rsid w:val="00E33D01"/>
    <w:pPr>
      <w:spacing w:after="100"/>
      <w:ind w:left="220"/>
    </w:pPr>
  </w:style>
  <w:style w:type="table" w:styleId="GridTable2">
    <w:name w:val="Grid Table 2"/>
    <w:basedOn w:val="TableNormal"/>
    <w:uiPriority w:val="47"/>
    <w:rsid w:val="000C1F8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85534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18" Type="http://schemas.openxmlformats.org/officeDocument/2006/relationships/hyperlink" Target="https://doi.org/10.1002/pam.22569" TargetMode="External" /><Relationship Id="rId26" Type="http://schemas.openxmlformats.org/officeDocument/2006/relationships/hyperlink" Target="https://doi.org/10.52202/068431-0037" TargetMode="External" /><Relationship Id="rId39" Type="http://schemas.openxmlformats.org/officeDocument/2006/relationships/hyperlink" Target="https://doi.org/10.1002/aisy.202400304" TargetMode="External" /><Relationship Id="rId3" Type="http://schemas.openxmlformats.org/officeDocument/2006/relationships/styles" Target="styles.xml" /><Relationship Id="rId21" Type="http://schemas.openxmlformats.org/officeDocument/2006/relationships/hyperlink" Target="https://doi.org/10.1613/jair.953" TargetMode="External" /><Relationship Id="rId34" Type="http://schemas.openxmlformats.org/officeDocument/2006/relationships/hyperlink" Target="https://doi.org/10.70882/josrar.2025.v2i3.77" TargetMode="External" /><Relationship Id="rId42" Type="http://schemas.openxmlformats.org/officeDocument/2006/relationships/hyperlink" Target="https://doi.org/10.1080/00313831.2022.2116481" TargetMode="External"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hyperlink" Target="https://doi.org/10.3390/su11247238" TargetMode="External" /><Relationship Id="rId25" Type="http://schemas.openxmlformats.org/officeDocument/2006/relationships/hyperlink" Target="https://doi.org/10.1145/3303772.3303791" TargetMode="External" /><Relationship Id="rId33" Type="http://schemas.openxmlformats.org/officeDocument/2006/relationships/hyperlink" Target="https://doi.org/10.18608/jla.2025.8543" TargetMode="External" /><Relationship Id="rId38" Type="http://schemas.openxmlformats.org/officeDocument/2006/relationships/hyperlink" Target="https://doi.org/10.1371/journal.pone.0118432" TargetMode="External" /><Relationship Id="rId2" Type="http://schemas.openxmlformats.org/officeDocument/2006/relationships/numbering" Target="numbering.xml" /><Relationship Id="rId16" Type="http://schemas.openxmlformats.org/officeDocument/2006/relationships/hyperlink" Target="https://doi.org/10.1186/s41239-019-0172-z" TargetMode="External" /><Relationship Id="rId20" Type="http://schemas.openxmlformats.org/officeDocument/2006/relationships/hyperlink" Target="https://doi.org/10.3390/educsci15101321" TargetMode="External" /><Relationship Id="rId29" Type="http://schemas.openxmlformats.org/officeDocument/2006/relationships/hyperlink" Target="https://doi.org/10.1080/03054985.2024.2316616" TargetMode="External" /><Relationship Id="rId41" Type="http://schemas.openxmlformats.org/officeDocument/2006/relationships/hyperlink" Target="https://doi.org/10.1016/j.inffus.2021.11.011" TargetMode="Externa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png" /><Relationship Id="rId24" Type="http://schemas.openxmlformats.org/officeDocument/2006/relationships/hyperlink" Target="https://doi.org/10.1080/01605682.2025.2485263" TargetMode="External" /><Relationship Id="rId32" Type="http://schemas.openxmlformats.org/officeDocument/2006/relationships/hyperlink" Target="https://doi.org/10.3390/asi4010018" TargetMode="External" /><Relationship Id="rId37" Type="http://schemas.openxmlformats.org/officeDocument/2006/relationships/hyperlink" Target="https://doi.org/10.1109/ACCESS.2021.3124270" TargetMode="External" /><Relationship Id="rId40" Type="http://schemas.openxmlformats.org/officeDocument/2006/relationships/hyperlink" Target="https://doi.org/10.1080/0142159X.2017.1309376" TargetMode="External" /><Relationship Id="rId45"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hyperlink" Target="https://doi.org/10.1109/ACCESS.2021.3049446" TargetMode="External" /><Relationship Id="rId23" Type="http://schemas.openxmlformats.org/officeDocument/2006/relationships/hyperlink" Target="https://doi.org/10.18608/jla.2025.8735" TargetMode="External" /><Relationship Id="rId28" Type="http://schemas.openxmlformats.org/officeDocument/2006/relationships/hyperlink" Target="https://doi.org/10.1007/978-3-031-64315-6_46" TargetMode="External" /><Relationship Id="rId36" Type="http://schemas.openxmlformats.org/officeDocument/2006/relationships/hyperlink" Target="https://doi.org/10.1186/s41239-024-00450-9" TargetMode="External" /><Relationship Id="rId10" Type="http://schemas.openxmlformats.org/officeDocument/2006/relationships/image" Target="media/image5.png" /><Relationship Id="rId19" Type="http://schemas.openxmlformats.org/officeDocument/2006/relationships/hyperlink" Target="https://doi.org/10.1023/A:1010933404324" TargetMode="External" /><Relationship Id="rId31" Type="http://schemas.openxmlformats.org/officeDocument/2006/relationships/hyperlink" Target="https://doi.org/10.1016/j.compedu.2004.12.004" TargetMode="External" /><Relationship Id="rId44"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image" Target="media/image9.png" /><Relationship Id="rId22" Type="http://schemas.openxmlformats.org/officeDocument/2006/relationships/hyperlink" Target="https://doi.org/10.1145/2939672.2939785" TargetMode="External" /><Relationship Id="rId27" Type="http://schemas.openxmlformats.org/officeDocument/2006/relationships/hyperlink" Target="https://doi.org/10.1109/TLT.2022.3197486" TargetMode="External" /><Relationship Id="rId30" Type="http://schemas.openxmlformats.org/officeDocument/2006/relationships/hyperlink" Target="https://doi.org/10.1038/sdata.2017.171" TargetMode="External" /><Relationship Id="rId35" Type="http://schemas.openxmlformats.org/officeDocument/2006/relationships/hyperlink" Target="https://doi.org/10.1111/hequ.12298" TargetMode="External" /><Relationship Id="rId43" Type="http://schemas.openxmlformats.org/officeDocument/2006/relationships/hyperlink" Target="https://doi.org/10.1007/s10734-018-0249-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FF5BB2-0C83-4A20-869B-8A38446B6140}">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490a8197-7b83-4f10-89b9-83189be3835e}" enabled="0" method="" siteId="{490a8197-7b83-4f10-89b9-83189be3835e}" removed="1"/>
</clbl:labelList>
</file>

<file path=docProps/app.xml><?xml version="1.0" encoding="utf-8"?>
<Properties xmlns="http://schemas.openxmlformats.org/officeDocument/2006/extended-properties" xmlns:vt="http://schemas.openxmlformats.org/officeDocument/2006/docPropsVTypes">
  <Template>Normal</Template>
  <TotalTime>7266</TotalTime>
  <Pages>1</Pages>
  <Words>6047</Words>
  <Characters>34471</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PIUS TWUMASI</dc:creator>
  <cp:keywords/>
  <dc:description/>
  <cp:lastModifiedBy>Pius Twumasi</cp:lastModifiedBy>
  <cp:revision>542</cp:revision>
  <cp:lastPrinted>2026-08-16T18:42:00Z</cp:lastPrinted>
  <dcterms:created xsi:type="dcterms:W3CDTF">2026-07-26T16:56:00Z</dcterms:created>
  <dcterms:modified xsi:type="dcterms:W3CDTF">2026-08-17T12:40:00Z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d2ff685b-b3f4-4c66-9fe7-7d66830a99ca</vt:lpwstr>
  </property>
</Properties>
</file>