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Tetherless Offline-First / DDIL Architecture</w:t>
      </w:r>
    </w:p>
    <w:p>
      <w:pPr>
        <w:jc w:val="center"/>
      </w:pPr>
      <w:r>
        <w:rPr>
          <w:b/>
        </w:rPr>
        <w:t>Architecture note for the Tetherless PRD • Draft • Oct. 3, 2026</w:t>
      </w:r>
    </w:p>
    <w:p>
      <w:pPr>
        <w:jc w:val="center"/>
      </w:pPr>
      <w:r>
        <w:rPr>
          <w:b/>
        </w:rPr>
        <w:t xml:space="preserve">Working principle: </w:t>
      </w:r>
      <w:r>
        <w:t>the phone is the durable edge, and reconnection is a safe replay—not a rescue operation.</w:t>
      </w:r>
    </w:p>
    <w:p>
      <w:pPr>
        <w:pStyle w:val="Heading1"/>
      </w:pPr>
      <w:r>
        <w:t>1. Purpose</w:t>
      </w:r>
    </w:p>
    <w:p>
      <w:r>
        <w:t>Tetherless must let learners practice on older iPhones and Android devices when internet access is unavailable or unreliable, while preserving enough trustworthy activity data for RCO to understand participation and learning patterns when connectivity returns.</w:t>
      </w:r>
    </w:p>
    <w:p>
      <w:r>
        <w:t>The architecture therefore treats offline operation as a first-class operating condition rather than a temporary error state. Learner activity is captured locally, retained across app restarts, and synchronized when a connection becomes available.</w:t>
      </w:r>
    </w:p>
    <w:p>
      <w:pPr>
        <w:pStyle w:val="Heading1"/>
      </w:pPr>
      <w:r>
        <w:t>2. Core architectural idea</w:t>
      </w:r>
    </w:p>
    <w:p>
      <w:r>
        <w:t>Instead of treating the learner's current progress as one mutable record that must be kept identical on the phone and server, the app records meaningful learner actions as durable local events. Each event receives a unique identifier. Sync uploads those events to the backend, which accepts each event at most once and can safely receive the same event again.</w:t>
      </w:r>
    </w:p>
    <w:p>
      <w:r>
        <w:rPr>
          <w:b/>
        </w:rPr>
        <w:t>Conceptual flow</w:t>
      </w:r>
    </w:p>
    <w:p>
      <w:r>
        <w:t>Learner action → local event stamp → durable local storage → connection returns → sync/replay → backend validation and deduplication → deterministic aggregation → manager view / optional AI summary</w:t>
      </w:r>
    </w:p>
    <w:p>
      <w:pPr>
        <w:pStyle w:val="Heading1"/>
      </w:pPr>
      <w:r>
        <w:t>3.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Responsibility</w:t>
            </w:r>
          </w:p>
        </w:tc>
        <w:tc>
          <w:tcPr>
            <w:tcW w:type="dxa" w:w="3360"/>
          </w:tcPr>
          <w:p>
            <w:r>
              <w:t>Proposed implementation</w:t>
            </w:r>
          </w:p>
        </w:tc>
      </w:tr>
      <w:tr>
        <w:tc>
          <w:tcPr>
            <w:tcW w:type="dxa" w:w="3360"/>
            <w:vAlign w:val="center"/>
          </w:tcPr>
          <w:p>
            <w:r>
              <w:t>Learner UI</w:t>
            </w:r>
          </w:p>
        </w:tc>
        <w:tc>
          <w:tcPr>
            <w:tcW w:type="dxa" w:w="3360"/>
            <w:vAlign w:val="center"/>
          </w:tcPr>
          <w:p>
            <w:r>
              <w:t>Runs the vocabulary exercise and records meaningful actions.</w:t>
            </w:r>
          </w:p>
        </w:tc>
        <w:tc>
          <w:tcPr>
            <w:tcW w:type="dxa" w:w="3360"/>
            <w:vAlign w:val="center"/>
          </w:tcPr>
          <w:p>
            <w:r>
              <w:t>React + TypeScript + Vite</w:t>
            </w:r>
          </w:p>
        </w:tc>
      </w:tr>
      <w:tr>
        <w:tc>
          <w:tcPr>
            <w:tcW w:type="dxa" w:w="3360"/>
            <w:vAlign w:val="center"/>
          </w:tcPr>
          <w:p>
            <w:r>
              <w:t>Offline shell</w:t>
            </w:r>
          </w:p>
        </w:tc>
        <w:tc>
          <w:tcPr>
            <w:tcW w:type="dxa" w:w="3360"/>
            <w:vAlign w:val="center"/>
          </w:tcPr>
          <w:p>
            <w:r>
              <w:t>Allows the installed web app to open and run without network access.</w:t>
            </w:r>
          </w:p>
        </w:tc>
        <w:tc>
          <w:tcPr>
            <w:tcW w:type="dxa" w:w="3360"/>
            <w:vAlign w:val="center"/>
          </w:tcPr>
          <w:p>
            <w:r>
              <w:t>vite-plugin-pwa / service worker</w:t>
            </w:r>
          </w:p>
        </w:tc>
      </w:tr>
      <w:tr>
        <w:tc>
          <w:tcPr>
            <w:tcW w:type="dxa" w:w="3360"/>
            <w:vAlign w:val="center"/>
          </w:tcPr>
          <w:p>
            <w:r>
              <w:t>Local event store</w:t>
            </w:r>
          </w:p>
        </w:tc>
        <w:tc>
          <w:tcPr>
            <w:tcW w:type="dxa" w:w="3360"/>
            <w:vAlign w:val="center"/>
          </w:tcPr>
          <w:p>
            <w:r>
              <w:t>Durably stores content, learner identity, progress, and unsynced activity.</w:t>
            </w:r>
          </w:p>
        </w:tc>
        <w:tc>
          <w:tcPr>
            <w:tcW w:type="dxa" w:w="3360"/>
            <w:vAlign w:val="center"/>
          </w:tcPr>
          <w:p>
            <w:r>
              <w:t>IndexedDB via Dexie</w:t>
            </w:r>
          </w:p>
        </w:tc>
      </w:tr>
      <w:tr>
        <w:tc>
          <w:tcPr>
            <w:tcW w:type="dxa" w:w="3360"/>
            <w:vAlign w:val="center"/>
          </w:tcPr>
          <w:p>
            <w:r>
              <w:t>Sync queue</w:t>
            </w:r>
          </w:p>
        </w:tc>
        <w:tc>
          <w:tcPr>
            <w:tcW w:type="dxa" w:w="3360"/>
            <w:vAlign w:val="center"/>
          </w:tcPr>
          <w:p>
            <w:r>
              <w:t>Finds unsynced events, sends them in batches, retries failures, and records acknowledgements.</w:t>
            </w:r>
          </w:p>
        </w:tc>
        <w:tc>
          <w:tcPr>
            <w:tcW w:type="dxa" w:w="3360"/>
            <w:vAlign w:val="center"/>
          </w:tcPr>
          <w:p>
            <w:r>
              <w:t>Application sync layer</w:t>
            </w:r>
          </w:p>
        </w:tc>
      </w:tr>
      <w:tr>
        <w:tc>
          <w:tcPr>
            <w:tcW w:type="dxa" w:w="3360"/>
            <w:vAlign w:val="center"/>
          </w:tcPr>
          <w:p>
            <w:r>
              <w:t>Backend ingest</w:t>
            </w:r>
          </w:p>
        </w:tc>
        <w:tc>
          <w:tcPr>
            <w:tcW w:type="dxa" w:w="3360"/>
            <w:vAlign w:val="center"/>
          </w:tcPr>
          <w:p>
            <w:r>
              <w:t>Validates events, rejects/ignores duplicate event IDs, and persists accepted events.</w:t>
            </w:r>
          </w:p>
        </w:tc>
        <w:tc>
          <w:tcPr>
            <w:tcW w:type="dxa" w:w="3360"/>
            <w:vAlign w:val="center"/>
          </w:tcPr>
          <w:p>
            <w:r>
              <w:t>Small serverless function + free-tier database</w:t>
            </w:r>
          </w:p>
        </w:tc>
      </w:tr>
      <w:tr>
        <w:tc>
          <w:tcPr>
            <w:tcW w:type="dxa" w:w="3360"/>
            <w:vAlign w:val="center"/>
          </w:tcPr>
          <w:p>
            <w:r>
              <w:t>Derived analytics</w:t>
            </w:r>
          </w:p>
        </w:tc>
        <w:tc>
          <w:tcPr>
            <w:tcW w:type="dxa" w:w="3360"/>
            <w:vAlign w:val="center"/>
          </w:tcPr>
          <w:p>
            <w:r>
              <w:t>Calculates participation, accuracy, topic performance, and progress from accepted events.</w:t>
            </w:r>
          </w:p>
        </w:tc>
        <w:tc>
          <w:tcPr>
            <w:tcW w:type="dxa" w:w="3360"/>
            <w:vAlign w:val="center"/>
          </w:tcPr>
          <w:p>
            <w:r>
              <w:t>Server-side deterministic queries/aggregation</w:t>
            </w:r>
          </w:p>
        </w:tc>
      </w:tr>
      <w:tr>
        <w:tc>
          <w:tcPr>
            <w:tcW w:type="dxa" w:w="3360"/>
            <w:vAlign w:val="center"/>
          </w:tcPr>
          <w:p>
            <w:r>
              <w:t>Manager view</w:t>
            </w:r>
          </w:p>
        </w:tc>
        <w:tc>
          <w:tcPr>
            <w:tcW w:type="dxa" w:w="3360"/>
            <w:vAlign w:val="center"/>
          </w:tcPr>
          <w:p>
            <w:r>
              <w:t>Shows RCO the agreed activity and learning signals and supports export.</w:t>
            </w:r>
          </w:p>
        </w:tc>
        <w:tc>
          <w:tcPr>
            <w:tcW w:type="dxa" w:w="3360"/>
            <w:vAlign w:val="center"/>
          </w:tcPr>
          <w:p>
            <w:r>
              <w:t>Protected page + CSV/JSON export</w:t>
            </w:r>
          </w:p>
        </w:tc>
      </w:tr>
      <w:tr>
        <w:tc>
          <w:tcPr>
            <w:tcW w:type="dxa" w:w="3360"/>
            <w:vAlign w:val="center"/>
          </w:tcPr>
          <w:p>
            <w:r>
              <w:t>Optional AI layer</w:t>
            </w:r>
          </w:p>
        </w:tc>
        <w:tc>
          <w:tcPr>
            <w:tcW w:type="dxa" w:w="3360"/>
            <w:vAlign w:val="center"/>
          </w:tcPr>
          <w:p>
            <w:r>
              <w:t>Turns already-calculated evidence into a plain-language manager summary on demand.</w:t>
            </w:r>
          </w:p>
        </w:tc>
        <w:tc>
          <w:tcPr>
            <w:tcW w:type="dxa" w:w="3360"/>
            <w:vAlign w:val="center"/>
          </w:tcPr>
          <w:p>
            <w:r>
              <w:t>Serverless AI call, optional</w:t>
            </w:r>
          </w:p>
        </w:tc>
      </w:tr>
    </w:tbl>
    <w:p>
      <w:pPr>
        <w:pStyle w:val="Heading1"/>
      </w:pPr>
      <w:r>
        <w:t>4. Durable event model</w:t>
      </w:r>
    </w:p>
    <w:p>
      <w:r>
        <w:t>The preferred sync unit is an immutable activity event rather than a mutable 'current score' record. This makes disconnected operation easier to reason about and reduces the need for traditional conflict resolution.</w:t>
      </w:r>
    </w:p>
    <w:p>
      <w:r>
        <w:t>Illustrative event fields:</w:t>
      </w:r>
    </w:p>
    <w:p>
      <w:pPr>
        <w:pStyle w:val="ListBullet"/>
      </w:pPr>
      <w:r>
        <w:t>event_id — globally unique identifier for the activity event.</w:t>
      </w:r>
    </w:p>
    <w:p>
      <w:pPr>
        <w:pStyle w:val="ListBullet"/>
      </w:pPr>
      <w:r>
        <w:t>learner_id — locally generated learner identifier.</w:t>
      </w:r>
    </w:p>
    <w:p>
      <w:pPr>
        <w:pStyle w:val="ListBullet"/>
      </w:pPr>
      <w:r>
        <w:t>exercise_id — exercise/question associated with the action.</w:t>
      </w:r>
    </w:p>
    <w:p>
      <w:pPr>
        <w:pStyle w:val="ListBullet"/>
      </w:pPr>
      <w:r>
        <w:t>topic_id — topic or concept associated with the exercise.</w:t>
      </w:r>
    </w:p>
    <w:p>
      <w:pPr>
        <w:pStyle w:val="ListBullet"/>
      </w:pPr>
      <w:r>
        <w:t>attempt_number — optional attempt sequence.</w:t>
      </w:r>
    </w:p>
    <w:p>
      <w:pPr>
        <w:pStyle w:val="ListBullet"/>
      </w:pPr>
      <w:r>
        <w:t>answer/correctness — the learner's response and whether it was correct.</w:t>
      </w:r>
    </w:p>
    <w:p>
      <w:pPr>
        <w:pStyle w:val="ListBullet"/>
      </w:pPr>
      <w:r>
        <w:t>occurred_at — timestamp recorded by the device.</w:t>
      </w:r>
    </w:p>
    <w:p>
      <w:pPr>
        <w:pStyle w:val="ListBullet"/>
      </w:pPr>
      <w:r>
        <w:t>duration — optional duration for the exercise.</w:t>
      </w:r>
    </w:p>
    <w:p>
      <w:pPr>
        <w:pStyle w:val="ListBullet"/>
      </w:pPr>
      <w:r>
        <w:t>sync_state — local state such as pending, acknowledged, or retry.</w:t>
      </w:r>
    </w:p>
    <w:p>
      <w:r>
        <w:t>Exact fields should be finalized during PRD/implementation design. The important architectural property is that every meaningful activity that must survive DDIL has a durable local representation and a unique event ID.</w:t>
      </w:r>
    </w:p>
    <w:p>
      <w:pPr>
        <w:pStyle w:val="Heading1"/>
      </w:pPr>
      <w:r>
        <w:t>5. Sync guarantees</w:t>
      </w:r>
    </w:p>
    <w:tbl>
      <w:tblPr>
        <w:tblStyle w:val="TableGrid"/>
        <w:tblW w:type="auto" w:w="0"/>
        <w:jc w:val="center"/>
        <w:tblLook w:firstColumn="1" w:firstRow="1" w:lastColumn="0" w:lastRow="0" w:noHBand="0" w:noVBand="1" w:val="04A0"/>
      </w:tblPr>
      <w:tblGrid>
        <w:gridCol w:w="5040"/>
        <w:gridCol w:w="5040"/>
      </w:tblGrid>
      <w:tr>
        <w:tc>
          <w:tcPr>
            <w:tcW w:type="dxa" w:w="5040"/>
          </w:tcPr>
          <w:p>
            <w:r>
              <w:t>Guarantee</w:t>
            </w:r>
          </w:p>
        </w:tc>
        <w:tc>
          <w:tcPr>
            <w:tcW w:type="dxa" w:w="5040"/>
          </w:tcPr>
          <w:p>
            <w:r>
              <w:t>Meaning</w:t>
            </w:r>
          </w:p>
        </w:tc>
      </w:tr>
      <w:tr>
        <w:tc>
          <w:tcPr>
            <w:tcW w:type="dxa" w:w="5040"/>
          </w:tcPr>
          <w:p>
            <w:r>
              <w:t>Durability</w:t>
            </w:r>
          </w:p>
        </w:tc>
        <w:tc>
          <w:tcPr>
            <w:tcW w:type="dxa" w:w="5040"/>
          </w:tcPr>
          <w:p>
            <w:r>
              <w:t>Once an activity is accepted into local storage, closing/reopening the app should not erase it.</w:t>
            </w:r>
          </w:p>
        </w:tc>
      </w:tr>
      <w:tr>
        <w:tc>
          <w:tcPr>
            <w:tcW w:type="dxa" w:w="5040"/>
          </w:tcPr>
          <w:p>
            <w:r>
              <w:t>Idempotency</w:t>
            </w:r>
          </w:p>
        </w:tc>
        <w:tc>
          <w:tcPr>
            <w:tcW w:type="dxa" w:w="5040"/>
          </w:tcPr>
          <w:p>
            <w:r>
              <w:t>If the same event is transmitted more than once, the backend must not create multiple copies.</w:t>
            </w:r>
          </w:p>
        </w:tc>
      </w:tr>
      <w:tr>
        <w:tc>
          <w:tcPr>
            <w:tcW w:type="dxa" w:w="5040"/>
          </w:tcPr>
          <w:p>
            <w:r>
              <w:t>Resumability</w:t>
            </w:r>
          </w:p>
        </w:tc>
        <w:tc>
          <w:tcPr>
            <w:tcW w:type="dxa" w:w="5040"/>
          </w:tcPr>
          <w:p>
            <w:r>
              <w:t>If a connection drops halfway through a batch, acknowledged events remain acknowledged and unacknowledged events remain eligible for retry.</w:t>
            </w:r>
          </w:p>
        </w:tc>
      </w:tr>
      <w:tr>
        <w:tc>
          <w:tcPr>
            <w:tcW w:type="dxa" w:w="5040"/>
          </w:tcPr>
          <w:p>
            <w:r>
              <w:t>No silent loss</w:t>
            </w:r>
          </w:p>
        </w:tc>
        <w:tc>
          <w:tcPr>
            <w:tcW w:type="dxa" w:w="5040"/>
          </w:tcPr>
          <w:p>
            <w:r>
              <w:t>The client should not mark an event complete until it has a durable local record and, for synced state, a server acknowledgement.</w:t>
            </w:r>
          </w:p>
        </w:tc>
      </w:tr>
      <w:tr>
        <w:tc>
          <w:tcPr>
            <w:tcW w:type="dxa" w:w="5040"/>
          </w:tcPr>
          <w:p>
            <w:r>
              <w:t>Order awareness</w:t>
            </w:r>
          </w:p>
        </w:tc>
        <w:tc>
          <w:tcPr>
            <w:tcW w:type="dxa" w:w="5040"/>
          </w:tcPr>
          <w:p>
            <w:r>
              <w:t>Events retain occurrence metadata so that out-of-order arrival does not erase the chronology of learner activity.</w:t>
            </w:r>
          </w:p>
        </w:tc>
      </w:tr>
      <w:tr>
        <w:tc>
          <w:tcPr>
            <w:tcW w:type="dxa" w:w="5040"/>
          </w:tcPr>
          <w:p>
            <w:r>
              <w:t>Reconnection safety</w:t>
            </w:r>
          </w:p>
        </w:tc>
        <w:tc>
          <w:tcPr>
            <w:tcW w:type="dxa" w:w="5040"/>
          </w:tcPr>
          <w:p>
            <w:r>
              <w:t>A phone that has been offline for days should be able to reconnect without requiring the learner to redo work.</w:t>
            </w:r>
          </w:p>
        </w:tc>
      </w:tr>
    </w:tbl>
    <w:p>
      <w:pPr>
        <w:pStyle w:val="Heading1"/>
      </w:pPr>
      <w:r>
        <w:t>6. Why this reduces conflict complexity</w:t>
      </w:r>
    </w:p>
    <w:p>
      <w:r>
        <w:t>The current project plan correctly observes that learner activity is primarily additive. The architecture should make that property explicit. If the server receives an event with an event_id it has already accepted, it can acknowledge it without creating another record. The system therefore does not need to decide whether a phone's '83%' should overwrite a server's '79%'. Instead, both values can be derived from the underlying accepted activity events.</w:t>
      </w:r>
    </w:p>
    <w:p>
      <w:r>
        <w:t>This is the key DDIL design choice: synchronization is primarily replay and acknowledgement of durable activity, not a two-way merge of mutable learner state.</w:t>
      </w:r>
    </w:p>
    <w:p>
      <w:pPr>
        <w:pStyle w:val="Heading1"/>
      </w:pPr>
      <w:r>
        <w:t>7. Failure cases the week-one test should attack</w:t>
      </w:r>
    </w:p>
    <w:tbl>
      <w:tblPr>
        <w:tblStyle w:val="TableGrid"/>
        <w:tblW w:type="auto" w:w="0"/>
        <w:jc w:val="center"/>
        <w:tblLook w:firstColumn="1" w:firstRow="1" w:lastColumn="0" w:lastRow="0" w:noHBand="0" w:noVBand="1" w:val="04A0"/>
      </w:tblPr>
      <w:tblGrid>
        <w:gridCol w:w="5040"/>
        <w:gridCol w:w="5040"/>
      </w:tblGrid>
      <w:tr>
        <w:tc>
          <w:tcPr>
            <w:tcW w:type="dxa" w:w="5040"/>
          </w:tcPr>
          <w:p>
            <w:r>
              <w:t>Failure / condition</w:t>
            </w:r>
          </w:p>
        </w:tc>
        <w:tc>
          <w:tcPr>
            <w:tcW w:type="dxa" w:w="5040"/>
          </w:tcPr>
          <w:p>
            <w:r>
              <w:t>Expected test</w:t>
            </w:r>
          </w:p>
        </w:tc>
      </w:tr>
      <w:tr>
        <w:tc>
          <w:tcPr>
            <w:tcW w:type="dxa" w:w="5040"/>
          </w:tcPr>
          <w:p>
            <w:r>
              <w:t>Offline for several days</w:t>
            </w:r>
          </w:p>
        </w:tc>
        <w:tc>
          <w:tcPr>
            <w:tcW w:type="dxa" w:w="5040"/>
          </w:tcPr>
          <w:p>
            <w:r>
              <w:t>Complete activity, leave the phone disconnected for 3–4 days, reopen, reconnect, and verify all activity is available for sync.</w:t>
            </w:r>
          </w:p>
        </w:tc>
      </w:tr>
      <w:tr>
        <w:tc>
          <w:tcPr>
            <w:tcW w:type="dxa" w:w="5040"/>
          </w:tcPr>
          <w:p>
            <w:r>
              <w:t>App restart while offline</w:t>
            </w:r>
          </w:p>
        </w:tc>
        <w:tc>
          <w:tcPr>
            <w:tcW w:type="dxa" w:w="5040"/>
          </w:tcPr>
          <w:p>
            <w:r>
              <w:t>Complete activity, fully close the app, reopen without connectivity, and verify the local activity remains.</w:t>
            </w:r>
          </w:p>
        </w:tc>
      </w:tr>
      <w:tr>
        <w:tc>
          <w:tcPr>
            <w:tcW w:type="dxa" w:w="5040"/>
          </w:tcPr>
          <w:p>
            <w:r>
              <w:t>Connection loss during sync</w:t>
            </w:r>
          </w:p>
        </w:tc>
        <w:tc>
          <w:tcPr>
            <w:tcW w:type="dxa" w:w="5040"/>
          </w:tcPr>
          <w:p>
            <w:r>
              <w:t>Start a batch, interrupt connectivity partway through, reconnect, and verify the remaining events continue without duplication.</w:t>
            </w:r>
          </w:p>
        </w:tc>
      </w:tr>
      <w:tr>
        <w:tc>
          <w:tcPr>
            <w:tcW w:type="dxa" w:w="5040"/>
          </w:tcPr>
          <w:p>
            <w:r>
              <w:t>Repeated sync</w:t>
            </w:r>
          </w:p>
        </w:tc>
        <w:tc>
          <w:tcPr>
            <w:tcW w:type="dxa" w:w="5040"/>
          </w:tcPr>
          <w:p>
            <w:r>
              <w:t>Force the same sync operation more than once and verify server counts do not increase for already accepted event IDs.</w:t>
            </w:r>
          </w:p>
        </w:tc>
      </w:tr>
      <w:tr>
        <w:tc>
          <w:tcPr>
            <w:tcW w:type="dxa" w:w="5040"/>
          </w:tcPr>
          <w:p>
            <w:r>
              <w:t>Offline content</w:t>
            </w:r>
          </w:p>
        </w:tc>
        <w:tc>
          <w:tcPr>
            <w:tcW w:type="dxa" w:w="5040"/>
          </w:tcPr>
          <w:p>
            <w:r>
              <w:t>Open the installed app with Wi-Fi/data disabled and verify the required content is available.</w:t>
            </w:r>
          </w:p>
        </w:tc>
      </w:tr>
      <w:tr>
        <w:tc>
          <w:tcPr>
            <w:tcW w:type="dxa" w:w="5040"/>
          </w:tcPr>
          <w:p>
            <w:r>
              <w:t>Older hardware/storage</w:t>
            </w:r>
          </w:p>
        </w:tc>
        <w:tc>
          <w:tcPr>
            <w:tcW w:type="dxa" w:w="5040"/>
          </w:tcPr>
          <w:p>
            <w:r>
              <w:t>Measure app footprint, load time, and local-storage behavior on the oldest available iPhone and Android.</w:t>
            </w:r>
          </w:p>
        </w:tc>
      </w:tr>
      <w:tr>
        <w:tc>
          <w:tcPr>
            <w:tcW w:type="dxa" w:w="5040"/>
          </w:tcPr>
          <w:p>
            <w:r>
              <w:t>Reinstall/new device</w:t>
            </w:r>
          </w:p>
        </w:tc>
        <w:tc>
          <w:tcPr>
            <w:tcW w:type="dxa" w:w="5040"/>
          </w:tcPr>
          <w:p>
            <w:r>
              <w:t>Test the draft identity behavior and document what can and cannot be recovered when the local store is lost.</w:t>
            </w:r>
          </w:p>
        </w:tc>
      </w:tr>
    </w:tbl>
    <w:p>
      <w:pPr>
        <w:pStyle w:val="Heading1"/>
      </w:pPr>
      <w:r>
        <w:t>8. Identity and duplicate handling</w:t>
      </w:r>
    </w:p>
    <w:p>
      <w:r>
        <w:t>The current project plan proposes an offline-first setup using a learner name and cohort code, with a locally generated learner ID and duplicate IDs flagged rather than silently merged. This architecture is compatible with that proposal.</w:t>
      </w:r>
    </w:p>
    <w:p>
      <w:r>
        <w:t>The event layer should additionally give each activity event its own unique event_id. learner_id identifies who performed the activity; event_id identifies the activity itself. Those two identifiers solve different problems and should not be conflated.</w:t>
      </w:r>
    </w:p>
    <w:p>
      <w:pPr>
        <w:pStyle w:val="Heading1"/>
      </w:pPr>
      <w:r>
        <w:t>9. Content delivery</w:t>
      </w:r>
    </w:p>
    <w:p>
      <w:r>
        <w:t>RCO remains the source of curriculum content. JSON/CSV files are treated as the 'records' loaded by the app. When online, the app can obtain updated content and cache it locally for later offline use. The learner's activity events remain separate from the content package so that content updates do not overwrite historical activity.</w:t>
      </w:r>
    </w:p>
    <w:p>
      <w:pPr>
        <w:pStyle w:val="Heading1"/>
      </w:pPr>
      <w:r>
        <w:t>10. Analytics and AI boundary</w:t>
      </w:r>
    </w:p>
    <w:p>
      <w:r>
        <w:t>Core manager analytics should not require AI. The system can deterministically calculate who practiced, how much activity was recorded, which topics produce the most incorrect answers, and learner progress by topic.</w:t>
      </w:r>
    </w:p>
    <w:p>
      <w:r>
        <w:t>If RCO wants an AI-written summary, AI should sit downstream of those calculations. The AI receives a compact evidence set rather than being responsible for reconstructing raw learner history. This keeps the core product useful at near-zero AI cost and makes AI an optional interpretation layer rather than a dependency for data integrity.</w:t>
      </w:r>
    </w:p>
    <w:p>
      <w:pPr>
        <w:pStyle w:val="Heading1"/>
      </w:pPr>
      <w:r>
        <w:t>11. MVP boundary</w:t>
      </w:r>
    </w:p>
    <w:p>
      <w:pPr>
        <w:pStyle w:val="ListBullet"/>
      </w:pPr>
      <w:r>
        <w:t>Offline app shell and required content must work on the agreed older-device targets.</w:t>
      </w:r>
    </w:p>
    <w:p>
      <w:pPr>
        <w:pStyle w:val="ListBullet"/>
      </w:pPr>
      <w:r>
        <w:t>Learner activity must be durably stored locally.</w:t>
      </w:r>
    </w:p>
    <w:p>
      <w:pPr>
        <w:pStyle w:val="ListBullet"/>
      </w:pPr>
      <w:r>
        <w:t>Each synced activity must have a unique event ID.</w:t>
      </w:r>
    </w:p>
    <w:p>
      <w:pPr>
        <w:pStyle w:val="ListBullet"/>
      </w:pPr>
      <w:r>
        <w:t>Sync must tolerate interruption and retry.</w:t>
      </w:r>
    </w:p>
    <w:p>
      <w:pPr>
        <w:pStyle w:val="ListBullet"/>
      </w:pPr>
      <w:r>
        <w:t>The backend must deduplicate repeated event submissions.</w:t>
      </w:r>
    </w:p>
    <w:p>
      <w:pPr>
        <w:pStyle w:val="ListBullet"/>
      </w:pPr>
      <w:r>
        <w:t>Manager analytics must be reproducible from accepted activity data.</w:t>
      </w:r>
    </w:p>
    <w:p>
      <w:pPr>
        <w:pStyle w:val="ListBullet"/>
      </w:pPr>
      <w:r>
        <w:t>JSON/CSV export remains the manual fallback into Systeme.io.</w:t>
      </w:r>
    </w:p>
    <w:p>
      <w:pPr>
        <w:pStyle w:val="ListBullet"/>
      </w:pPr>
      <w:r>
        <w:t>Spanish toggle, advanced gamification, adaptive difficulty, automatic Systeme.io tagging, and AI summaries remain optional unless the PRD promotes them.</w:t>
      </w:r>
    </w:p>
    <w:p>
      <w:pPr>
        <w:pStyle w:val="Heading1"/>
      </w:pPr>
      <w:r>
        <w:t>12. Proposed acceptance criteria</w:t>
      </w:r>
    </w:p>
    <w:p>
      <w:pPr>
        <w:pStyle w:val="ListNumber"/>
      </w:pPr>
      <w:r>
        <w:t>With network access disabled, an installed app opens and runs the required exercise.</w:t>
      </w:r>
    </w:p>
    <w:p>
      <w:pPr>
        <w:pStyle w:val="ListNumber"/>
      </w:pPr>
      <w:r>
        <w:t>A learner can complete activity while offline and close/reopen the app without losing that activity.</w:t>
      </w:r>
    </w:p>
    <w:p>
      <w:pPr>
        <w:pStyle w:val="ListNumber"/>
      </w:pPr>
      <w:r>
        <w:t>The local store retains activity through the agreed offline test period.</w:t>
      </w:r>
    </w:p>
    <w:p>
      <w:pPr>
        <w:pStyle w:val="ListNumber"/>
      </w:pPr>
      <w:r>
        <w:t>When connectivity returns, pending activity synchronizes without requiring the learner to repeat the exercise.</w:t>
      </w:r>
    </w:p>
    <w:p>
      <w:pPr>
        <w:pStyle w:val="ListNumber"/>
      </w:pPr>
      <w:r>
        <w:t>Repeating the same sync request does not create duplicate server activity.</w:t>
      </w:r>
    </w:p>
    <w:p>
      <w:pPr>
        <w:pStyle w:val="ListNumber"/>
      </w:pPr>
      <w:r>
        <w:t>An interrupted sync can resume without losing acknowledged activity.</w:t>
      </w:r>
    </w:p>
    <w:p>
      <w:pPr>
        <w:pStyle w:val="ListNumber"/>
      </w:pPr>
      <w:r>
        <w:t>The system can calculate manager-facing participation and topic performance from the accepted activity records.</w:t>
      </w:r>
    </w:p>
    <w:p>
      <w:pPr>
        <w:pStyle w:val="ListNumber"/>
      </w:pPr>
      <w:r>
        <w:t>The app remains within the agreed device/storage budget on the test devices.</w:t>
      </w:r>
    </w:p>
    <w:p>
      <w:pPr>
        <w:pStyle w:val="Heading1"/>
      </w:pPr>
      <w:r>
        <w:t>13. Open decisions for PRD</w:t>
      </w:r>
    </w:p>
    <w:p>
      <w:pPr>
        <w:pStyle w:val="ListNumber"/>
      </w:pPr>
      <w:r>
        <w:t>Exact event schema and which learner actions are required to be durable.</w:t>
      </w:r>
    </w:p>
    <w:p>
      <w:pPr>
        <w:pStyle w:val="ListNumber"/>
      </w:pPr>
      <w:r>
        <w:t>Exact sync batching, acknowledgement, retry, and backoff behavior.</w:t>
      </w:r>
    </w:p>
    <w:p>
      <w:pPr>
        <w:pStyle w:val="ListNumber"/>
      </w:pPr>
      <w:r>
        <w:t>Database choice and serverless hosting account ownership.</w:t>
      </w:r>
    </w:p>
    <w:p>
      <w:pPr>
        <w:pStyle w:val="ListNumber"/>
      </w:pPr>
      <w:r>
        <w:t>Oldest supported iOS/Android versions and exact storage budget.</w:t>
      </w:r>
    </w:p>
    <w:p>
      <w:pPr>
        <w:pStyle w:val="ListNumber"/>
      </w:pPr>
      <w:r>
        <w:t>Whether the first launch requires home-screen installation on iPhone.</w:t>
      </w:r>
    </w:p>
    <w:p>
      <w:pPr>
        <w:pStyle w:val="ListNumber"/>
      </w:pPr>
      <w:r>
        <w:t>What recovery is possible after uninstall/reinstall or moving to a new phone.</w:t>
      </w:r>
    </w:p>
    <w:p>
      <w:pPr>
        <w:pStyle w:val="ListNumber"/>
      </w:pPr>
      <w:r>
        <w:t>RCO's final identity/consent requirements, especially for learners under 18.</w:t>
      </w:r>
    </w:p>
    <w:p>
      <w:pPr>
        <w:pStyle w:val="ListNumber"/>
      </w:pPr>
      <w:r>
        <w:t>Whether AI summary is included in the PRD MVP or remains a post-MVP option.</w:t>
      </w:r>
    </w:p>
    <w:p>
      <w:pPr>
        <w:pStyle w:val="Heading1"/>
      </w:pPr>
      <w:r>
        <w:t>14. Relationship to the current Project Plan</w:t>
      </w:r>
    </w:p>
    <w:p>
      <w:r>
        <w:t>This architecture note does not replace the Project Plan. It gives technical depth to the plan's existing offline, local-storage, sync, identity, and analytics requirements. In particular, it expands Milestone 1 and the week-one offline-storage test into explicit durability, replay, idempotency, and failure-recovery requirements.</w:t>
      </w:r>
    </w:p>
    <w:p>
      <w:r>
        <w:t>The Project Plan currently identifies the central question as whether an installed web app can retain offline progress for several days and sync it once with no loss or duplicates. This note proposes the technical model by which that behavior can be made reliable.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Tetherless • Offline-First / DDIL Architecture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