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5903999" cy="489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8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b/>
          <w:i w:val="0"/>
          <w:color w:val="0080B5"/>
          <w:sz w:val="24"/>
        </w:rPr>
        <w:t>TECNICATURA DE REDES Y SOFTWARE</w:t>
      </w:r>
    </w:p>
    <w:p>
      <w:pPr>
        <w:spacing w:before="560"/>
        <w:jc w:val="center"/>
      </w:pPr>
      <w:r>
        <w:rPr>
          <w:b/>
          <w:i w:val="0"/>
          <w:color w:val="162B42"/>
          <w:sz w:val="50"/>
        </w:rPr>
        <w:t>INFRAESTRUCTURA MICROSOFT</w:t>
      </w:r>
    </w:p>
    <w:p>
      <w:pPr>
        <w:jc w:val="center"/>
      </w:pPr>
      <w:r>
        <w:rPr>
          <w:b/>
          <w:i w:val="0"/>
          <w:color w:val="0080B5"/>
          <w:sz w:val="34"/>
        </w:rPr>
        <w:t>Translogística · Segunda entrega 2026</w:t>
      </w:r>
    </w:p>
    <w:p>
      <w:pPr>
        <w:spacing w:before="200"/>
        <w:jc w:val="center"/>
      </w:pPr>
      <w:r>
        <w:rPr>
          <w:b w:val="0"/>
          <w:i w:val="0"/>
          <w:color w:val="4D5B6C"/>
          <w:sz w:val="22"/>
        </w:rPr>
        <w:t>Active Directory, DNS, GPO, usuarios, seguridad NTFS y conectividad</w:t>
      </w:r>
    </w:p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2196000" cy="883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ranslogistica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6000" cy="88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756000" cy="818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ixelforge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81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b/>
          <w:i w:val="0"/>
          <w:sz w:val="22"/>
        </w:rPr>
        <w:t>Equipo: PixelForge</w:t>
      </w:r>
    </w:p>
    <w:p>
      <w:pPr>
        <w:spacing w:after="40"/>
        <w:jc w:val="center"/>
      </w:pPr>
      <w:r>
        <w:t>Cynthia Amaro · Project Manager y responsable de Microsoft / Linux</w:t>
      </w:r>
    </w:p>
    <w:p>
      <w:pPr>
        <w:spacing w:after="40"/>
        <w:jc w:val="center"/>
      </w:pPr>
      <w:r>
        <w:t>Carolina Francis · respaldo de dirección y gestión de proyecto</w:t>
      </w:r>
    </w:p>
    <w:p>
      <w:pPr>
        <w:spacing w:after="40"/>
        <w:jc w:val="center"/>
      </w:pPr>
      <w:r>
        <w:t>Cristian Aguiar · base de datos  |  Federico Giménez · desarrollo full stack</w:t>
      </w:r>
    </w:p>
    <w:p>
      <w:pPr>
        <w:spacing w:before="400"/>
        <w:jc w:val="center"/>
      </w:pPr>
      <w:r>
        <w:rPr>
          <w:b w:val="0"/>
          <w:i w:val="0"/>
          <w:color w:val="4D5B6C"/>
          <w:sz w:val="20"/>
        </w:rPr>
        <w:t>Versión 1.0  ·  27 de octubre de 2026  ·  UTU Uruguay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87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Documento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Informe técnico de infraestructura Microsoft - Translogística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Unidad curricular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Servicios Microsoft / Proyecto integrado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Institución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UTU · Tecnicatura de Redes y Software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Equipo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PixelForge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Versión / fecha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1.0 · 27/10/2026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Plataforma institucional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Hyper-V (infraestructura UTU)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Entorno de comprobación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Laboratorio VMware Workstation integrado con OPNsense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Clasificación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Documento académico técnico; sin credenciales ni material de recuperación de AD</w:t>
            </w:r>
          </w:p>
        </w:tc>
      </w:tr>
    </w:tbl>
    <w:p>
      <w:pPr>
        <w:pStyle w:val="Heading2"/>
      </w:pPr>
      <w:r>
        <w:t>Registro de revisiones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1134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1701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4535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1984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1.0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27/10/2026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Consolidación de configuración Microsoft, pruebas, red y evidencias.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Equipo PixelForge</w:t>
            </w:r>
          </w:p>
        </w:tc>
      </w:tr>
    </w:tbl>
    <w:p>
      <w:pPr>
        <w:pStyle w:val="Heading2"/>
      </w:pPr>
      <w:r>
        <w:t>Objeto y criterio de lectura</w:t>
      </w:r>
    </w:p>
    <w:p>
      <w:r>
        <w:t>Este informe describe el subsistema Microsoft de Translogística y su articulación con la infraestructura de red de PixelForge. Reúne parámetros configurados, organización de Active Directory, políticas de dominio, permisos de carpetas, pruebas técnicas y referencias documentales.</w:t>
      </w:r>
    </w:p>
    <w:p>
      <w:r>
        <w:t>La plataforma institucional de Microsoft es Hyper-V. Las comprobaciones y capturas utilizadas para esta edición fueron obtenidas en el laboratorio local con VMware y OPNsense; los valores de direccionamiento se identifican expresamente como valores del laboratorio para no confundirlos con las direcciones de administración de los hipervisores de UTU.</w:t>
      </w:r>
    </w:p>
    <w:p>
      <w:r>
        <w:t>La aplicación web Laravel administra sus propias cuentas y roles. Las cuentas de Active Directory descritas aquí representan administración de infraestructura y empleados de demostración, sin afirmar integración de autenticación entre Laravel y el dominio.</w:t>
      </w:r>
    </w:p>
    <w:p>
      <w:pPr>
        <w:pStyle w:val="Heading2"/>
      </w:pPr>
      <w:r>
        <w:t>Contenido</w:t>
      </w:r>
    </w:p>
    <w:p>
      <w:pPr>
        <w:spacing w:after="60"/>
      </w:pPr>
      <w:r>
        <w:t>1. Arquitectura y diagrama institucional</w:t>
      </w:r>
    </w:p>
    <w:p>
      <w:pPr>
        <w:spacing w:after="60"/>
      </w:pPr>
      <w:r>
        <w:t>2. Inventario y direccionamiento IP</w:t>
      </w:r>
    </w:p>
    <w:p>
      <w:pPr>
        <w:spacing w:after="60"/>
      </w:pPr>
      <w:r>
        <w:t>3. Controlador de dominio, AD DS y DNS</w:t>
      </w:r>
    </w:p>
    <w:p>
      <w:pPr>
        <w:spacing w:after="60"/>
      </w:pPr>
      <w:r>
        <w:t>4. Organización de usuarios, OU y grupos</w:t>
      </w:r>
    </w:p>
    <w:p>
      <w:pPr>
        <w:spacing w:after="60"/>
      </w:pPr>
      <w:r>
        <w:t>5. Políticas de seguridad y permisos NTFS</w:t>
      </w:r>
    </w:p>
    <w:p>
      <w:pPr>
        <w:spacing w:after="60"/>
      </w:pPr>
      <w:r>
        <w:t>6. Conectividad, acceso RDP y pruebas</w:t>
      </w:r>
    </w:p>
    <w:p>
      <w:pPr>
        <w:spacing w:after="60"/>
      </w:pPr>
      <w:r>
        <w:t>7. Respaldo, operación y resguardo de evidencias</w:t>
      </w:r>
    </w:p>
    <w:p>
      <w:pPr>
        <w:spacing w:after="60"/>
      </w:pPr>
      <w:r>
        <w:t>8. Conclusiones técnicas y anexos</w:t>
      </w:r>
    </w:p>
    <w:p>
      <w:pPr>
        <w:spacing w:after="60"/>
      </w:pPr>
      <w:r>
        <w:t>Hoja testigo</w:t>
      </w:r>
    </w:p>
    <w:p>
      <w:pPr>
        <w:pStyle w:val="Heading1"/>
      </w:pPr>
      <w:r>
        <w:t>1. Arquitectura de infraestructura</w:t>
      </w:r>
    </w:p>
    <w:p>
      <w:r>
        <w:t>Translogística utiliza separación lógica de funciones: OPNsense como firewall y router, AlmaLinux 9 como servidor de aplicaciones y contenedores Docker, y Windows Server 2022 como plataforma de identidad y servicios Microsoft. Dentro de la infraestructura institucional UTU, el sistema Windows se ubica sobre Hyper-V; los servicios Linux y OPNsense corresponden a Proxmox.</w:t>
      </w:r>
    </w:p>
    <w:p>
      <w:r>
        <w:t>El controlador de dominio PIXELFORGE concentra los servicios de Active Directory Domain Services (AD DS), DNS, directivas de grupo y administración remota. No se utiliza como servidor de la aplicación Laravel ni como servidor de base de datos.</w:t>
      </w:r>
    </w:p>
    <w:p>
      <w:pPr>
        <w:pStyle w:val="Heading2"/>
      </w:pPr>
      <w:r>
        <w:t>Funciones y flujo de comunicación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84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969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402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Relación con Microsoft</w:t>
            </w:r>
          </w:p>
        </w:tc>
      </w:tr>
      <w:tr>
        <w:tc>
          <w:tcPr>
            <w:tcW w:type="dxa" w:w="3118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OPNsense</w:t>
            </w:r>
          </w:p>
        </w:tc>
        <w:tc>
          <w:tcPr>
            <w:tcW w:type="dxa" w:w="3118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Enrutamiento y filtrado entre MGMT, LAN, DMZ y BD.</w:t>
            </w:r>
          </w:p>
        </w:tc>
        <w:tc>
          <w:tcPr>
            <w:tcW w:type="dxa" w:w="3118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La interfaz LAN 192.168.34.1 permite acceso a Windows desde la red de gestión.</w:t>
            </w:r>
          </w:p>
        </w:tc>
      </w:tr>
      <w:tr>
        <w:tc>
          <w:tcPr>
            <w:tcW w:type="dxa" w:w="3118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Windows Server 2022</w:t>
            </w:r>
          </w:p>
        </w:tc>
        <w:tc>
          <w:tcPr>
            <w:tcW w:type="dxa" w:w="3118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Controlador de dominio, DNS, GPO, usuarios, grupos y NTFS.</w:t>
            </w:r>
          </w:p>
        </w:tc>
        <w:tc>
          <w:tcPr>
            <w:tcW w:type="dxa" w:w="3118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DC PIXELFORGE, dirección LAN 192.168.34.30/24.</w:t>
            </w:r>
          </w:p>
        </w:tc>
      </w:tr>
      <w:tr>
        <w:tc>
          <w:tcPr>
            <w:tcW w:type="dxa" w:w="3118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AlmaLinux 9</w:t>
            </w:r>
          </w:p>
        </w:tc>
        <w:tc>
          <w:tcPr>
            <w:tcW w:type="dxa" w:w="3118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Docker: WAF, web Apache/Laravel y MySQL.</w:t>
            </w:r>
          </w:p>
        </w:tc>
        <w:tc>
          <w:tcPr>
            <w:tcW w:type="dxa" w:w="3118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Servicios independientes de AD; comunicación mediante reglas de red.</w:t>
            </w:r>
          </w:p>
        </w:tc>
      </w:tr>
      <w:tr>
        <w:tc>
          <w:tcPr>
            <w:tcW w:type="dxa" w:w="3118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Cliente administrativo</w:t>
            </w:r>
          </w:p>
        </w:tc>
        <w:tc>
          <w:tcPr>
            <w:tcW w:type="dxa" w:w="3118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PC física con VMnet5, 192.168.32.10/27.</w:t>
            </w:r>
          </w:p>
        </w:tc>
        <w:tc>
          <w:tcPr>
            <w:tcW w:type="dxa" w:w="3118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Accede por RDP 3389 a Windows Server a través de OPNsense.</w:t>
            </w:r>
          </w:p>
        </w:tc>
      </w:tr>
    </w:tbl>
    <w:p>
      <w:r>
        <w:t>El diagrama de infraestructura original del proyecto se incorpora en el Anexo A como lámina completa, incluyendo logos y las redes correspondientes. La figura de referencia a continuación destaca el componente Microsoft de esa misma lámina.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942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rte_microsoft_origin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4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Componente Windows Server del diagrama general de Translogística (27/10/2026).</w:t>
      </w:r>
    </w:p>
    <w:p>
      <w:pPr>
        <w:pStyle w:val="Heading1"/>
      </w:pPr>
      <w:r>
        <w:t>2. Inventario técnico y direccionamiento</w:t>
      </w:r>
    </w:p>
    <w:p>
      <w:pPr>
        <w:pStyle w:val="Heading2"/>
      </w:pPr>
      <w:r>
        <w:t>2.1. Instancia Microsoft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458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896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Valor documentado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Sistema operativo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Windows Server 2022 Standard Evaluation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Equipo / hostname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PIXELFORGE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Dominio AD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pixelforge.test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Nombre DNS del DC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pixelforge.pixelforge.test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Interfaz de Windows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LAN-PixelForge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IP principal LAN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192.168.34.30/24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Puerta de enlace preferida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192.168.34.1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DNS cliente configurado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192.168.34.30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IP adicional heredada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10.0.1.30/24 (SkipAsSource=True)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Puerta de enlace histórica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10.0.1.1 (no accesible en pruebas realizadas)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Recursos VMware de referencia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2 vCPU · 4 GB RAM · 60 GB NVMe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Hipervisor de destino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Hyper-V de UTU; referencia de administración del host 192.168.2.55</w:t>
            </w:r>
          </w:p>
        </w:tc>
      </w:tr>
    </w:tbl>
    <w:p>
      <w:r>
        <w:t>Las IP de gestión 192.168.2.55 (Hyper-V) y 192.168.2.93 (Proxmox), mostradas en la lámina general, identifican interfaces institucionales de hipervisores; no deben interpretarse como gateways de las máquinas virtuales.</w:t>
      </w:r>
    </w:p>
    <w:p>
      <w:pPr>
        <w:pStyle w:val="Heading2"/>
      </w:pPr>
      <w:r>
        <w:t>2.2. Segmentos de OPNsense verificados en VMware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1247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Red / rol</w:t>
            </w:r>
          </w:p>
        </w:tc>
        <w:tc>
          <w:tcPr>
            <w:tcW w:type="dxa" w:w="2324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Subred</w:t>
            </w:r>
          </w:p>
        </w:tc>
        <w:tc>
          <w:tcPr>
            <w:tcW w:type="dxa" w:w="2268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Interfaz de firewall</w:t>
            </w:r>
          </w:p>
        </w:tc>
        <w:tc>
          <w:tcPr>
            <w:tcW w:type="dxa" w:w="3515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WAN (NAT)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192.168.237.0/24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192.168.237.137 DHCP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VMware VMnet8</w:t>
            </w:r>
          </w:p>
        </w:tc>
      </w:tr>
      <w:tr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DMZ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192.168.30.0/27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192.168.30.1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AlmaLinux en 192.168.30.2</w:t>
            </w:r>
          </w:p>
        </w:tc>
      </w:tr>
      <w:tr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BD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192.168.31.0/27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192.168.31.1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Segmento creado; MySQL reside en contenedor</w:t>
            </w:r>
          </w:p>
        </w:tc>
      </w:tr>
      <w:tr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MGMT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192.168.32.0/27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192.168.32.1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PC de gestión 192.168.32.10</w:t>
            </w:r>
          </w:p>
        </w:tc>
      </w:tr>
      <w:tr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LAN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192.168.34.0/24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192.168.34.1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Windows 192.168.34.30; Linux .34.10</w:t>
            </w:r>
          </w:p>
        </w:tc>
      </w:tr>
    </w:tbl>
    <w:p>
      <w:r>
        <w:t>La red Docker interna pixelforge_default no es equivalente a la red física BD de OPNsense. El servidor web y la base de datos utilizan contenedores independientes dentro de AlmaLinux, por lo que sus direcciones Docker no se declaran como IP estáticas de la topología institucional.</w:t>
      </w:r>
    </w:p>
    <w:p>
      <w:pPr>
        <w:pStyle w:val="Heading2"/>
      </w:pPr>
      <w:r>
        <w:t>2.3. Selección de ruta y resolución DNS</w:t>
      </w:r>
    </w:p>
    <w:p>
      <w:r>
        <w:t>Se configuró en el servidor una ruta predeterminada preferida por 192.168.34.1 (métrica de ruta 10) frente a la ruta histórica por 10.0.1.1 (métrica 256). La IP principal 192.168.34.30 tiene SkipAsSource=False; la secundaria 10.0.1.30, SkipAsSource=True. Los diagnósticos previos mostraron que Windows podía seleccionar la dirección secundaria como origen; por ello se conserva la anotación de configuración heredada sin atribuirle funcionalidad productiva.</w:t>
      </w:r>
    </w:p>
    <w:p>
      <w:r>
        <w:t>El DNS cliente de LAN-PixelForge consulta 192.168.34.30. Las consultas del registro SRV de LDAP resolvieron correctamente por ambas IP locales. En el corte documental, los registros A de pixelforge.pixelforge.test todavía incluyen 192.168.34.30 y 10.0.1.30.</w:t>
      </w:r>
    </w:p>
    <w:p>
      <w:pPr>
        <w:pStyle w:val="Heading1"/>
      </w:pPr>
      <w:r>
        <w:t>3. Servicios de dominio y DNS</w:t>
      </w:r>
    </w:p>
    <w:p>
      <w:pPr>
        <w:pStyle w:val="Heading2"/>
      </w:pPr>
      <w:r>
        <w:t>3.1. Active Directory Domain Services</w:t>
      </w:r>
    </w:p>
    <w:p>
      <w:r>
        <w:t>AD DS está instalado y activo en Windows Server 2022; el nombre del dominio es pixelforge.test y su nombre NetBIOS es PIXELFORGE0. La instancia PIXELFORGE figura en la OU integrada Domain Controllers. El servicio NTDS se constató en estado Running.</w:t>
      </w:r>
    </w:p>
    <w:p>
      <w:pPr>
        <w:pStyle w:val="Heading2"/>
      </w:pPr>
      <w:r>
        <w:t>3.2. Servicio DNS</w:t>
      </w:r>
    </w:p>
    <w:p>
      <w:r>
        <w:t>El servicio DNS se constató en estado Running. Las zonas pixelforge.test y _msdcs.pixelforge.test son primarias e integradas en Active Directory. El registro SRV _ldap._tcp.dc._msdcs.pixelforge.test señala pixelforge.pixelforge.test en TCP 389, necesario para la localización de controladores de dominio.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025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Prueba / consulta</w:t>
            </w:r>
          </w:p>
        </w:tc>
        <w:tc>
          <w:tcPr>
            <w:tcW w:type="dxa" w:w="5329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Evidencia observada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Get-Service DNS,NTDS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Ambos servicios: Running.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Get-DnsServerZone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Zonas pixelforge.test y _msdcs.pixelforge.test integradas en AD.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Resolve-DnsName pixelforge.test -Type A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Respuestas A con 192.168.34.30 y 10.0.1.30.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Resolve-DnsName _ldap._tcp.dc._msdcs.pixelforge.test -Type SRV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Registro localizado; destino pixelforge.pixelforge.test, puerto 389.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dcdiag /test:dns /q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Finalizó sin errores de diagnóstico mostrados.</w:t>
            </w:r>
          </w:p>
        </w:tc>
      </w:tr>
    </w:tbl>
    <w:p>
      <w:pPr>
        <w:pStyle w:val="Heading2"/>
      </w:pPr>
      <w:r>
        <w:t>3.3. Delimitación de funciones</w:t>
      </w:r>
    </w:p>
    <w:p>
      <w:r>
        <w:t>Active Directory gestiona identidades de Windows, pertenencias a grupos y GPO. La aplicación de logística ejecutada con Laravel gestiona por separado la autenticación de clientes y personal interno de la aplicación. No existe evidencia de integración LDAP/SSO entre ambos sistemas en la configuración documentada.</w:t>
      </w:r>
    </w:p>
    <w:p>
      <w:pPr>
        <w:pStyle w:val="Heading1"/>
      </w:pPr>
      <w:r>
        <w:t>4. Usuarios, unidades organizativas y grupos</w:t>
      </w:r>
    </w:p>
    <w:p>
      <w:pPr>
        <w:pStyle w:val="Heading2"/>
      </w:pPr>
      <w:r>
        <w:t>4.1. Estructura de OU relevante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969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OU / rama</w:t>
            </w:r>
          </w:p>
        </w:tc>
        <w:tc>
          <w:tcPr>
            <w:tcW w:type="dxa" w:w="5386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Objetos documentados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OU_PixelForge / OU_Usuarios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Cynthia Amaro, Carolina Francis, Cristian Aguiar y Federico Giménez.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OU_PixelForge / OU_Grupos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GG_Usuarios y GG_Administradores.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OU_Translogistica / OU_Usuarios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tl.vendedor, tl.administrador, tl.operador.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OU_Translogistica / OU_Grupos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GG_Infraestructura y grupos específicos de empleados.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Domain Controllers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Equipo PIXELFORGE.</w:t>
            </w:r>
          </w:p>
        </w:tc>
      </w:tr>
    </w:tbl>
    <w:p>
      <w:r>
        <w:t>El inventario OU_ActiveDirectory.csv conserva además las ramas históricas PixelForge y otras OU sin atribuirles un uso funcional que no se haya demostrado. No se realizaron movimientos ni eliminaciones de OU durante esta auditoría.</w:t>
      </w:r>
    </w:p>
    <w:p>
      <w:pPr>
        <w:pStyle w:val="Heading2"/>
      </w:pPr>
      <w:r>
        <w:t>4.2. Integrantes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78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Cuenta</w:t>
            </w:r>
          </w:p>
        </w:tc>
        <w:tc>
          <w:tcPr>
            <w:tcW w:type="dxa" w:w="6576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Responsabilidad / pertenencia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cynthia.amaro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Responsable de servidores; GG_Usuarios, GG_Infraestructura y Administradores del dominio.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Carolina.francis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Respaldo del proyecto; GG_Usuarios, GG_Infraestructura y Administradores del dominio.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Cristian.aguiar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Responsable de base de datos; GG_Usuarios.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Federico.Gimenez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Desarrollo; GG_Usuarios.</w:t>
            </w:r>
          </w:p>
        </w:tc>
      </w:tr>
    </w:tbl>
    <w:p>
      <w:r>
        <w:t>La cuenta de Martín Machín fue eliminada tras constatarse su deshabilitación y conservarse evidencia previa de baja. Las cuentas internas Administrador, Invitado y krbtgt se administran aparte; Invitado y krbtgt constaban deshabilitadas.</w:t>
      </w:r>
    </w:p>
    <w:p>
      <w:pPr>
        <w:pStyle w:val="Heading2"/>
      </w:pPr>
      <w:r>
        <w:t>4.3. Empleados de la empresa ficticia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1814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Cuenta</w:t>
            </w:r>
          </w:p>
        </w:tc>
        <w:tc>
          <w:tcPr>
            <w:tcW w:type="dxa" w:w="2494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Función empresarial</w:t>
            </w:r>
          </w:p>
        </w:tc>
        <w:tc>
          <w:tcPr>
            <w:tcW w:type="dxa" w:w="2891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Grupo AD</w:t>
            </w:r>
          </w:p>
        </w:tc>
        <w:tc>
          <w:tcPr>
            <w:tcW w:type="dxa" w:w="2098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Situación</w:t>
            </w:r>
          </w:p>
        </w:tc>
      </w:tr>
      <w:tr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tl.vendedor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Ventas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GG_TL_Vendedores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Habilitada</w:t>
            </w:r>
          </w:p>
        </w:tc>
      </w:tr>
      <w:tr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tl.administrador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Administración operativa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GG_TL_Administradores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Habilitada</w:t>
            </w:r>
          </w:p>
        </w:tc>
      </w:tr>
      <w:tr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tl.operador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Operaciones logísticas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GG_TL_Operadores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Habilitada</w:t>
            </w:r>
          </w:p>
        </w:tc>
      </w:tr>
    </w:tbl>
    <w:p>
      <w:r>
        <w:t>Cada cuenta de empleado pertenece a Usuarios del dominio y al grupo funcional asignado. Se generaron credenciales temporales individuales y se indicó ChangePasswordAtLogon=True. Por seguridad, ni las claves ni el archivo local que las contiene forman parte de este documento ni del repositorio GitHub.</w:t>
      </w:r>
    </w:p>
    <w:p>
      <w:r>
        <w:t>El grupo empresarial GG_TL_Administradores no equivale al grupo privilegiado Administradores del dominio. El listado verificado de este último incluye únicamente Administrador, cynthia.amaro y Carolina.francis.</w:t>
      </w:r>
    </w:p>
    <w:p>
      <w:pPr>
        <w:pStyle w:val="Heading1"/>
      </w:pPr>
      <w:r>
        <w:t>5. Directivas, privilegios y seguridad NTFS</w:t>
      </w:r>
    </w:p>
    <w:p>
      <w:pPr>
        <w:pStyle w:val="Heading2"/>
      </w:pPr>
      <w:r>
        <w:t>5.1. Contraseñas y bloqueo de cuentas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706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Parámetro del dominio</w:t>
            </w:r>
          </w:p>
        </w:tc>
        <w:tc>
          <w:tcPr>
            <w:tcW w:type="dxa" w:w="4649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Valor observado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ComplexityEnabled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True (complejidad activada)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MinPasswordLength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7 caracteres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MaxPasswordAge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90 días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LockoutThreshold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5 intentos fallidos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LockoutDuration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8"/>
              </w:rPr>
              <w:t>15 minutos</w:t>
            </w:r>
          </w:p>
        </w:tc>
      </w:tr>
    </w:tbl>
    <w:p>
      <w:r>
        <w:t>Estos valores fueron extraídos de Get-ADDefaultDomainPasswordPolicy. La longitud mínima de 7 caracteres corresponde al valor verificado, no a una recomendación de seguridad; para las cuentas temporales se utilizaron claves más largas. No se afirma que la directiva mínima haya sido incrementada.</w:t>
      </w:r>
    </w:p>
    <w:p>
      <w:pPr>
        <w:pStyle w:val="Heading2"/>
      </w:pPr>
      <w:r>
        <w:t>5.2. GPO_PixelForge_Seguridad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6860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Configuración de usuario</w:t>
            </w:r>
          </w:p>
        </w:tc>
        <w:tc>
          <w:tcPr>
            <w:tcW w:type="dxa" w:w="2494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Habilitar protector de pantalla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Habilitado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Proteger el protector de pantalla mediante contraseña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Habilitado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Tiempo de espera del protector de pantalla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7"/>
              </w:rPr>
              <w:t>600 segundos (10 minutos)</w:t>
            </w:r>
          </w:p>
        </w:tc>
      </w:tr>
    </w:tbl>
    <w:p>
      <w:r>
        <w:t>La GPO se encuentra habilitada y vinculada a OU_PixelForge y a OU_Usuarios dentro de OU_Translogistica; ambos vínculos figuran habilitados, sin opción Enforced. La Default Domain Policy se hereda desde la raíz del dominio. En la configuración de equipo del reporte GPO_PixelForge_Seguridad no aparecen directivas definidas.</w:t>
      </w:r>
    </w:p>
    <w:p>
      <w:r>
        <w:t>Se comprobó aplicación efectiva de la GPO sobre la sesión de cynthia.amaro con gpresult /scope user /r. Para los tres empleados internos está confirmado el vínculo y alcance administrativo de la GPO; no se presenta ese dato como una prueba de sesión en una estación de trabajo.</w:t>
      </w:r>
    </w:p>
    <w:p>
      <w:pPr>
        <w:pStyle w:val="Heading2"/>
      </w:pPr>
      <w:r>
        <w:t>5.3. NTFS: carpetas de demostración</w:t>
      </w:r>
    </w:p>
    <w:p>
      <w:r>
        <w:t>Se creó C:\Translogistica\Recursos_Demo, con los subdirectorios Ventas, Administracion y Operaciones. Mediante icacls se definieron ACL sin herencia en las carpetas departamentales, con control total para SYSTEM y el grupo integrado Administradores.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948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Recurso NTFS</w:t>
            </w:r>
          </w:p>
        </w:tc>
        <w:tc>
          <w:tcPr>
            <w:tcW w:type="dxa" w:w="1984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Vendedor</w:t>
            </w:r>
          </w:p>
        </w:tc>
        <w:tc>
          <w:tcPr>
            <w:tcW w:type="dxa" w:w="2721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Administrador interno</w:t>
            </w:r>
          </w:p>
        </w:tc>
        <w:tc>
          <w:tcPr>
            <w:tcW w:type="dxa" w:w="1701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Operador</w:t>
            </w:r>
          </w:p>
        </w:tc>
      </w:tr>
      <w:tr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Raíz Recursos_Demo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Leer / recorrer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Leer / recorrer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Leer / recorrer</w:t>
            </w:r>
          </w:p>
        </w:tc>
      </w:tr>
      <w:tr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Ventas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Modificar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Modificar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Sin autorización</w:t>
            </w:r>
          </w:p>
        </w:tc>
      </w:tr>
      <w:tr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Administracion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Sin autorización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Modificar</w:t>
            </w:r>
          </w:p>
        </w:tc>
        <w:tc>
          <w:tcPr>
            <w:tcW w:type="dxa" w:w="2339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Sin autorización</w:t>
            </w:r>
          </w:p>
        </w:tc>
      </w:tr>
      <w:tr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Operaciones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Sin autorización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Modificar</w:t>
            </w:r>
          </w:p>
        </w:tc>
        <w:tc>
          <w:tcPr>
            <w:tcW w:type="dxa" w:w="2339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Modificar</w:t>
            </w:r>
          </w:p>
        </w:tc>
      </w:tr>
    </w:tbl>
    <w:p>
      <w:r>
        <w:t>Las reglas descritas son permisos NTFS verificados en las ACL; la prueba funcional con sesiones de empleados no integra esta evidencia. No se configuró un recurso compartido SMB público sobre el controlador de dominio: el alcance de este trabajo es la demostración de ACL de carpetas locales.</w:t>
      </w:r>
    </w:p>
    <w:p>
      <w:pPr>
        <w:pStyle w:val="Heading1"/>
      </w:pPr>
      <w:r>
        <w:t>6. Conectividad y acceso administrativo</w:t>
      </w:r>
    </w:p>
    <w:p>
      <w:pPr>
        <w:pStyle w:val="Heading2"/>
      </w:pPr>
      <w:r>
        <w:t>6.1. Acceso RDP</w:t>
      </w:r>
    </w:p>
    <w:p>
      <w:r>
        <w:t>El servidor ofrece Escritorio remoto TCP 3389. Se validó la conexión utilizando 192.168.34.30 desde una computadora con interfaz VMware VMnet5 192.168.32.10. La evidencia Test-NetConnection indica TcpTestSucceeded=True, interfaz VMnet5 y dirección de origen 192.168.32.10.</w:t>
      </w:r>
    </w:p>
    <w:p>
      <w:pPr>
        <w:pStyle w:val="Heading2"/>
      </w:pPr>
      <w:r>
        <w:t>6.2. Ruta de administración</w:t>
      </w:r>
    </w:p>
    <w:p>
      <w:r>
        <w:t>El acceso entre los segmentos MGMT (192.168.32.0/27) y LAN (192.168.34.0/24) se realiza mediante OPNsense, con gateway MGMT 192.168.32.1 y gateway LAN 192.168.34.1. En la PC se agregó la ruta persistente 192.168.34.0/24 vía 192.168.32.1, interfaz VMnet5. Se comprobó que Windows dejó de enviar el tráfico destinado a LAN por Wi-Fi y comenzó a utilizar VMnet5.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139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Comprobación</w:t>
            </w:r>
          </w:p>
        </w:tc>
        <w:tc>
          <w:tcPr>
            <w:tcW w:type="dxa" w:w="5216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PC → 192.168.32.1:443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TCP True: consola de OPNsense accesible por la red MGMT.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PC → 192.168.34.30:3389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TCP True después de agregar la ruta específica.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Windows Server → 192.168.32.1:443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TCP True a través de gateway 192.168.34.1.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Vecino ARP 192.168.34.1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Estado Reachable.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DNS preferido de Windows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192.168.34.30 con consultas LDAP SRV satisfactorias.</w:t>
            </w:r>
          </w:p>
        </w:tc>
      </w:tr>
    </w:tbl>
    <w:p>
      <w:pPr>
        <w:pStyle w:val="Heading2"/>
      </w:pPr>
      <w:r>
        <w:t>6.3. Políticas de acceso</w:t>
      </w:r>
    </w:p>
    <w:p>
      <w:r>
        <w:t>La conexión RDP está reservada para administración autorizada. Las cuentas tl.vendedor, tl.administrador y tl.operador no deben utilizarse para iniciar sesión remota en el controlador de dominio. La red LAN de Windows se documenta separada de DMZ y de la red interna Docker, y no se publica TCP 3389 a Internet.</w:t>
      </w:r>
    </w:p>
    <w:p>
      <w:pPr>
        <w:pStyle w:val="Heading1"/>
      </w:pPr>
      <w:r>
        <w:t>7. Mantenimiento, recuperación y evidencias</w:t>
      </w:r>
    </w:p>
    <w:p>
      <w:pPr>
        <w:pStyle w:val="Heading2"/>
      </w:pPr>
      <w:r>
        <w:t>7.1. Copias de seguridad</w:t>
      </w:r>
    </w:p>
    <w:p>
      <w:r>
        <w:t>La característica Windows Server Backup fue instalada correctamente mediante Install-WindowsFeature Windows-Server-Backup -IncludeManagementTools y verificada con estado Installed, sin reinicio requerido. El servidor de laboratorio posee un único disco NVMe virtual de 60 GB; no se creó un segundo volumen debido a la capacidad disponible del anfitrión. No se registra una copia recuperable de System State ejecutada al cierre de esta edición.</w:t>
      </w:r>
    </w:p>
    <w:p>
      <w:r>
        <w:t>La práctica de recuperación establecida contempla respaldos de estado del sistema en almacenamiento externo o compartido, separado del dominio y protegido. Un repositorio GitHub no se utiliza para almacenar copias de Active Directory, bases SAM, credenciales o respaldos completos del sistema.</w:t>
      </w:r>
    </w:p>
    <w:p>
      <w:pPr>
        <w:pStyle w:val="Heading2"/>
      </w:pPr>
      <w:r>
        <w:t>7.2. Evidencias locales y documentación institucional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309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Archivo / destino</w:t>
            </w:r>
          </w:p>
        </w:tc>
        <w:tc>
          <w:tcPr>
            <w:tcW w:type="dxa" w:w="5046"/>
            <w:shd w:fill="173553"/>
            <w:tcBorders>
              <w:top w:val="single" w:color="173553" w:sz="5"/>
              <w:left w:val="single" w:color="173553" w:sz="5"/>
              <w:bottom w:val="single" w:color="173553" w:sz="5"/>
              <w:right w:val="single" w:color="173553" w:sz="5"/>
            </w:tcBorders>
            <w:vAlign w:val="center"/>
          </w:tcPr>
          <w:p>
            <w:r>
              <w:rPr>
                <w:b/>
                <w:color w:val="FFFFFF"/>
                <w:sz w:val="16"/>
              </w:rPr>
              <w:t>Información documentada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OU_ActiveDirectory.csv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Inventario de unidades organizativas.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Grupos_AD.csv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Grupos globales de seguridad.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Equipos_AD.csv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Controlador PIXELFORGE dentro de Domain Controllers.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GPO_Empleados.html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GPO de personalización, vínculos y filtros de seguridad.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Permisos_NTFS_Translogistica.txt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ACL NTFS de las carpetas por rol.</w:t>
            </w:r>
          </w:p>
        </w:tc>
      </w:tr>
      <w:tr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GPO_Cynthia.html</w:t>
            </w:r>
          </w:p>
        </w:tc>
        <w:tc>
          <w:tcPr>
            <w:tcW w:type="dxa" w:w="4677"/>
            <w:vAlign w:val="center"/>
            <w:shd w:fill="F0F5F8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Informe local de directivas en sesión administrativa.</w:t>
            </w:r>
          </w:p>
        </w:tc>
      </w:tr>
      <w:tr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Configuracion_Red_Windows.txt</w:t>
            </w:r>
          </w:p>
        </w:tc>
        <w:tc>
          <w:tcPr>
            <w:tcW w:type="dxa" w:w="4677"/>
            <w:vAlign w:val="center"/>
            <w:tcBorders>
              <w:top w:val="single" w:color="C4D3DF" w:sz="5"/>
              <w:left w:val="single" w:color="C4D3DF" w:sz="5"/>
              <w:bottom w:val="single" w:color="C4D3DF" w:sz="5"/>
              <w:right w:val="single" w:color="C4D3DF" w:sz="5"/>
            </w:tcBorders>
          </w:tcPr>
          <w:p>
            <w:pPr>
              <w:spacing w:after="40" w:before="40"/>
            </w:pPr>
            <w:r>
              <w:rPr>
                <w:color w:val="162B42"/>
                <w:sz w:val="16"/>
              </w:rPr>
              <w:t>Salida de ipconfig /all del laboratorio.</w:t>
            </w:r>
          </w:p>
        </w:tc>
      </w:tr>
    </w:tbl>
    <w:p>
      <w:r>
        <w:t>Ubicación de trabajo local: C:\PixelForge\Evidencias. Publicación seleccionada en GitHub: PixelForge-proyecto / Proyecto-2026 / 2° Entrega / Redes Microsoft (rama main). El informe HTML publicado en GitHub se depuró para consulta pública y no es un backup de GPO. Las credenciales temporales están expresamente excluidas.</w:t>
      </w:r>
    </w:p>
    <w:p>
      <w:r>
        <w:t>Referencia del repositorio: https://github.com/PixelForge-proyecto/Proyecto-2026/tree/main/2%C2%B0%20Entrega/Redes%20Microsoft</w:t>
      </w:r>
    </w:p>
    <w:p>
      <w:pPr>
        <w:pStyle w:val="Heading2"/>
      </w:pPr>
      <w:r>
        <w:t>7.3. Procedimiento de verificación reproducible</w:t>
      </w:r>
    </w:p>
    <w:p>
      <w:pPr>
        <w:pStyle w:val="ListBullet"/>
        <w:ind w:left="340"/>
      </w:pPr>
      <w:r>
        <w:t>Comprobar DNS y AD DS: Get-Service DNS,NTDS; Resolve-DnsName _ldap._tcp.dc._msdcs.pixelforge.test -Type SRV; dcdiag /test:dns /q.</w:t>
      </w:r>
    </w:p>
    <w:p>
      <w:pPr>
        <w:pStyle w:val="ListBullet"/>
        <w:ind w:left="340"/>
      </w:pPr>
      <w:r>
        <w:t>Revisar política del dominio: Get-ADDefaultDomainPasswordPolicy.</w:t>
      </w:r>
    </w:p>
    <w:p>
      <w:pPr>
        <w:pStyle w:val="ListBullet"/>
        <w:ind w:left="340"/>
      </w:pPr>
      <w:r>
        <w:t>Verificar vínculo GPO: Get-GPInheritance -Target "OU=OU_Usuarios,OU=OU_Translogistica,DC=pixelforge,DC=test".</w:t>
      </w:r>
    </w:p>
    <w:p>
      <w:pPr>
        <w:pStyle w:val="ListBullet"/>
        <w:ind w:left="340"/>
      </w:pPr>
      <w:r>
        <w:t>Validar grupos y usuarios: Get-ADPrincipalGroupMembership &lt;usuario&gt; y Get-ADUser -Filter *.</w:t>
      </w:r>
    </w:p>
    <w:p>
      <w:pPr>
        <w:pStyle w:val="ListBullet"/>
        <w:ind w:left="340"/>
      </w:pPr>
      <w:r>
        <w:t>Consultar permisos: icacls "C:\Translogistica\Recursos_Demo\Ventas" (repetir por departamento).</w:t>
      </w:r>
    </w:p>
    <w:p>
      <w:pPr>
        <w:pStyle w:val="ListBullet"/>
        <w:ind w:left="340"/>
      </w:pPr>
      <w:r>
        <w:t>Probar RDP desde administración: Test-NetConnection 192.168.34.30 -Port 3389.</w:t>
      </w:r>
    </w:p>
    <w:p>
      <w:pPr>
        <w:pStyle w:val="Heading1"/>
      </w:pPr>
      <w:r>
        <w:t>8. Conclusiones</w:t>
      </w:r>
    </w:p>
    <w:p>
      <w:r>
        <w:t>El subsistema Microsoft de Translogística dispone de un controlador de dominio operativo con servicios AD DS y DNS, cuentas de proyecto y empleados, organización de grupos, políticas de seguridad y permisos NTFS diferenciados. Las pruebas documentadas verifican el funcionamiento de servicios, la resolución de nombres, la aplicación de GPO en una sesión administrativa y la conectividad RDP entre las redes MGMT y LAN bajo OPNsense.</w:t>
      </w:r>
    </w:p>
    <w:p>
      <w:r>
        <w:t>El esquema de implementación institucional adopta Hyper-V para Windows Server y Proxmox para los componentes Linux y firewall. El inventario de direcciones que acompaña la lámina corresponde al laboratorio y permite reproducir las comprobaciones realizadas sin atribuir a los hipervisores direcciones de gateway de sus VM.</w:t>
      </w:r>
    </w:p>
    <w:p>
      <w:r>
        <w:t>La documentación técnica se acompaña de capturas, exportaciones y reglas de seguridad, con separación entre material académico publicable y credenciales de operación. Esta delimitación permite auditar las funcionalidades configuradas y reutilizar los procedimientos técnicos en la plataforma institucional.</w:t>
      </w:r>
    </w:p>
    <w:p>
      <w:pPr>
        <w:sectPr>
          <w:footerReference w:type="first" r:id="rId18"/>
          <w:pgSz w:w="11906" w:h="16838"/>
          <w:pgMar w:top="1417" w:right="1219" w:bottom="1191" w:left="1332" w:header="567" w:footer="567" w:gutter="0"/>
          <w:cols w:space="720"/>
          <w:docGrid w:linePitch="360"/>
        </w:sectPr>
      </w:pPr>
    </w:p>
    <w:p>
      <w:pPr>
        <w:spacing w:after="60"/>
      </w:pPr>
      <w:r>
        <w:rPr>
          <w:b/>
          <w:i w:val="0"/>
          <w:color w:val="162B42"/>
          <w:sz w:val="28"/>
        </w:rPr>
        <w:t>ANEXO A · LÁMINA DE INFRAESTRUCTURA TRANSLOGÍSTICA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2672000" cy="895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pdfpag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72000" cy="895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/>
      </w:pPr>
      <w:r>
        <w:t>Figura A. Diagrama original de arquitectura general, redes, logos institucionales y roles de servidores. Reproducido como lámina original de laboratorio del 27/10/2026; la plataforma institucional Microsoft se especifica en este informe como Hyper-V.</w:t>
      </w:r>
    </w:p>
    <w:p>
      <w:pPr>
        <w:sectPr>
          <w:headerReference w:type="default" r:id="rId13"/>
          <w:footerReference w:type="default" r:id="rId14"/>
          <w:pgSz w:w="23811" w:h="16838" w:orient="landscape"/>
          <w:pgMar w:top="680" w:right="709" w:bottom="680" w:left="709" w:header="369" w:footer="369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7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Hoja testigo</w:t>
      </w:r>
    </w:p>
    <w:p>
      <w:r>
        <w:t>Correcciones y observaciones del docente</w:t>
      </w:r>
    </w:p>
    <w:p>
      <w:r>
        <w:t>Documento: Infraestructura Microsoft · Translogística  |  Versión: 1.0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after="180" w:before="80"/>
      </w:pPr>
      <w:r>
        <w:t>________________________________________________________________________________</w:t>
      </w:r>
    </w:p>
    <w:p>
      <w:pPr>
        <w:spacing w:before="480"/>
      </w:pPr>
      <w:r>
        <w:rPr>
          <w:b/>
          <w:i w:val="0"/>
        </w:rPr>
        <w:t xml:space="preserve">Firma del Profesor: </w:t>
      </w:r>
      <w:r>
        <w:t>_______________________________________</w:t>
      </w:r>
    </w:p>
    <w:p>
      <w:r>
        <w:rPr>
          <w:b/>
          <w:i w:val="0"/>
        </w:rPr>
        <w:t xml:space="preserve">Fecha: </w:t>
      </w:r>
      <w:r>
        <w:t>____ / ____ / __________</w:t>
      </w:r>
    </w:p>
    <w:sectPr w:rsidR="00FC693F" w:rsidRPr="0006063C" w:rsidSect="00034616">
      <w:headerReference w:type="default" r:id="rId16"/>
      <w:footerReference w:type="default" r:id="rId17"/>
      <w:pgSz w:w="11906" w:h="16838"/>
      <w:pgMar w:top="1417" w:right="1219" w:bottom="1191" w:left="1332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4D5B6C"/>
        <w:sz w:val="16"/>
      </w:rPr>
      <w:t xml:space="preserve">UTU · PixelForge · Infraestructura Microsoft · </w:t>
    </w:r>
    <w:r/>
    <w:fldSimple w:instr="PAGE"/>
    <w:r>
      <w:rPr>
        <w:b w:val="0"/>
        <w:i w:val="0"/>
        <w:color w:val="4D5B6C"/>
        <w:sz w:val="16"/>
      </w:rPr>
      <w:t xml:space="preserve">UTU · PixelForge · Infraestructura Microsoft · </w:t>
    </w:r>
    <w:r/>
    <w:fldSimple w:instr="PAGE"/>
    <w:r>
      <w:rPr>
        <w:b w:val="0"/>
        <w:i w:val="0"/>
        <w:color w:val="4D5B6C"/>
        <w:sz w:val="18"/>
      </w:rPr>
      <w:t>Anexo A · Fuente: topología de laboratorio, 27/10/2026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4D5B6C"/>
        <w:sz w:val="16"/>
      </w:rPr>
      <w:t>TRANSLOGÍSTICA  |  REDES MICROSOFT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162B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2B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80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7D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2B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D5B6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image" Target="media/image5.png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Microsoft - Translogística | UTU</dc:title>
  <dc:subject>Informe técnico de segunda entrega</dc:subject>
  <dc:creator>Equipo PixelForge</dc:creator>
  <cp:keywords>UTU; Translogística; Microsoft; Active Directory; Hyper-V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