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Hyperlink"/>
          <w:rFonts w:eastAsia="Noto Serif CJK SC" w:cs="Noto Sans Devanagari" w:ascii="Segoe UI" w:hAnsi="Segoe UI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 xml:space="preserve">    </w:t>
      </w:r>
      <w:r>
        <w:rPr>
          <w:rStyle w:val="Hyperlink"/>
          <w:rFonts w:eastAsia="Noto Serif CJK SC" w:cs="Noto Sans Devanagari" w:ascii="Segoe UI" w:hAnsi="Segoe UI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>Site</w:t>
      </w:r>
      <w:r>
        <w:rPr>
          <w:rStyle w:val="Hyperlink"/>
          <w:rFonts w:eastAsia="Noto Serif CJK SC" w:cs="Noto Sans Devanagari" w:ascii="Segoe UI" w:hAnsi="Segoe UI"/>
          <w:color w:val="auto"/>
          <w:kern w:val="2"/>
          <w:sz w:val="24"/>
          <w:szCs w:val="24"/>
          <w:u w:val="none"/>
          <w:lang w:val="fr-FR" w:eastAsia="zh-CN" w:bidi="hi-IN"/>
        </w:rPr>
        <w:t xml:space="preserve"> : </w:t>
      </w:r>
      <w:r>
        <w:fldChar w:fldCharType="begin"/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instrText xml:space="preserve"> HYPERLINK "https://pixellibre.github.io/trains-de-collection/" \l "350"</w:instrText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fldChar w:fldCharType="separate"/>
      </w:r>
      <w:r>
        <w:rPr>
          <w:rStyle w:val="Hyperlink"/>
          <w:rFonts w:eastAsia="Noto Serif CJK SC" w:cs="Noto Sans Devanagari" w:ascii="Segoe UI" w:hAnsi="Segoe UI"/>
          <w:color w:val="auto"/>
          <w:kern w:val="2"/>
          <w:sz w:val="24"/>
          <w:szCs w:val="24"/>
          <w:u w:val="none"/>
          <w:lang w:val="fr-FR" w:eastAsia="zh-CN" w:bidi="hi-IN"/>
        </w:rPr>
        <w:t>https://pixellibre.github.io/trains-de-collection</w:t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fldChar w:fldCharType="end"/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widowControl/>
            <w:tabs>
              <w:tab w:val="clear" w:pos="9638"/>
              <w:tab w:val="right" w:pos="9637" w:leader="dot"/>
            </w:tabs>
            <w:suppressAutoHyphens w:val="true"/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instrText xml:space="preserve"> TOC \f \o "1-9" \h</w:instrText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separate"/>
          </w:r>
          <w:hyperlink w:anchor="__RefHeading___Toc473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Manuel d’instruction – Site web des trains de collection</w:t>
            </w:r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ab/>
              <w:t>1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5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Travail en local</w:t>
              <w:tab/>
              <w:t>2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7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Préparer la MEP</w:t>
              <w:tab/>
              <w:t>3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Déploiement</w:t>
              <w:tab/>
              <w:t>4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1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Retirer un train sans MEP</w:t>
              <w:tab/>
              <w:t>5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2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Réduire les images</w:t>
              <w:tab/>
              <w:t>7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Référence web</w:t>
              <w:tab/>
              <w:t>8</w:t>
            </w:r>
          </w:hyperlink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end"/>
          </w:r>
        </w:p>
      </w:sdtContent>
    </w:sdt>
    <w:p>
      <w:pPr>
        <w:pStyle w:val="IndexHeading"/>
        <w:rPr>
          <w:rFonts w:ascii="Segoe UI" w:hAnsi="Segoe UI"/>
          <w:sz w:val="28"/>
          <w:szCs w:val="28"/>
        </w:rPr>
      </w:pPr>
      <w:r>
        <w:rPr>
          <w:rFonts w:ascii="Segoe UI" w:hAnsi="Segoe UI"/>
          <w:sz w:val="28"/>
          <w:szCs w:val="28"/>
        </w:rPr>
        <w:t>Acronymes</w:t>
      </w:r>
    </w:p>
    <w:p>
      <w:pPr>
        <w:pStyle w:val="BodyText"/>
        <w:rPr>
          <w:rFonts w:ascii="Segoe UI" w:hAnsi="Segoe UI"/>
        </w:rPr>
      </w:pPr>
      <w:r>
        <w:rPr>
          <w:rFonts w:ascii="Segoe UI" w:hAnsi="Segoe UI"/>
        </w:rPr>
        <w:t>MEP : mise en production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Puisque Windows n’aime pas les scripts télécharger sur le web :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Renommer « preparer_MEP.ps1 » → « preparer_MEP0.ps1 »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Créer un nouveau fichier « preparer_MEP.ps1 »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Copier coller le contenu de « preparer_MEP0.ps1 » dans « preparer_MEP.ps1 »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Supprimer « preparer_MEP0.ps1 »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tbl>
      <w:tblPr>
        <w:tblW w:w="5000" w:type="pct"/>
        <w:jc w:val="start"/>
        <w:tblInd w:w="-2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9187"/>
      </w:tblGrid>
      <w:tr>
        <w:trPr/>
        <w:tc>
          <w:tcPr>
            <w:tcW w:w="450" w:type="dxa"/>
            <w:tcBorders>
              <w:top w:val="thinThickLargeGap" w:sz="2" w:space="0" w:color="BB0B0B"/>
              <w:start w:val="thinThickLargeGap" w:sz="2" w:space="0" w:color="BB0B0B"/>
              <w:bottom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⚠</w:t>
            </w:r>
          </w:p>
        </w:tc>
        <w:tc>
          <w:tcPr>
            <w:tcW w:w="9187" w:type="dxa"/>
            <w:tcBorders>
              <w:top w:val="thinThickLargeGap" w:sz="2" w:space="0" w:color="BB0B0B"/>
              <w:bottom w:val="thinThickLargeGap" w:sz="2" w:space="0" w:color="BB0B0B"/>
              <w:end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À noter que dans le dossier « ressources », on retrouve le fichier « dernier_ID_utilise.txt » qui conserve le dernier identifiant utilisé. Ceci évite la réutilisation des identifiants. Il faut donc garder ce fichier intact.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8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Pour générer ou compléter le CSV avec les nouvelles images, on peut double-cliquer sur le raccourci « Préparer MEP » </w:t>
      </w:r>
      <w:r>
        <w:rPr>
          <w:rFonts w:ascii="segoe ui" w:hAnsi="segoe ui"/>
        </w:rPr>
        <w:t>ou</w:t>
      </w:r>
      <w:r>
        <w:rPr>
          <w:rFonts w:ascii="segoe ui" w:hAnsi="segoe ui"/>
        </w:rPr>
        <w:t xml:space="preserve"> faire une clic-droit sur « preparer_MEP.ps1 » → Exécuter avec PowerShell. </w:t>
      </w:r>
      <w:r>
        <w:rPr>
          <w:rFonts w:ascii="segoe ui" w:hAnsi="segoe ui"/>
        </w:rPr>
        <w:t>Le script créera le fichier « tableau_trains.csv », puis l</w:t>
      </w:r>
      <w:r>
        <w:rPr>
          <w:rFonts w:ascii="segoe ui" w:hAnsi="segoe ui"/>
        </w:rPr>
        <w:t xml:space="preserve">e fichier « index.html » </w:t>
      </w:r>
      <w:r>
        <w:rPr>
          <w:rFonts w:ascii="segoe ui" w:hAnsi="segoe ui"/>
        </w:rPr>
        <w:t>qui tire</w:t>
      </w:r>
      <w:r>
        <w:rPr>
          <w:rFonts w:ascii="segoe ui" w:hAnsi="segoe ui"/>
        </w:rPr>
        <w:t xml:space="preserve">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5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</w:t>
      </w:r>
      <w:r>
        <w:rPr>
          <w:rFonts w:ascii="segoe ui" w:hAnsi="segoe ui"/>
        </w:rPr>
        <w:t>nouvelles</w:t>
      </w:r>
      <w:r>
        <w:rPr>
          <w:rFonts w:ascii="segoe ui" w:hAnsi="segoe ui"/>
        </w:rPr>
        <w:t xml:space="preserve"> images : dans le dossier « images » ainsi que les miniatures (dossier « mini »),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4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bookmarkStart w:id="6" w:name="__RefHeading___Toc479_2604777493_Copie_3"/>
      <w:bookmarkStart w:id="7" w:name="__RefHeading___Toc479_2604777493_Copie_3"/>
      <w:bookmarkEnd w:id="7"/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8" w:name="__RefHeading___Toc479_2604777493_Copie_5"/>
      <w:bookmarkEnd w:id="8"/>
      <w:r>
        <w:rPr>
          <w:rFonts w:ascii="segoe ui" w:hAnsi="segoe ui"/>
          <w:color w:val="1F23D1"/>
        </w:rPr>
        <w:t>Référence web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Sur le web, on peut inscrire une référence à l’identifiant 350 en ajoutant « # » et le numéro :</w:t>
      </w:r>
    </w:p>
    <w:p>
      <w:pPr>
        <w:pStyle w:val="BodyText"/>
        <w:bidi w:val="0"/>
        <w:spacing w:before="0" w:after="120"/>
        <w:ind w:hanging="0" w:start="0"/>
        <w:jc w:val="start"/>
        <w:rPr/>
      </w:pPr>
      <w:r>
        <w:fldChar w:fldCharType="begin"/>
      </w:r>
      <w:r>
        <w:rPr>
          <w:rStyle w:val="Hyperlink"/>
          <w:rFonts w:ascii="segoe ui" w:hAnsi="segoe ui"/>
          <w:color w:val="000000"/>
        </w:rPr>
        <w:instrText xml:space="preserve"> HYPERLINK "https://pixellibre.github.io/trains-de-collection/" \l "350"</w:instrText>
      </w:r>
      <w:r>
        <w:rPr>
          <w:rStyle w:val="Hyperlink"/>
          <w:rFonts w:ascii="segoe ui" w:hAnsi="segoe ui"/>
          <w:color w:val="000000"/>
        </w:rPr>
        <w:fldChar w:fldCharType="separate"/>
      </w:r>
      <w:r>
        <w:rPr>
          <w:rStyle w:val="Hyperlink"/>
          <w:rFonts w:ascii="segoe ui" w:hAnsi="segoe ui"/>
          <w:color w:val="000000"/>
        </w:rPr>
        <w:t>https://pixellibre.github.io/trains-de-collection/#350</w:t>
      </w:r>
      <w:r>
        <w:rPr>
          <w:rStyle w:val="Hyperlink"/>
          <w:rFonts w:ascii="segoe ui" w:hAnsi="segoe ui"/>
          <w:color w:val="000000"/>
        </w:rPr>
        <w:fldChar w:fldCharType="end"/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Lorsque la personne clique, la page va directement à l’id 350.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LibreOffice/24.2.7.2$Linux_X86_64 LibreOffice_project/420$Build-2</Application>
  <AppVersion>15.0000</AppVersion>
  <Pages>7</Pages>
  <Words>631</Words>
  <Characters>3226</Characters>
  <CharactersWithSpaces>3784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2024-12-27T09:52:48Z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