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4A"/>
          <w:sz w:val="40"/>
          <w:szCs w:val="40"/>
        </w:rPr>
        <w:t xml:space="preserve">Reboot the Earth — Cold-Chain Food AI</w:t>
      </w:r>
    </w:p>
    <w:p>
      <w:pPr>
        <w:spacing w:after="300"/>
      </w:pPr>
      <w:r>
        <w:rPr>
          <w:color w:val="555555"/>
          <w:sz w:val="24"/>
          <w:szCs w:val="24"/>
        </w:rPr>
        <w:t xml:space="preserve">Project Specification: Data Layer, Food Categorization &amp; Distribution Logic</w:t>
      </w:r>
    </w:p>
    <w:p>
      <w:pPr>
        <w:spacing w:after="120"/>
      </w:pPr>
      <w:r>
        <w:rPr>
          <w:color w:val="444444"/>
        </w:rPr>
        <w:t xml:space="preserve">This document combines the three parts of the project into one specification that can be fed to an AI planning agent: (1) the statistical/live data the agent consumes, (2) the food categorization framework, and (3) the distribution logic that decides where each category of food should go and whether that route is financially worth it.</w:t>
      </w:r>
    </w:p>
    <w:p>
      <w:pPr>
        <w:pStyle w:val="Heading1"/>
        <w:pBdr>
          <w:bottom w:val="single" w:color="1F6F4A" w:sz="8" w:space="4"/>
        </w:pBdr>
        <w:spacing w:after="160" w:before="360"/>
      </w:pPr>
      <w:r>
        <w:rPr>
          <w:b/>
          <w:bCs/>
          <w:color w:val="1F6F4A"/>
        </w:rPr>
        <w:t xml:space="preserve">Part 1 — Data Layer (What the AI Agent Reads)</w:t>
      </w:r>
    </w:p>
    <w:p>
      <w:pPr>
        <w:spacing w:after="120"/>
      </w:pPr>
      <w:r>
        <w:t xml:space="preserve">The agent needs two kinds of data: (A) reference data that rarely changes — food science facts, thresholds, price baselines — and (B) live data that changes shipment by shipment. Reference data tells the agent the rules; live data tells it what's actually happening right now.</w:t>
      </w:r>
    </w:p>
    <w:p>
      <w:pPr>
        <w:pStyle w:val="Heading2"/>
        <w:spacing w:after="120" w:before="260"/>
      </w:pPr>
      <w:r>
        <w:rPr>
          <w:b/>
          <w:bCs/>
          <w:color w:val="1F6F4A"/>
        </w:rPr>
        <w:t xml:space="preserve">A. Reference Data (static / slow-changing)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shd w:fill="1F6F4A" w:val="clear"/>
            <w:tcMar>
              <w:top w:type="dxa" w:w="80"/>
              <w:left w:type="dxa" w:w="120"/>
              <w:bottom w:type="dxa" w:w="80"/>
              <w:right w:type="dxa" w:w="120"/>
            </w:tcMar>
          </w:tcPr>
          <w:p>
            <w:r>
              <w:rPr>
                <w:b/>
                <w:bCs/>
                <w:color w:val="FFFFFF"/>
              </w:rPr>
              <w:t xml:space="preserve">Data Field</w:t>
            </w:r>
          </w:p>
        </w:tc>
        <w:tc>
          <w:tcPr>
            <w:tcW w:type="dxa" w:w="4160"/>
            <w:shd w:fill="1F6F4A" w:val="clear"/>
            <w:tcMar>
              <w:top w:type="dxa" w:w="80"/>
              <w:left w:type="dxa" w:w="120"/>
              <w:bottom w:type="dxa" w:w="80"/>
              <w:right w:type="dxa" w:w="120"/>
            </w:tcMar>
          </w:tcPr>
          <w:p>
            <w:r>
              <w:rPr>
                <w:b/>
                <w:bCs/>
                <w:color w:val="FFFFFF"/>
              </w:rPr>
              <w:t xml:space="preserve">What It Contains</w:t>
            </w:r>
          </w:p>
        </w:tc>
        <w:tc>
          <w:tcPr>
            <w:tcW w:type="dxa" w:w="2000"/>
            <w:shd w:fill="1F6F4A" w:val="clear"/>
            <w:tcMar>
              <w:top w:type="dxa" w:w="80"/>
              <w:left w:type="dxa" w:w="120"/>
              <w:bottom w:type="dxa" w:w="80"/>
              <w:right w:type="dxa" w:w="120"/>
            </w:tcMar>
          </w:tcPr>
          <w:p>
            <w:r>
              <w:rPr>
                <w:b/>
                <w:bCs/>
                <w:color w:val="FFFFFF"/>
              </w:rPr>
              <w:t xml:space="preserve">Example Source</w:t>
            </w:r>
          </w:p>
        </w:tc>
      </w:tr>
      <w:tr>
        <w:tc>
          <w:tcPr>
            <w:tcW w:type="dxa" w:w="3200"/>
            <w:shd w:fill="FFFFFF" w:val="clear"/>
            <w:tcMar>
              <w:top w:type="dxa" w:w="80"/>
              <w:left w:type="dxa" w:w="120"/>
              <w:bottom w:type="dxa" w:w="80"/>
              <w:right w:type="dxa" w:w="120"/>
            </w:tcMar>
          </w:tcPr>
          <w:p>
            <w:r>
              <w:rPr>
                <w:b w:val="false"/>
                <w:bCs w:val="false"/>
                <w:color w:val="222222"/>
              </w:rPr>
              <w:t xml:space="preserve">Shelf-life baseline</w:t>
            </w:r>
          </w:p>
        </w:tc>
        <w:tc>
          <w:tcPr>
            <w:tcW w:type="dxa" w:w="4160"/>
            <w:shd w:fill="FFFFFF" w:val="clear"/>
            <w:tcMar>
              <w:top w:type="dxa" w:w="80"/>
              <w:left w:type="dxa" w:w="120"/>
              <w:bottom w:type="dxa" w:w="80"/>
              <w:right w:type="dxa" w:w="120"/>
            </w:tcMar>
          </w:tcPr>
          <w:p>
            <w:r>
              <w:rPr>
                <w:b w:val="false"/>
                <w:bCs w:val="false"/>
                <w:color w:val="222222"/>
              </w:rPr>
              <w:t xml:space="preserve">Days of shelf life by crop/product at ideal conditions (e.g., bananas ~21 days unripe)</w:t>
            </w:r>
          </w:p>
        </w:tc>
        <w:tc>
          <w:tcPr>
            <w:tcW w:type="dxa" w:w="2000"/>
            <w:shd w:fill="FFFFFF" w:val="clear"/>
            <w:tcMar>
              <w:top w:type="dxa" w:w="80"/>
              <w:left w:type="dxa" w:w="120"/>
              <w:bottom w:type="dxa" w:w="80"/>
              <w:right w:type="dxa" w:w="120"/>
            </w:tcMar>
          </w:tcPr>
          <w:p>
            <w:r>
              <w:rPr>
                <w:b w:val="false"/>
                <w:bCs w:val="false"/>
                <w:color w:val="222222"/>
              </w:rPr>
              <w:t xml:space="preserve">FAO post-harvest handling guides</w:t>
            </w:r>
          </w:p>
        </w:tc>
      </w:tr>
      <w:tr>
        <w:tc>
          <w:tcPr>
            <w:tcW w:type="dxa" w:w="3200"/>
            <w:shd w:fill="EAF3EC" w:val="clear"/>
            <w:tcMar>
              <w:top w:type="dxa" w:w="80"/>
              <w:left w:type="dxa" w:w="120"/>
              <w:bottom w:type="dxa" w:w="80"/>
              <w:right w:type="dxa" w:w="120"/>
            </w:tcMar>
          </w:tcPr>
          <w:p>
            <w:r>
              <w:rPr>
                <w:b w:val="false"/>
                <w:bCs w:val="false"/>
                <w:color w:val="222222"/>
              </w:rPr>
              <w:t xml:space="preserve">Safe temp/humidity range</w:t>
            </w:r>
          </w:p>
        </w:tc>
        <w:tc>
          <w:tcPr>
            <w:tcW w:type="dxa" w:w="4160"/>
            <w:shd w:fill="EAF3EC" w:val="clear"/>
            <w:tcMar>
              <w:top w:type="dxa" w:w="80"/>
              <w:left w:type="dxa" w:w="120"/>
              <w:bottom w:type="dxa" w:w="80"/>
              <w:right w:type="dxa" w:w="120"/>
            </w:tcMar>
          </w:tcPr>
          <w:p>
            <w:r>
              <w:rPr>
                <w:b w:val="false"/>
                <w:bCs w:val="false"/>
                <w:color w:val="222222"/>
              </w:rPr>
              <w:t xml:space="preserve">Ideal transport range per product (e.g., 13–14°C for bananas, 32–39°F for dairy)</w:t>
            </w:r>
          </w:p>
        </w:tc>
        <w:tc>
          <w:tcPr>
            <w:tcW w:type="dxa" w:w="2000"/>
            <w:shd w:fill="EAF3EC" w:val="clear"/>
            <w:tcMar>
              <w:top w:type="dxa" w:w="80"/>
              <w:left w:type="dxa" w:w="120"/>
              <w:bottom w:type="dxa" w:w="80"/>
              <w:right w:type="dxa" w:w="120"/>
            </w:tcMar>
          </w:tcPr>
          <w:p>
            <w:r>
              <w:rPr>
                <w:b w:val="false"/>
                <w:bCs w:val="false"/>
                <w:color w:val="222222"/>
              </w:rPr>
              <w:t xml:space="preserve">USDA / FAO cold chain standards, HACCP guidelines</w:t>
            </w:r>
          </w:p>
        </w:tc>
      </w:tr>
      <w:tr>
        <w:tc>
          <w:tcPr>
            <w:tcW w:type="dxa" w:w="3200"/>
            <w:shd w:fill="FFFFFF" w:val="clear"/>
            <w:tcMar>
              <w:top w:type="dxa" w:w="80"/>
              <w:left w:type="dxa" w:w="120"/>
              <w:bottom w:type="dxa" w:w="80"/>
              <w:right w:type="dxa" w:w="120"/>
            </w:tcMar>
          </w:tcPr>
          <w:p>
            <w:r>
              <w:rPr>
                <w:b w:val="false"/>
                <w:bCs w:val="false"/>
                <w:color w:val="222222"/>
              </w:rPr>
              <w:t xml:space="preserve">Climacteric classification</w:t>
            </w:r>
          </w:p>
        </w:tc>
        <w:tc>
          <w:tcPr>
            <w:tcW w:type="dxa" w:w="4160"/>
            <w:shd w:fill="FFFFFF" w:val="clear"/>
            <w:tcMar>
              <w:top w:type="dxa" w:w="80"/>
              <w:left w:type="dxa" w:w="120"/>
              <w:bottom w:type="dxa" w:w="80"/>
              <w:right w:type="dxa" w:w="120"/>
            </w:tcMar>
          </w:tcPr>
          <w:p>
            <w:r>
              <w:rPr>
                <w:b w:val="false"/>
                <w:bCs w:val="false"/>
                <w:color w:val="222222"/>
              </w:rPr>
              <w:t xml:space="preserve">Whether a crop ripens after harvest (bananas, tomatoes) or only degrades (grapes, citrus)</w:t>
            </w:r>
          </w:p>
        </w:tc>
        <w:tc>
          <w:tcPr>
            <w:tcW w:type="dxa" w:w="2000"/>
            <w:shd w:fill="FFFFFF" w:val="clear"/>
            <w:tcMar>
              <w:top w:type="dxa" w:w="80"/>
              <w:left w:type="dxa" w:w="120"/>
              <w:bottom w:type="dxa" w:w="80"/>
              <w:right w:type="dxa" w:w="120"/>
            </w:tcMar>
          </w:tcPr>
          <w:p>
            <w:r>
              <w:rPr>
                <w:b w:val="false"/>
                <w:bCs w:val="false"/>
                <w:color w:val="222222"/>
              </w:rPr>
              <w:t xml:space="preserve">Horticultural research databases</w:t>
            </w:r>
          </w:p>
        </w:tc>
      </w:tr>
      <w:tr>
        <w:tc>
          <w:tcPr>
            <w:tcW w:type="dxa" w:w="3200"/>
            <w:shd w:fill="EAF3EC" w:val="clear"/>
            <w:tcMar>
              <w:top w:type="dxa" w:w="80"/>
              <w:left w:type="dxa" w:w="120"/>
              <w:bottom w:type="dxa" w:w="80"/>
              <w:right w:type="dxa" w:w="120"/>
            </w:tcMar>
          </w:tcPr>
          <w:p>
            <w:r>
              <w:rPr>
                <w:b w:val="false"/>
                <w:bCs w:val="false"/>
                <w:color w:val="222222"/>
              </w:rPr>
              <w:t xml:space="preserve">Market price baseline</w:t>
            </w:r>
          </w:p>
        </w:tc>
        <w:tc>
          <w:tcPr>
            <w:tcW w:type="dxa" w:w="4160"/>
            <w:shd w:fill="EAF3EC" w:val="clear"/>
            <w:tcMar>
              <w:top w:type="dxa" w:w="80"/>
              <w:left w:type="dxa" w:w="120"/>
              <w:bottom w:type="dxa" w:w="80"/>
              <w:right w:type="dxa" w:w="120"/>
            </w:tcMar>
          </w:tcPr>
          <w:p>
            <w:r>
              <w:rPr>
                <w:b w:val="false"/>
                <w:bCs w:val="false"/>
                <w:color w:val="222222"/>
              </w:rPr>
              <w:t xml:space="preserve">Typical sale price per kg/unit by product and destination market</w:t>
            </w:r>
          </w:p>
        </w:tc>
        <w:tc>
          <w:tcPr>
            <w:tcW w:type="dxa" w:w="2000"/>
            <w:shd w:fill="EAF3EC" w:val="clear"/>
            <w:tcMar>
              <w:top w:type="dxa" w:w="80"/>
              <w:left w:type="dxa" w:w="120"/>
              <w:bottom w:type="dxa" w:w="80"/>
              <w:right w:type="dxa" w:w="120"/>
            </w:tcMar>
          </w:tcPr>
          <w:p>
            <w:r>
              <w:rPr>
                <w:b w:val="false"/>
                <w:bCs w:val="false"/>
                <w:color w:val="222222"/>
              </w:rPr>
              <w:t xml:space="preserve">Local market price bulletins, Qatar Planning &amp; Statistics Authority</w:t>
            </w:r>
          </w:p>
        </w:tc>
      </w:tr>
      <w:tr>
        <w:tc>
          <w:tcPr>
            <w:tcW w:type="dxa" w:w="3200"/>
            <w:shd w:fill="FFFFFF" w:val="clear"/>
            <w:tcMar>
              <w:top w:type="dxa" w:w="80"/>
              <w:left w:type="dxa" w:w="120"/>
              <w:bottom w:type="dxa" w:w="80"/>
              <w:right w:type="dxa" w:w="120"/>
            </w:tcMar>
          </w:tcPr>
          <w:p>
            <w:r>
              <w:rPr>
                <w:b w:val="false"/>
                <w:bCs w:val="false"/>
                <w:color w:val="222222"/>
              </w:rPr>
              <w:t xml:space="preserve">Transport cost baseline</w:t>
            </w:r>
          </w:p>
        </w:tc>
        <w:tc>
          <w:tcPr>
            <w:tcW w:type="dxa" w:w="4160"/>
            <w:shd w:fill="FFFFFF" w:val="clear"/>
            <w:tcMar>
              <w:top w:type="dxa" w:w="80"/>
              <w:left w:type="dxa" w:w="120"/>
              <w:bottom w:type="dxa" w:w="80"/>
              <w:right w:type="dxa" w:w="120"/>
            </w:tcMar>
          </w:tcPr>
          <w:p>
            <w:r>
              <w:rPr>
                <w:b w:val="false"/>
                <w:bCs w:val="false"/>
                <w:color w:val="222222"/>
              </w:rPr>
              <w:t xml:space="preserve">Cost per km by vehicle/route type (refrigerated truck, air freight, sea freight)</w:t>
            </w:r>
          </w:p>
        </w:tc>
        <w:tc>
          <w:tcPr>
            <w:tcW w:type="dxa" w:w="2000"/>
            <w:shd w:fill="FFFFFF" w:val="clear"/>
            <w:tcMar>
              <w:top w:type="dxa" w:w="80"/>
              <w:left w:type="dxa" w:w="120"/>
              <w:bottom w:type="dxa" w:w="80"/>
              <w:right w:type="dxa" w:w="120"/>
            </w:tcMar>
          </w:tcPr>
          <w:p>
            <w:r>
              <w:rPr>
                <w:b w:val="false"/>
                <w:bCs w:val="false"/>
                <w:color w:val="222222"/>
              </w:rPr>
              <w:t xml:space="preserve">Logistics provider rate cards</w:t>
            </w:r>
          </w:p>
        </w:tc>
      </w:tr>
      <w:tr>
        <w:tc>
          <w:tcPr>
            <w:tcW w:type="dxa" w:w="3200"/>
            <w:shd w:fill="EAF3EC" w:val="clear"/>
            <w:tcMar>
              <w:top w:type="dxa" w:w="80"/>
              <w:left w:type="dxa" w:w="120"/>
              <w:bottom w:type="dxa" w:w="80"/>
              <w:right w:type="dxa" w:w="120"/>
            </w:tcMar>
          </w:tcPr>
          <w:p>
            <w:r>
              <w:rPr>
                <w:b w:val="false"/>
                <w:bCs w:val="false"/>
                <w:color w:val="222222"/>
              </w:rPr>
              <w:t xml:space="preserve">Disposal hierarchy rules</w:t>
            </w:r>
          </w:p>
        </w:tc>
        <w:tc>
          <w:tcPr>
            <w:tcW w:type="dxa" w:w="4160"/>
            <w:shd w:fill="EAF3EC" w:val="clear"/>
            <w:tcMar>
              <w:top w:type="dxa" w:w="80"/>
              <w:left w:type="dxa" w:w="120"/>
              <w:bottom w:type="dxa" w:w="80"/>
              <w:right w:type="dxa" w:w="120"/>
            </w:tcMar>
          </w:tcPr>
          <w:p>
            <w:r>
              <w:rPr>
                <w:b w:val="false"/>
                <w:bCs w:val="false"/>
                <w:color w:val="222222"/>
              </w:rPr>
              <w:t xml:space="preserve">Priority order for unsellable food: redistribute → animal feed → industrial reuse → compost → anaerobic digestion → landfill</w:t>
            </w:r>
          </w:p>
        </w:tc>
        <w:tc>
          <w:tcPr>
            <w:tcW w:type="dxa" w:w="2000"/>
            <w:shd w:fill="EAF3EC" w:val="clear"/>
            <w:tcMar>
              <w:top w:type="dxa" w:w="80"/>
              <w:left w:type="dxa" w:w="120"/>
              <w:bottom w:type="dxa" w:w="80"/>
              <w:right w:type="dxa" w:w="120"/>
            </w:tcMar>
          </w:tcPr>
          <w:p>
            <w:r>
              <w:rPr>
                <w:b w:val="false"/>
                <w:bCs w:val="false"/>
                <w:color w:val="222222"/>
              </w:rPr>
              <w:t xml:space="preserve">EPA Food Recovery Hierarchy, FAO food-loss guidance</w:t>
            </w:r>
          </w:p>
        </w:tc>
      </w:tr>
    </w:tbl>
    <w:p>
      <w:pPr>
        <w:pStyle w:val="Heading2"/>
        <w:spacing w:after="120" w:before="260"/>
      </w:pPr>
      <w:r>
        <w:rPr>
          <w:b/>
          <w:bCs/>
          <w:color w:val="1F6F4A"/>
        </w:rPr>
        <w:t xml:space="preserve">B. Live Data (per-shipment, streamed continuously)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shd w:fill="1F6F4A" w:val="clear"/>
            <w:tcMar>
              <w:top w:type="dxa" w:w="80"/>
              <w:left w:type="dxa" w:w="120"/>
              <w:bottom w:type="dxa" w:w="80"/>
              <w:right w:type="dxa" w:w="120"/>
            </w:tcMar>
          </w:tcPr>
          <w:p>
            <w:r>
              <w:rPr>
                <w:b/>
                <w:bCs/>
                <w:color w:val="FFFFFF"/>
              </w:rPr>
              <w:t xml:space="preserve">Data Field</w:t>
            </w:r>
          </w:p>
        </w:tc>
        <w:tc>
          <w:tcPr>
            <w:tcW w:type="dxa" w:w="4160"/>
            <w:shd w:fill="1F6F4A" w:val="clear"/>
            <w:tcMar>
              <w:top w:type="dxa" w:w="80"/>
              <w:left w:type="dxa" w:w="120"/>
              <w:bottom w:type="dxa" w:w="80"/>
              <w:right w:type="dxa" w:w="120"/>
            </w:tcMar>
          </w:tcPr>
          <w:p>
            <w:r>
              <w:rPr>
                <w:b/>
                <w:bCs/>
                <w:color w:val="FFFFFF"/>
              </w:rPr>
              <w:t xml:space="preserve">What It Contains</w:t>
            </w:r>
          </w:p>
        </w:tc>
        <w:tc>
          <w:tcPr>
            <w:tcW w:type="dxa" w:w="2000"/>
            <w:shd w:fill="1F6F4A" w:val="clear"/>
            <w:tcMar>
              <w:top w:type="dxa" w:w="80"/>
              <w:left w:type="dxa" w:w="120"/>
              <w:bottom w:type="dxa" w:w="80"/>
              <w:right w:type="dxa" w:w="120"/>
            </w:tcMar>
          </w:tcPr>
          <w:p>
            <w:r>
              <w:rPr>
                <w:b/>
                <w:bCs/>
                <w:color w:val="FFFFFF"/>
              </w:rPr>
              <w:t xml:space="preserve">Example Source</w:t>
            </w:r>
          </w:p>
        </w:tc>
      </w:tr>
      <w:tr>
        <w:tc>
          <w:tcPr>
            <w:tcW w:type="dxa" w:w="3200"/>
            <w:shd w:fill="FFFFFF" w:val="clear"/>
            <w:tcMar>
              <w:top w:type="dxa" w:w="80"/>
              <w:left w:type="dxa" w:w="120"/>
              <w:bottom w:type="dxa" w:w="80"/>
              <w:right w:type="dxa" w:w="120"/>
            </w:tcMar>
          </w:tcPr>
          <w:p>
            <w:r>
              <w:rPr>
                <w:b w:val="false"/>
                <w:bCs w:val="false"/>
                <w:color w:val="222222"/>
              </w:rPr>
              <w:t xml:space="preserve">Temperature &amp; humidity</w:t>
            </w:r>
          </w:p>
        </w:tc>
        <w:tc>
          <w:tcPr>
            <w:tcW w:type="dxa" w:w="4160"/>
            <w:shd w:fill="FFFFFF" w:val="clear"/>
            <w:tcMar>
              <w:top w:type="dxa" w:w="80"/>
              <w:left w:type="dxa" w:w="120"/>
              <w:bottom w:type="dxa" w:w="80"/>
              <w:right w:type="dxa" w:w="120"/>
            </w:tcMar>
          </w:tcPr>
          <w:p>
            <w:r>
              <w:rPr>
                <w:b w:val="false"/>
                <w:bCs w:val="false"/>
                <w:color w:val="222222"/>
              </w:rPr>
              <w:t xml:space="preserve">Real-time readings inside the truck/container</w:t>
            </w:r>
          </w:p>
        </w:tc>
        <w:tc>
          <w:tcPr>
            <w:tcW w:type="dxa" w:w="2000"/>
            <w:shd w:fill="FFFFFF" w:val="clear"/>
            <w:tcMar>
              <w:top w:type="dxa" w:w="80"/>
              <w:left w:type="dxa" w:w="120"/>
              <w:bottom w:type="dxa" w:w="80"/>
              <w:right w:type="dxa" w:w="120"/>
            </w:tcMar>
          </w:tcPr>
          <w:p>
            <w:r>
              <w:rPr>
                <w:b w:val="false"/>
                <w:bCs w:val="false"/>
                <w:color w:val="222222"/>
              </w:rPr>
              <w:t xml:space="preserve">IoT sensor (BLE/RFID temperature-humidity logger)</w:t>
            </w:r>
          </w:p>
        </w:tc>
      </w:tr>
      <w:tr>
        <w:tc>
          <w:tcPr>
            <w:tcW w:type="dxa" w:w="3200"/>
            <w:shd w:fill="EAF3EC" w:val="clear"/>
            <w:tcMar>
              <w:top w:type="dxa" w:w="80"/>
              <w:left w:type="dxa" w:w="120"/>
              <w:bottom w:type="dxa" w:w="80"/>
              <w:right w:type="dxa" w:w="120"/>
            </w:tcMar>
          </w:tcPr>
          <w:p>
            <w:r>
              <w:rPr>
                <w:b w:val="false"/>
                <w:bCs w:val="false"/>
                <w:color w:val="222222"/>
              </w:rPr>
              <w:t xml:space="preserve">GPS location &amp; speed</w:t>
            </w:r>
          </w:p>
        </w:tc>
        <w:tc>
          <w:tcPr>
            <w:tcW w:type="dxa" w:w="4160"/>
            <w:shd w:fill="EAF3EC" w:val="clear"/>
            <w:tcMar>
              <w:top w:type="dxa" w:w="80"/>
              <w:left w:type="dxa" w:w="120"/>
              <w:bottom w:type="dxa" w:w="80"/>
              <w:right w:type="dxa" w:w="120"/>
            </w:tcMar>
          </w:tcPr>
          <w:p>
            <w:r>
              <w:rPr>
                <w:b w:val="false"/>
                <w:bCs w:val="false"/>
                <w:color w:val="222222"/>
              </w:rPr>
              <w:t xml:space="preserve">Where the shipment is right now and how fast it's moving</w:t>
            </w:r>
          </w:p>
        </w:tc>
        <w:tc>
          <w:tcPr>
            <w:tcW w:type="dxa" w:w="2000"/>
            <w:shd w:fill="EAF3EC" w:val="clear"/>
            <w:tcMar>
              <w:top w:type="dxa" w:w="80"/>
              <w:left w:type="dxa" w:w="120"/>
              <w:bottom w:type="dxa" w:w="80"/>
              <w:right w:type="dxa" w:w="120"/>
            </w:tcMar>
          </w:tcPr>
          <w:p>
            <w:r>
              <w:rPr>
                <w:b w:val="false"/>
                <w:bCs w:val="false"/>
                <w:color w:val="222222"/>
              </w:rPr>
              <w:t xml:space="preserve">GPS module on truck / fleet tracking API</w:t>
            </w:r>
          </w:p>
        </w:tc>
      </w:tr>
      <w:tr>
        <w:tc>
          <w:tcPr>
            <w:tcW w:type="dxa" w:w="3200"/>
            <w:shd w:fill="FFFFFF" w:val="clear"/>
            <w:tcMar>
              <w:top w:type="dxa" w:w="80"/>
              <w:left w:type="dxa" w:w="120"/>
              <w:bottom w:type="dxa" w:w="80"/>
              <w:right w:type="dxa" w:w="120"/>
            </w:tcMar>
          </w:tcPr>
          <w:p>
            <w:r>
              <w:rPr>
                <w:b w:val="false"/>
                <w:bCs w:val="false"/>
                <w:color w:val="222222"/>
              </w:rPr>
              <w:t xml:space="preserve">Ethylene concentration</w:t>
            </w:r>
          </w:p>
        </w:tc>
        <w:tc>
          <w:tcPr>
            <w:tcW w:type="dxa" w:w="4160"/>
            <w:shd w:fill="FFFFFF" w:val="clear"/>
            <w:tcMar>
              <w:top w:type="dxa" w:w="80"/>
              <w:left w:type="dxa" w:w="120"/>
              <w:bottom w:type="dxa" w:w="80"/>
              <w:right w:type="dxa" w:w="120"/>
            </w:tcMar>
          </w:tcPr>
          <w:p>
            <w:r>
              <w:rPr>
                <w:b w:val="false"/>
                <w:bCs w:val="false"/>
                <w:color w:val="222222"/>
              </w:rPr>
              <w:t xml:space="preserve">Ripening-gas level (critical for unripe/climacteric produce)</w:t>
            </w:r>
          </w:p>
        </w:tc>
        <w:tc>
          <w:tcPr>
            <w:tcW w:type="dxa" w:w="2000"/>
            <w:shd w:fill="FFFFFF" w:val="clear"/>
            <w:tcMar>
              <w:top w:type="dxa" w:w="80"/>
              <w:left w:type="dxa" w:w="120"/>
              <w:bottom w:type="dxa" w:w="80"/>
              <w:right w:type="dxa" w:w="120"/>
            </w:tcMar>
          </w:tcPr>
          <w:p>
            <w:r>
              <w:rPr>
                <w:b w:val="false"/>
                <w:bCs w:val="false"/>
                <w:color w:val="222222"/>
              </w:rPr>
              <w:t xml:space="preserve">Ethylene gas sensor in container</w:t>
            </w:r>
          </w:p>
        </w:tc>
      </w:tr>
      <w:tr>
        <w:tc>
          <w:tcPr>
            <w:tcW w:type="dxa" w:w="3200"/>
            <w:shd w:fill="EAF3EC" w:val="clear"/>
            <w:tcMar>
              <w:top w:type="dxa" w:w="80"/>
              <w:left w:type="dxa" w:w="120"/>
              <w:bottom w:type="dxa" w:w="80"/>
              <w:right w:type="dxa" w:w="120"/>
            </w:tcMar>
          </w:tcPr>
          <w:p>
            <w:r>
              <w:rPr>
                <w:b w:val="false"/>
                <w:bCs w:val="false"/>
                <w:color w:val="222222"/>
              </w:rPr>
              <w:t xml:space="preserve">Time-out-of-range</w:t>
            </w:r>
          </w:p>
        </w:tc>
        <w:tc>
          <w:tcPr>
            <w:tcW w:type="dxa" w:w="4160"/>
            <w:shd w:fill="EAF3EC" w:val="clear"/>
            <w:tcMar>
              <w:top w:type="dxa" w:w="80"/>
              <w:left w:type="dxa" w:w="120"/>
              <w:bottom w:type="dxa" w:w="80"/>
              <w:right w:type="dxa" w:w="120"/>
            </w:tcMar>
          </w:tcPr>
          <w:p>
            <w:r>
              <w:rPr>
                <w:b w:val="false"/>
                <w:bCs w:val="false"/>
                <w:color w:val="222222"/>
              </w:rPr>
              <w:t xml:space="preserve">Cumulative minutes the shipment has spent outside its safe range</w:t>
            </w:r>
          </w:p>
        </w:tc>
        <w:tc>
          <w:tcPr>
            <w:tcW w:type="dxa" w:w="2000"/>
            <w:shd w:fill="EAF3EC" w:val="clear"/>
            <w:tcMar>
              <w:top w:type="dxa" w:w="80"/>
              <w:left w:type="dxa" w:w="120"/>
              <w:bottom w:type="dxa" w:w="80"/>
              <w:right w:type="dxa" w:w="120"/>
            </w:tcMar>
          </w:tcPr>
          <w:p>
            <w:r>
              <w:rPr>
                <w:b w:val="false"/>
                <w:bCs w:val="false"/>
                <w:color w:val="222222"/>
              </w:rPr>
              <w:t xml:space="preserve">Derived from the temperature sensor stream</w:t>
            </w:r>
          </w:p>
        </w:tc>
      </w:tr>
      <w:tr>
        <w:tc>
          <w:tcPr>
            <w:tcW w:type="dxa" w:w="3200"/>
            <w:shd w:fill="FFFFFF" w:val="clear"/>
            <w:tcMar>
              <w:top w:type="dxa" w:w="80"/>
              <w:left w:type="dxa" w:w="120"/>
              <w:bottom w:type="dxa" w:w="80"/>
              <w:right w:type="dxa" w:w="120"/>
            </w:tcMar>
          </w:tcPr>
          <w:p>
            <w:r>
              <w:rPr>
                <w:b w:val="false"/>
                <w:bCs w:val="false"/>
                <w:color w:val="222222"/>
              </w:rPr>
              <w:t xml:space="preserve">Ambient weather forecast</w:t>
            </w:r>
          </w:p>
        </w:tc>
        <w:tc>
          <w:tcPr>
            <w:tcW w:type="dxa" w:w="4160"/>
            <w:shd w:fill="FFFFFF" w:val="clear"/>
            <w:tcMar>
              <w:top w:type="dxa" w:w="80"/>
              <w:left w:type="dxa" w:w="120"/>
              <w:bottom w:type="dxa" w:w="80"/>
              <w:right w:type="dxa" w:w="120"/>
            </w:tcMar>
          </w:tcPr>
          <w:p>
            <w:r>
              <w:rPr>
                <w:b w:val="false"/>
                <w:bCs w:val="false"/>
                <w:color w:val="222222"/>
              </w:rPr>
              <w:t xml:space="preserve">Outdoor temperature/heat forecast along the route</w:t>
            </w:r>
          </w:p>
        </w:tc>
        <w:tc>
          <w:tcPr>
            <w:tcW w:type="dxa" w:w="2000"/>
            <w:shd w:fill="FFFFFF" w:val="clear"/>
            <w:tcMar>
              <w:top w:type="dxa" w:w="80"/>
              <w:left w:type="dxa" w:w="120"/>
              <w:bottom w:type="dxa" w:w="80"/>
              <w:right w:type="dxa" w:w="120"/>
            </w:tcMar>
          </w:tcPr>
          <w:p>
            <w:r>
              <w:rPr>
                <w:b w:val="false"/>
                <w:bCs w:val="false"/>
                <w:color w:val="222222"/>
              </w:rPr>
              <w:t xml:space="preserve">Open-Meteo API, NASA POWER</w:t>
            </w:r>
          </w:p>
        </w:tc>
      </w:tr>
      <w:tr>
        <w:tc>
          <w:tcPr>
            <w:tcW w:type="dxa" w:w="3200"/>
            <w:shd w:fill="EAF3EC" w:val="clear"/>
            <w:tcMar>
              <w:top w:type="dxa" w:w="80"/>
              <w:left w:type="dxa" w:w="120"/>
              <w:bottom w:type="dxa" w:w="80"/>
              <w:right w:type="dxa" w:w="120"/>
            </w:tcMar>
          </w:tcPr>
          <w:p>
            <w:r>
              <w:rPr>
                <w:b w:val="false"/>
                <w:bCs w:val="false"/>
                <w:color w:val="222222"/>
              </w:rPr>
              <w:t xml:space="preserve">Traffic / route conditions</w:t>
            </w:r>
          </w:p>
        </w:tc>
        <w:tc>
          <w:tcPr>
            <w:tcW w:type="dxa" w:w="4160"/>
            <w:shd w:fill="EAF3EC" w:val="clear"/>
            <w:tcMar>
              <w:top w:type="dxa" w:w="80"/>
              <w:left w:type="dxa" w:w="120"/>
              <w:bottom w:type="dxa" w:w="80"/>
              <w:right w:type="dxa" w:w="120"/>
            </w:tcMar>
          </w:tcPr>
          <w:p>
            <w:r>
              <w:rPr>
                <w:b w:val="false"/>
                <w:bCs w:val="false"/>
                <w:color w:val="222222"/>
              </w:rPr>
              <w:t xml:space="preserve">Expected delay, congestion, road closures</w:t>
            </w:r>
          </w:p>
        </w:tc>
        <w:tc>
          <w:tcPr>
            <w:tcW w:type="dxa" w:w="2000"/>
            <w:shd w:fill="EAF3EC" w:val="clear"/>
            <w:tcMar>
              <w:top w:type="dxa" w:w="80"/>
              <w:left w:type="dxa" w:w="120"/>
              <w:bottom w:type="dxa" w:w="80"/>
              <w:right w:type="dxa" w:w="120"/>
            </w:tcMar>
          </w:tcPr>
          <w:p>
            <w:r>
              <w:rPr>
                <w:b w:val="false"/>
                <w:bCs w:val="false"/>
                <w:color w:val="222222"/>
              </w:rPr>
              <w:t xml:space="preserve">Google/Mapbox traffic API</w:t>
            </w:r>
          </w:p>
        </w:tc>
      </w:tr>
      <w:tr>
        <w:tc>
          <w:tcPr>
            <w:tcW w:type="dxa" w:w="3200"/>
            <w:shd w:fill="FFFFFF" w:val="clear"/>
            <w:tcMar>
              <w:top w:type="dxa" w:w="80"/>
              <w:left w:type="dxa" w:w="120"/>
              <w:bottom w:type="dxa" w:w="80"/>
              <w:right w:type="dxa" w:w="120"/>
            </w:tcMar>
          </w:tcPr>
          <w:p>
            <w:r>
              <w:rPr>
                <w:b w:val="false"/>
                <w:bCs w:val="false"/>
                <w:color w:val="222222"/>
              </w:rPr>
              <w:t xml:space="preserve">Destination demand signal</w:t>
            </w:r>
          </w:p>
        </w:tc>
        <w:tc>
          <w:tcPr>
            <w:tcW w:type="dxa" w:w="4160"/>
            <w:shd w:fill="FFFFFF" w:val="clear"/>
            <w:tcMar>
              <w:top w:type="dxa" w:w="80"/>
              <w:left w:type="dxa" w:w="120"/>
              <w:bottom w:type="dxa" w:w="80"/>
              <w:right w:type="dxa" w:w="120"/>
            </w:tcMar>
          </w:tcPr>
          <w:p>
            <w:r>
              <w:rPr>
                <w:b w:val="false"/>
                <w:bCs w:val="false"/>
                <w:color w:val="222222"/>
              </w:rPr>
              <w:t xml:space="preserve">How much of this product nearby stores/markets currently need</w:t>
            </w:r>
          </w:p>
        </w:tc>
        <w:tc>
          <w:tcPr>
            <w:tcW w:type="dxa" w:w="2000"/>
            <w:shd w:fill="FFFFFF" w:val="clear"/>
            <w:tcMar>
              <w:top w:type="dxa" w:w="80"/>
              <w:left w:type="dxa" w:w="120"/>
              <w:bottom w:type="dxa" w:w="80"/>
              <w:right w:type="dxa" w:w="120"/>
            </w:tcMar>
          </w:tcPr>
          <w:p>
            <w:r>
              <w:rPr>
                <w:b w:val="false"/>
                <w:bCs w:val="false"/>
                <w:color w:val="222222"/>
              </w:rPr>
              <w:t xml:space="preserve">POS/inventory data from partner stores (simulated for a hackathon demo)</w:t>
            </w:r>
          </w:p>
        </w:tc>
      </w:tr>
    </w:tbl>
    <w:p>
      <w:pPr>
        <w:spacing w:after="120"/>
      </w:pPr>
      <w:r>
        <w:t xml:space="preserve"/>
      </w:r>
    </w:p>
    <w:p>
      <w:pPr>
        <w:spacing w:after="120"/>
      </w:pPr>
      <w:r>
        <w:rPr>
          <w:i/>
          <w:iCs/>
          <w:color w:val="555555"/>
        </w:rPr>
        <w:t xml:space="preserve">Note for the hackathon demo: you don't need to wire up all of these live. Pick 2–3 (temperature, GPS, and one more) and simulate the rest with realistic sample data — say so openly to the judges. What matters is that the agent's logic correctly reacts to the data, not that every sensor is real.</w:t>
      </w:r>
    </w:p>
    <w:p>
      <w:pPr>
        <w:pStyle w:val="Heading1"/>
        <w:pBdr>
          <w:bottom w:val="single" w:color="1F6F4A" w:sz="8" w:space="4"/>
        </w:pBdr>
        <w:spacing w:after="160" w:before="360"/>
      </w:pPr>
      <w:r>
        <w:rPr>
          <w:b/>
          <w:bCs/>
          <w:color w:val="1F6F4A"/>
        </w:rPr>
        <w:t xml:space="preserve">Part 2 — Food Categorization Framework</w:t>
      </w:r>
    </w:p>
    <w:p>
      <w:pPr>
        <w:spacing w:after="120"/>
      </w:pPr>
      <w:r>
        <w:t xml:space="preserve">Every shipment is classified into one of four categories. The category determines which rules from Part 3 apply.</w:t>
      </w:r>
    </w:p>
    <w:p>
      <w:pPr>
        <w:pStyle w:val="Heading2"/>
        <w:spacing w:after="120" w:before="260"/>
      </w:pPr>
      <w:r>
        <w:rPr>
          <w:b/>
          <w:bCs/>
          <w:color w:val="1F6F4A"/>
        </w:rPr>
        <w:t xml:space="preserve">1. Raw / Unripe Food</w:t>
      </w:r>
    </w:p>
    <w:p>
      <w:pPr>
        <w:pStyle w:val="ListParagraph"/>
        <w:numPr>
          <w:ilvl w:val="0"/>
          <w:numId w:val="2"/>
        </w:numPr>
        <w:spacing w:after="60"/>
      </w:pPr>
      <w:r>
        <w:t xml:space="preserve">Definition: harvested but not yet ripe (e.g., green bananas, tomatoes, mangoes, avocados). Has the highest remaining shelf life.</w:t>
      </w:r>
    </w:p>
    <w:p>
      <w:pPr>
        <w:pStyle w:val="ListParagraph"/>
        <w:numPr>
          <w:ilvl w:val="0"/>
          <w:numId w:val="2"/>
        </w:numPr>
        <w:spacing w:after="60"/>
      </w:pPr>
      <w:r>
        <w:t xml:space="preserve">Key tracked variables: crop class (climacteric vs. non-climacteric), respiration/decay rate, cumulative thermal stress, ethylene exposure.</w:t>
      </w:r>
    </w:p>
    <w:p>
      <w:pPr>
        <w:pStyle w:val="ListParagraph"/>
        <w:numPr>
          <w:ilvl w:val="0"/>
          <w:numId w:val="2"/>
        </w:numPr>
        <w:spacing w:after="60"/>
      </w:pPr>
      <w:r>
        <w:t xml:space="preserve">Primary risk: chilling injury (too cold) or premature ripening (ethylene exposure / too warm).</w:t>
      </w:r>
    </w:p>
    <w:p>
      <w:pPr>
        <w:pStyle w:val="ListParagraph"/>
        <w:numPr>
          <w:ilvl w:val="0"/>
          <w:numId w:val="2"/>
        </w:numPr>
        <w:spacing w:after="60"/>
      </w:pPr>
      <w:r>
        <w:t xml:space="preserve">Best suited for: long-distance/international shipping, since it has the longest buffer before spoilage.</w:t>
      </w:r>
    </w:p>
    <w:p>
      <w:pPr>
        <w:pStyle w:val="Heading2"/>
        <w:spacing w:after="120" w:before="260"/>
      </w:pPr>
      <w:r>
        <w:rPr>
          <w:b/>
          <w:bCs/>
          <w:color w:val="1F6F4A"/>
        </w:rPr>
        <w:t xml:space="preserve">2. Edible Food (ripe, ready-to-sell)</w:t>
      </w:r>
    </w:p>
    <w:p>
      <w:pPr>
        <w:pStyle w:val="ListParagraph"/>
        <w:numPr>
          <w:ilvl w:val="0"/>
          <w:numId w:val="2"/>
        </w:numPr>
        <w:spacing w:after="60"/>
      </w:pPr>
      <w:r>
        <w:t xml:space="preserve">Definition: ready for normal retail sale, not yet close to its use-by date.</w:t>
      </w:r>
    </w:p>
    <w:p>
      <w:pPr>
        <w:pStyle w:val="ListParagraph"/>
        <w:numPr>
          <w:ilvl w:val="0"/>
          <w:numId w:val="2"/>
        </w:numPr>
        <w:spacing w:after="60"/>
      </w:pPr>
      <w:r>
        <w:t xml:space="preserve">Key tracked variables: continuous temperature/humidity, time-out-of-range, GPS location per route segment.</w:t>
      </w:r>
    </w:p>
    <w:p>
      <w:pPr>
        <w:pStyle w:val="ListParagraph"/>
        <w:numPr>
          <w:ilvl w:val="0"/>
          <w:numId w:val="2"/>
        </w:numPr>
        <w:spacing w:after="60"/>
      </w:pPr>
      <w:r>
        <w:t xml:space="preserve">Primary risk: a break anywhere in the cold chain (truck → distribution center → store) shortening real shelf life below the printed date.</w:t>
      </w:r>
    </w:p>
    <w:p>
      <w:pPr>
        <w:pStyle w:val="ListParagraph"/>
        <w:numPr>
          <w:ilvl w:val="0"/>
          <w:numId w:val="2"/>
        </w:numPr>
        <w:spacing w:after="60"/>
      </w:pPr>
      <w:r>
        <w:t xml:space="preserve">Best suited for: regional distribution to distribution centers and stores, with a live freshness score, not a fixed export radius.</w:t>
      </w:r>
    </w:p>
    <w:p>
      <w:pPr>
        <w:pStyle w:val="Heading2"/>
        <w:spacing w:after="120" w:before="260"/>
      </w:pPr>
      <w:r>
        <w:rPr>
          <w:b/>
          <w:bCs/>
          <w:color w:val="1F6F4A"/>
        </w:rPr>
        <w:t xml:space="preserve">3. Almost-Bad Food (close to expiry)</w:t>
      </w:r>
    </w:p>
    <w:p>
      <w:pPr>
        <w:pStyle w:val="ListParagraph"/>
        <w:numPr>
          <w:ilvl w:val="0"/>
          <w:numId w:val="2"/>
        </w:numPr>
        <w:spacing w:after="60"/>
      </w:pPr>
      <w:r>
        <w:t xml:space="preserve">Definition: still safe to eat but nearing its best-before/use-by window.</w:t>
      </w:r>
    </w:p>
    <w:p>
      <w:pPr>
        <w:pStyle w:val="ListParagraph"/>
        <w:numPr>
          <w:ilvl w:val="0"/>
          <w:numId w:val="2"/>
        </w:numPr>
        <w:spacing w:after="60"/>
      </w:pPr>
      <w:r>
        <w:t xml:space="preserve">Key tracked variables: remaining hours/days of safety, current location relative to buyers, discount elasticity (how much a price cut increases the chance it sells in time).</w:t>
      </w:r>
    </w:p>
    <w:p>
      <w:pPr>
        <w:pStyle w:val="ListParagraph"/>
        <w:numPr>
          <w:ilvl w:val="0"/>
          <w:numId w:val="2"/>
        </w:numPr>
        <w:spacing w:after="60"/>
      </w:pPr>
      <w:r>
        <w:t xml:space="preserve">Primary risk: running out of time before a buyer is found — every extra hour of transport eats into the sellable window.</w:t>
      </w:r>
    </w:p>
    <w:p>
      <w:pPr>
        <w:pStyle w:val="ListParagraph"/>
        <w:numPr>
          <w:ilvl w:val="0"/>
          <w:numId w:val="2"/>
        </w:numPr>
        <w:spacing w:after="60"/>
      </w:pPr>
      <w:r>
        <w:t xml:space="preserve">Best suited for: short-distance routing only — local stores, discount retailers, and community/food-bank channels — because long transport would use up the little shelf life left.</w:t>
      </w:r>
    </w:p>
    <w:p>
      <w:pPr>
        <w:pStyle w:val="Heading2"/>
        <w:spacing w:after="120" w:before="260"/>
      </w:pPr>
      <w:r>
        <w:rPr>
          <w:b/>
          <w:bCs/>
          <w:color w:val="1F6F4A"/>
        </w:rPr>
        <w:t xml:space="preserve">4. Expired Food</w:t>
      </w:r>
    </w:p>
    <w:p>
      <w:pPr>
        <w:pStyle w:val="ListParagraph"/>
        <w:numPr>
          <w:ilvl w:val="0"/>
          <w:numId w:val="2"/>
        </w:numPr>
        <w:spacing w:after="60"/>
      </w:pPr>
      <w:r>
        <w:t xml:space="preserve">Definition: past its safe/legal sell-by point; no longer suitable for normal retail sale.</w:t>
      </w:r>
    </w:p>
    <w:p>
      <w:pPr>
        <w:pStyle w:val="ListParagraph"/>
        <w:numPr>
          <w:ilvl w:val="0"/>
          <w:numId w:val="2"/>
        </w:numPr>
        <w:spacing w:after="60"/>
      </w:pPr>
      <w:r>
        <w:t xml:space="preserve">Key tracked variables: contamination status (safe-but-past-date vs. actually spoiled/contaminated).</w:t>
      </w:r>
    </w:p>
    <w:p>
      <w:pPr>
        <w:pStyle w:val="ListParagraph"/>
        <w:numPr>
          <w:ilvl w:val="0"/>
          <w:numId w:val="2"/>
        </w:numPr>
        <w:spacing w:after="60"/>
      </w:pPr>
      <w:r>
        <w:t xml:space="preserve">Primary risk: defaulting to landfill, which is the worst outcome both financially and environmentally (food waste in landfill produces methane).</w:t>
      </w:r>
    </w:p>
    <w:p>
      <w:pPr>
        <w:pStyle w:val="ListParagraph"/>
        <w:numPr>
          <w:ilvl w:val="0"/>
          <w:numId w:val="2"/>
        </w:numPr>
        <w:spacing w:after="60"/>
      </w:pPr>
      <w:r>
        <w:t xml:space="preserve">Routing follows a strict recovery hierarchy — see Part 3.4.</w:t>
      </w:r>
    </w:p>
    <w:p>
      <w:pPr>
        <w:pStyle w:val="Heading1"/>
        <w:pBdr>
          <w:bottom w:val="single" w:color="1F6F4A" w:sz="8" w:space="4"/>
        </w:pBdr>
        <w:spacing w:after="160" w:before="360"/>
      </w:pPr>
      <w:r>
        <w:rPr>
          <w:b/>
          <w:bCs/>
          <w:color w:val="1F6F4A"/>
        </w:rPr>
        <w:t xml:space="preserve">Part 3 — Distribution Logic (Where Each Category Goes)</w:t>
      </w:r>
    </w:p>
    <w:p>
      <w:pPr>
        <w:spacing w:after="120"/>
      </w:pPr>
      <w:r>
        <w:t xml:space="preserve">This is the decision layer. For every shipment, the agent takes the category from Part 2 and the live data from Part 1, then decides a destination type, a maximum distance, and whether the route is financially worth it.</w:t>
      </w:r>
    </w:p>
    <w:p>
      <w:pPr>
        <w:pStyle w:val="Heading2"/>
        <w:spacing w:after="120" w:before="260"/>
      </w:pPr>
      <w:r>
        <w:rPr>
          <w:b/>
          <w:bCs/>
          <w:color w:val="1F6F4A"/>
        </w:rPr>
        <w:t xml:space="preserve">3.1 — Category → Destination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900"/>
        <w:gridCol w:w="2060"/>
      </w:tblGrid>
      <w:tr>
        <w:tc>
          <w:tcPr>
            <w:tcW w:type="dxa" w:w="1900"/>
            <w:shd w:fill="1F6F4A" w:val="clear"/>
            <w:tcMar>
              <w:top w:type="dxa" w:w="80"/>
              <w:left w:type="dxa" w:w="120"/>
              <w:bottom w:type="dxa" w:w="80"/>
              <w:right w:type="dxa" w:w="120"/>
            </w:tcMar>
          </w:tcPr>
          <w:p>
            <w:r>
              <w:rPr>
                <w:b/>
                <w:bCs/>
                <w:color w:val="FFFFFF"/>
              </w:rPr>
              <w:t xml:space="preserve">Category</w:t>
            </w:r>
          </w:p>
        </w:tc>
        <w:tc>
          <w:tcPr>
            <w:tcW w:type="dxa" w:w="2500"/>
            <w:shd w:fill="1F6F4A" w:val="clear"/>
            <w:tcMar>
              <w:top w:type="dxa" w:w="80"/>
              <w:left w:type="dxa" w:w="120"/>
              <w:bottom w:type="dxa" w:w="80"/>
              <w:right w:type="dxa" w:w="120"/>
            </w:tcMar>
          </w:tcPr>
          <w:p>
            <w:r>
              <w:rPr>
                <w:b/>
                <w:bCs/>
                <w:color w:val="FFFFFF"/>
              </w:rPr>
              <w:t xml:space="preserve">Default Destination</w:t>
            </w:r>
          </w:p>
        </w:tc>
        <w:tc>
          <w:tcPr>
            <w:tcW w:type="dxa" w:w="2900"/>
            <w:shd w:fill="1F6F4A" w:val="clear"/>
            <w:tcMar>
              <w:top w:type="dxa" w:w="80"/>
              <w:left w:type="dxa" w:w="120"/>
              <w:bottom w:type="dxa" w:w="80"/>
              <w:right w:type="dxa" w:w="120"/>
            </w:tcMar>
          </w:tcPr>
          <w:p>
            <w:r>
              <w:rPr>
                <w:b/>
                <w:bCs/>
                <w:color w:val="FFFFFF"/>
              </w:rPr>
              <w:t xml:space="preserve">Distance Logic</w:t>
            </w:r>
          </w:p>
        </w:tc>
        <w:tc>
          <w:tcPr>
            <w:tcW w:type="dxa" w:w="2060"/>
            <w:shd w:fill="1F6F4A" w:val="clear"/>
            <w:tcMar>
              <w:top w:type="dxa" w:w="80"/>
              <w:left w:type="dxa" w:w="120"/>
              <w:bottom w:type="dxa" w:w="80"/>
              <w:right w:type="dxa" w:w="120"/>
            </w:tcMar>
          </w:tcPr>
          <w:p>
            <w:r>
              <w:rPr>
                <w:b/>
                <w:bCs/>
                <w:color w:val="FFFFFF"/>
              </w:rPr>
              <w:t xml:space="preserve">Financial Check</w:t>
            </w:r>
          </w:p>
        </w:tc>
      </w:tr>
      <w:tr>
        <w:tc>
          <w:tcPr>
            <w:tcW w:type="dxa" w:w="1900"/>
            <w:shd w:fill="FFFFFF" w:val="clear"/>
            <w:tcMar>
              <w:top w:type="dxa" w:w="80"/>
              <w:left w:type="dxa" w:w="120"/>
              <w:bottom w:type="dxa" w:w="80"/>
              <w:right w:type="dxa" w:w="120"/>
            </w:tcMar>
          </w:tcPr>
          <w:p>
            <w:r>
              <w:rPr>
                <w:b w:val="false"/>
                <w:bCs w:val="false"/>
                <w:color w:val="222222"/>
              </w:rPr>
              <w:t xml:space="preserve">Raw / Unripe</w:t>
            </w:r>
          </w:p>
        </w:tc>
        <w:tc>
          <w:tcPr>
            <w:tcW w:type="dxa" w:w="2500"/>
            <w:shd w:fill="FFFFFF" w:val="clear"/>
            <w:tcMar>
              <w:top w:type="dxa" w:w="80"/>
              <w:left w:type="dxa" w:w="120"/>
              <w:bottom w:type="dxa" w:w="80"/>
              <w:right w:type="dxa" w:w="120"/>
            </w:tcMar>
          </w:tcPr>
          <w:p>
            <w:r>
              <w:rPr>
                <w:b w:val="false"/>
                <w:bCs w:val="false"/>
                <w:color w:val="222222"/>
              </w:rPr>
              <w:t xml:space="preserve">Regional ripening centers, international/long-haul export</w:t>
            </w:r>
          </w:p>
        </w:tc>
        <w:tc>
          <w:tcPr>
            <w:tcW w:type="dxa" w:w="2900"/>
            <w:shd w:fill="FFFFFF" w:val="clear"/>
            <w:tcMar>
              <w:top w:type="dxa" w:w="80"/>
              <w:left w:type="dxa" w:w="120"/>
              <w:bottom w:type="dxa" w:w="80"/>
              <w:right w:type="dxa" w:w="120"/>
            </w:tcMar>
          </w:tcPr>
          <w:p>
            <w:r>
              <w:rPr>
                <w:b w:val="false"/>
                <w:bCs w:val="false"/>
                <w:color w:val="222222"/>
              </w:rPr>
              <w:t xml:space="preserve">Rmax = Avg. Transit Speed × (Remaining Shelf Life − Ripening Room Buffer)</w:t>
            </w:r>
          </w:p>
        </w:tc>
        <w:tc>
          <w:tcPr>
            <w:tcW w:type="dxa" w:w="2060"/>
            <w:shd w:fill="FFFFFF" w:val="clear"/>
            <w:tcMar>
              <w:top w:type="dxa" w:w="80"/>
              <w:left w:type="dxa" w:w="120"/>
              <w:bottom w:type="dxa" w:w="80"/>
              <w:right w:type="dxa" w:w="120"/>
            </w:tcMar>
          </w:tcPr>
          <w:p>
            <w:r>
              <w:rPr>
                <w:b w:val="false"/>
                <w:bCs w:val="false"/>
                <w:color w:val="222222"/>
              </w:rPr>
              <w:t xml:space="preserve">Export price must exceed transport + ripening-center cost</w:t>
            </w:r>
          </w:p>
        </w:tc>
      </w:tr>
      <w:tr>
        <w:tc>
          <w:tcPr>
            <w:tcW w:type="dxa" w:w="1900"/>
            <w:shd w:fill="EAF3EC" w:val="clear"/>
            <w:tcMar>
              <w:top w:type="dxa" w:w="80"/>
              <w:left w:type="dxa" w:w="120"/>
              <w:bottom w:type="dxa" w:w="80"/>
              <w:right w:type="dxa" w:w="120"/>
            </w:tcMar>
          </w:tcPr>
          <w:p>
            <w:r>
              <w:rPr>
                <w:b w:val="false"/>
                <w:bCs w:val="false"/>
                <w:color w:val="222222"/>
              </w:rPr>
              <w:t xml:space="preserve">Edible (ripe)</w:t>
            </w:r>
          </w:p>
        </w:tc>
        <w:tc>
          <w:tcPr>
            <w:tcW w:type="dxa" w:w="2500"/>
            <w:shd w:fill="EAF3EC" w:val="clear"/>
            <w:tcMar>
              <w:top w:type="dxa" w:w="80"/>
              <w:left w:type="dxa" w:w="120"/>
              <w:bottom w:type="dxa" w:w="80"/>
              <w:right w:type="dxa" w:w="120"/>
            </w:tcMar>
          </w:tcPr>
          <w:p>
            <w:r>
              <w:rPr>
                <w:b w:val="false"/>
                <w:bCs w:val="false"/>
                <w:color w:val="222222"/>
              </w:rPr>
              <w:t xml:space="preserve">Distribution centers → retail stores (regional)</w:t>
            </w:r>
          </w:p>
        </w:tc>
        <w:tc>
          <w:tcPr>
            <w:tcW w:type="dxa" w:w="2900"/>
            <w:shd w:fill="EAF3EC" w:val="clear"/>
            <w:tcMar>
              <w:top w:type="dxa" w:w="80"/>
              <w:left w:type="dxa" w:w="120"/>
              <w:bottom w:type="dxa" w:w="80"/>
              <w:right w:type="dxa" w:w="120"/>
            </w:tcMar>
          </w:tcPr>
          <w:p>
            <w:r>
              <w:rPr>
                <w:b w:val="false"/>
                <w:bCs w:val="false"/>
                <w:color w:val="222222"/>
              </w:rPr>
              <w:t xml:space="preserve">Bounded by live freshness score, not a fixed radius; reroute closer if score drops</w:t>
            </w:r>
          </w:p>
        </w:tc>
        <w:tc>
          <w:tcPr>
            <w:tcW w:type="dxa" w:w="2060"/>
            <w:shd w:fill="EAF3EC" w:val="clear"/>
            <w:tcMar>
              <w:top w:type="dxa" w:w="80"/>
              <w:left w:type="dxa" w:w="120"/>
              <w:bottom w:type="dxa" w:w="80"/>
              <w:right w:type="dxa" w:w="120"/>
            </w:tcMar>
          </w:tcPr>
          <w:p>
            <w:r>
              <w:rPr>
                <w:b w:val="false"/>
                <w:bCs w:val="false"/>
                <w:color w:val="222222"/>
              </w:rPr>
              <w:t xml:space="preserve">Must clear transport + handling cost at normal retail price</w:t>
            </w:r>
          </w:p>
        </w:tc>
      </w:tr>
      <w:tr>
        <w:tc>
          <w:tcPr>
            <w:tcW w:type="dxa" w:w="1900"/>
            <w:shd w:fill="FFFFFF" w:val="clear"/>
            <w:tcMar>
              <w:top w:type="dxa" w:w="80"/>
              <w:left w:type="dxa" w:w="120"/>
              <w:bottom w:type="dxa" w:w="80"/>
              <w:right w:type="dxa" w:w="120"/>
            </w:tcMar>
          </w:tcPr>
          <w:p>
            <w:r>
              <w:rPr>
                <w:b w:val="false"/>
                <w:bCs w:val="false"/>
                <w:color w:val="222222"/>
              </w:rPr>
              <w:t xml:space="preserve">Almost-Bad</w:t>
            </w:r>
          </w:p>
        </w:tc>
        <w:tc>
          <w:tcPr>
            <w:tcW w:type="dxa" w:w="2500"/>
            <w:shd w:fill="FFFFFF" w:val="clear"/>
            <w:tcMar>
              <w:top w:type="dxa" w:w="80"/>
              <w:left w:type="dxa" w:w="120"/>
              <w:bottom w:type="dxa" w:w="80"/>
              <w:right w:type="dxa" w:w="120"/>
            </w:tcMar>
          </w:tcPr>
          <w:p>
            <w:r>
              <w:rPr>
                <w:b w:val="false"/>
                <w:bCs w:val="false"/>
                <w:color w:val="222222"/>
              </w:rPr>
              <w:t xml:space="preserve">Local stores, discount retailers, community fridges, food banks</w:t>
            </w:r>
          </w:p>
        </w:tc>
        <w:tc>
          <w:tcPr>
            <w:tcW w:type="dxa" w:w="2900"/>
            <w:shd w:fill="FFFFFF" w:val="clear"/>
            <w:tcMar>
              <w:top w:type="dxa" w:w="80"/>
              <w:left w:type="dxa" w:w="120"/>
              <w:bottom w:type="dxa" w:w="80"/>
              <w:right w:type="dxa" w:w="120"/>
            </w:tcMar>
          </w:tcPr>
          <w:p>
            <w:r>
              <w:rPr>
                <w:b w:val="false"/>
                <w:bCs w:val="false"/>
                <w:color w:val="222222"/>
              </w:rPr>
              <w:t xml:space="preserve">Short-range only — nearest viable buyer within remaining safe hours</w:t>
            </w:r>
          </w:p>
        </w:tc>
        <w:tc>
          <w:tcPr>
            <w:tcW w:type="dxa" w:w="2060"/>
            <w:shd w:fill="FFFFFF" w:val="clear"/>
            <w:tcMar>
              <w:top w:type="dxa" w:w="80"/>
              <w:left w:type="dxa" w:w="120"/>
              <w:bottom w:type="dxa" w:w="80"/>
              <w:right w:type="dxa" w:w="120"/>
            </w:tcMar>
          </w:tcPr>
          <w:p>
            <w:r>
              <w:rPr>
                <w:b w:val="false"/>
                <w:bCs w:val="false"/>
                <w:color w:val="222222"/>
              </w:rPr>
              <w:t xml:space="preserve">Must clear transport cost at discounted price, or is free-donated for a tax/CSR benefit</w:t>
            </w:r>
          </w:p>
        </w:tc>
      </w:tr>
      <w:tr>
        <w:tc>
          <w:tcPr>
            <w:tcW w:type="dxa" w:w="1900"/>
            <w:shd w:fill="EAF3EC" w:val="clear"/>
            <w:tcMar>
              <w:top w:type="dxa" w:w="80"/>
              <w:left w:type="dxa" w:w="120"/>
              <w:bottom w:type="dxa" w:w="80"/>
              <w:right w:type="dxa" w:w="120"/>
            </w:tcMar>
          </w:tcPr>
          <w:p>
            <w:r>
              <w:rPr>
                <w:b w:val="false"/>
                <w:bCs w:val="false"/>
                <w:color w:val="222222"/>
              </w:rPr>
              <w:t xml:space="preserve">Expired (safe)</w:t>
            </w:r>
          </w:p>
        </w:tc>
        <w:tc>
          <w:tcPr>
            <w:tcW w:type="dxa" w:w="2500"/>
            <w:shd w:fill="EAF3EC" w:val="clear"/>
            <w:tcMar>
              <w:top w:type="dxa" w:w="80"/>
              <w:left w:type="dxa" w:w="120"/>
              <w:bottom w:type="dxa" w:w="80"/>
              <w:right w:type="dxa" w:w="120"/>
            </w:tcMar>
          </w:tcPr>
          <w:p>
            <w:r>
              <w:rPr>
                <w:b w:val="false"/>
                <w:bCs w:val="false"/>
                <w:color w:val="222222"/>
              </w:rPr>
              <w:t xml:space="preserve">Animal feed, industrial reuse, composting, biogas</w:t>
            </w:r>
          </w:p>
        </w:tc>
        <w:tc>
          <w:tcPr>
            <w:tcW w:type="dxa" w:w="2900"/>
            <w:shd w:fill="EAF3EC" w:val="clear"/>
            <w:tcMar>
              <w:top w:type="dxa" w:w="80"/>
              <w:left w:type="dxa" w:w="120"/>
              <w:bottom w:type="dxa" w:w="80"/>
              <w:right w:type="dxa" w:w="120"/>
            </w:tcMar>
          </w:tcPr>
          <w:p>
            <w:r>
              <w:rPr>
                <w:b w:val="false"/>
                <w:bCs w:val="false"/>
                <w:color w:val="222222"/>
              </w:rPr>
              <w:t xml:space="preserve">Nearest facility of each type, in priority order</w:t>
            </w:r>
          </w:p>
        </w:tc>
        <w:tc>
          <w:tcPr>
            <w:tcW w:type="dxa" w:w="2060"/>
            <w:shd w:fill="EAF3EC" w:val="clear"/>
            <w:tcMar>
              <w:top w:type="dxa" w:w="80"/>
              <w:left w:type="dxa" w:w="120"/>
              <w:bottom w:type="dxa" w:w="80"/>
              <w:right w:type="dxa" w:w="120"/>
            </w:tcMar>
          </w:tcPr>
          <w:p>
            <w:r>
              <w:rPr>
                <w:b w:val="false"/>
                <w:bCs w:val="false"/>
                <w:color w:val="222222"/>
              </w:rPr>
              <w:t xml:space="preserve">Recovery value from tier 1–3 outweighs disposal cost of landfill (tier 6)</w:t>
            </w:r>
          </w:p>
        </w:tc>
      </w:tr>
    </w:tbl>
    <w:p>
      <w:pPr>
        <w:pStyle w:val="Heading2"/>
        <w:spacing w:after="120" w:before="260"/>
      </w:pPr>
      <w:r>
        <w:rPr>
          <w:b/>
          <w:bCs/>
          <w:color w:val="1F6F4A"/>
        </w:rPr>
        <w:t xml:space="preserve">3.2 — Financial Sufficiency Check (applies to every route)</w:t>
      </w:r>
    </w:p>
    <w:p>
      <w:pPr>
        <w:spacing w:after="120"/>
      </w:pPr>
      <w:r>
        <w:t xml:space="preserve">Before the agent commits to any route, it estimates whether the trip is worth making:</w:t>
      </w:r>
    </w:p>
    <w:p>
      <w:pPr>
        <w:pBdr>
          <w:top w:val="single" w:color="8A5A00" w:sz="4"/>
          <w:bottom w:val="single" w:color="8A5A00" w:sz="4"/>
          <w:left w:val="single" w:color="8A5A00" w:sz="4"/>
          <w:right w:val="single" w:color="8A5A00" w:sz="4"/>
        </w:pBdr>
        <w:shd w:fill="FBF1DC" w:val="clear"/>
        <w:spacing w:after="160"/>
      </w:pPr>
      <w:r>
        <w:rPr>
          <w:b/>
          <w:bCs/>
          <w:color w:val="5C3D00"/>
        </w:rPr>
        <w:t xml:space="preserve">  Expected Recovery Value  =  (Destination Price × Probability of Safe Arrival)  −  (Transport Cost + Handling Cost)</w:t>
      </w:r>
    </w:p>
    <w:p>
      <w:pPr>
        <w:pStyle w:val="ListParagraph"/>
        <w:numPr>
          <w:ilvl w:val="0"/>
          <w:numId w:val="2"/>
        </w:numPr>
        <w:spacing w:after="60"/>
      </w:pPr>
      <w:r>
        <w:rPr>
          <w:b/>
          <w:bCs/>
        </w:rPr>
        <w:t xml:space="preserve">If positive: </w:t>
      </w:r>
      <w:r>
        <w:t xml:space="preserve">proceed with the planned route.</w:t>
      </w:r>
    </w:p>
    <w:p>
      <w:pPr>
        <w:pStyle w:val="ListParagraph"/>
        <w:numPr>
          <w:ilvl w:val="0"/>
          <w:numId w:val="2"/>
        </w:numPr>
        <w:spacing w:after="60"/>
      </w:pPr>
      <w:r>
        <w:rPr>
          <w:b/>
          <w:bCs/>
        </w:rPr>
        <w:t xml:space="preserve">If negative: </w:t>
      </w:r>
      <w:r>
        <w:t xml:space="preserve">the agent automatically downgrades the route — send to a closer/cheaper buyer, or drop the shipment to the next category's routing rules (e.g., an Edible shipment that won't clear its cost gets treated like Almost-Bad and sent local instead of regional).</w:t>
      </w:r>
    </w:p>
    <w:p>
      <w:pPr>
        <w:pStyle w:val="ListParagraph"/>
        <w:numPr>
          <w:ilvl w:val="0"/>
          <w:numId w:val="2"/>
        </w:numPr>
        <w:spacing w:after="60"/>
      </w:pPr>
      <w:r>
        <w:rPr>
          <w:b/>
          <w:bCs/>
        </w:rPr>
        <w:t xml:space="preserve">Probability of safe arrival </w:t>
      </w:r>
      <w:r>
        <w:t xml:space="preserve">comes from Part 1's live data: the longer a shipment has been out of its safe range, the lower this probability, which pulls the expected value down and pushes the agent toward a shorter, safer route.</w:t>
      </w:r>
    </w:p>
    <w:p>
      <w:pPr>
        <w:pStyle w:val="Heading2"/>
        <w:spacing w:after="120" w:before="260"/>
      </w:pPr>
      <w:r>
        <w:rPr>
          <w:b/>
          <w:bCs/>
          <w:color w:val="1F6F4A"/>
        </w:rPr>
        <w:t xml:space="preserve">3.3 — Anomaly → Reroute Flow (all categories)</w:t>
      </w:r>
    </w:p>
    <w:p>
      <w:pPr>
        <w:pStyle w:val="ListParagraph"/>
        <w:numPr>
          <w:ilvl w:val="0"/>
          <w:numId w:val="2"/>
        </w:numPr>
        <w:spacing w:after="60"/>
      </w:pPr>
      <w:r>
        <w:t xml:space="preserve">STATUS NORMAL → shipment continues on its planned route.</w:t>
      </w:r>
    </w:p>
    <w:p>
      <w:pPr>
        <w:pStyle w:val="ListParagraph"/>
        <w:numPr>
          <w:ilvl w:val="0"/>
          <w:numId w:val="2"/>
        </w:numPr>
        <w:spacing w:after="60"/>
      </w:pPr>
      <w:r>
        <w:t xml:space="preserve">ANOMALY DETECTED (temperature spike, ethylene leak, time-out-of-range exceeds threshold) → agent recalculates remaining shelf life.</w:t>
      </w:r>
    </w:p>
    <w:p>
      <w:pPr>
        <w:pStyle w:val="ListParagraph"/>
        <w:numPr>
          <w:ilvl w:val="0"/>
          <w:numId w:val="2"/>
        </w:numPr>
        <w:spacing w:after="60"/>
      </w:pPr>
      <w:r>
        <w:t xml:space="preserve">Remaining shelf life drops sharply (e.g., 18 days → 4 days) → agent reruns the financial check on a shorter list of nearby destinations.</w:t>
      </w:r>
    </w:p>
    <w:p>
      <w:pPr>
        <w:pStyle w:val="ListParagraph"/>
        <w:numPr>
          <w:ilvl w:val="0"/>
          <w:numId w:val="2"/>
        </w:numPr>
        <w:spacing w:after="60"/>
      </w:pPr>
      <w:r>
        <w:t xml:space="preserve">AUTO-REROUTE SIGNAL → shipment is diverted to the closer, still-financially-positive option — this may mean an Edible shipment gets rerouted to a nearer store, or a Raw shipment gets rerouted to a regional market instead of its original export destination.</w:t>
      </w:r>
    </w:p>
    <w:p>
      <w:pPr>
        <w:pStyle w:val="Heading2"/>
        <w:spacing w:after="120" w:before="260"/>
      </w:pPr>
      <w:r>
        <w:rPr>
          <w:b/>
          <w:bCs/>
          <w:color w:val="1F6F4A"/>
        </w:rPr>
        <w:t xml:space="preserve">3.4 — Expired Food: Recovery Hierarchy (used when nothing above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560"/>
        <w:gridCol w:w="3900"/>
      </w:tblGrid>
      <w:tr>
        <w:tc>
          <w:tcPr>
            <w:tcW w:type="dxa" w:w="900"/>
            <w:shd w:fill="1F6F4A" w:val="clear"/>
            <w:tcMar>
              <w:top w:type="dxa" w:w="80"/>
              <w:left w:type="dxa" w:w="120"/>
              <w:bottom w:type="dxa" w:w="80"/>
              <w:right w:type="dxa" w:w="120"/>
            </w:tcMar>
          </w:tcPr>
          <w:p>
            <w:r>
              <w:rPr>
                <w:b/>
                <w:bCs/>
                <w:color w:val="FFFFFF"/>
              </w:rPr>
              <w:t xml:space="preserve">Tier</w:t>
            </w:r>
          </w:p>
        </w:tc>
        <w:tc>
          <w:tcPr>
            <w:tcW w:type="dxa" w:w="4560"/>
            <w:shd w:fill="1F6F4A" w:val="clear"/>
            <w:tcMar>
              <w:top w:type="dxa" w:w="80"/>
              <w:left w:type="dxa" w:w="120"/>
              <w:bottom w:type="dxa" w:w="80"/>
              <w:right w:type="dxa" w:w="120"/>
            </w:tcMar>
          </w:tcPr>
          <w:p>
            <w:r>
              <w:rPr>
                <w:b/>
                <w:bCs/>
                <w:color w:val="FFFFFF"/>
              </w:rPr>
              <w:t xml:space="preserve">Action</w:t>
            </w:r>
          </w:p>
        </w:tc>
        <w:tc>
          <w:tcPr>
            <w:tcW w:type="dxa" w:w="3900"/>
            <w:shd w:fill="1F6F4A" w:val="clear"/>
            <w:tcMar>
              <w:top w:type="dxa" w:w="80"/>
              <w:left w:type="dxa" w:w="120"/>
              <w:bottom w:type="dxa" w:w="80"/>
              <w:right w:type="dxa" w:w="120"/>
            </w:tcMar>
          </w:tcPr>
          <w:p>
            <w:r>
              <w:rPr>
                <w:b/>
                <w:bCs/>
                <w:color w:val="FFFFFF"/>
              </w:rPr>
              <w:t xml:space="preserve">When It Applies</w:t>
            </w:r>
          </w:p>
        </w:tc>
      </w:tr>
      <w:tr>
        <w:tc>
          <w:tcPr>
            <w:tcW w:type="dxa" w:w="900"/>
            <w:shd w:fill="FFFFFF" w:val="clear"/>
            <w:tcMar>
              <w:top w:type="dxa" w:w="80"/>
              <w:left w:type="dxa" w:w="120"/>
              <w:bottom w:type="dxa" w:w="80"/>
              <w:right w:type="dxa" w:w="120"/>
            </w:tcMar>
          </w:tcPr>
          <w:p>
            <w:r>
              <w:rPr>
                <w:b w:val="false"/>
                <w:bCs w:val="false"/>
                <w:color w:val="222222"/>
              </w:rPr>
              <w:t xml:space="preserve">1</w:t>
            </w:r>
          </w:p>
        </w:tc>
        <w:tc>
          <w:tcPr>
            <w:tcW w:type="dxa" w:w="4560"/>
            <w:shd w:fill="FFFFFF" w:val="clear"/>
            <w:tcMar>
              <w:top w:type="dxa" w:w="80"/>
              <w:left w:type="dxa" w:w="120"/>
              <w:bottom w:type="dxa" w:w="80"/>
              <w:right w:type="dxa" w:w="120"/>
            </w:tcMar>
          </w:tcPr>
          <w:p>
            <w:r>
              <w:rPr>
                <w:b w:val="false"/>
                <w:bCs w:val="false"/>
                <w:color w:val="222222"/>
              </w:rPr>
              <w:t xml:space="preserve">Still-safe redistribution (discount, food bank, surplus apps)</w:t>
            </w:r>
          </w:p>
        </w:tc>
        <w:tc>
          <w:tcPr>
            <w:tcW w:type="dxa" w:w="3900"/>
            <w:shd w:fill="FFFFFF" w:val="clear"/>
            <w:tcMar>
              <w:top w:type="dxa" w:w="80"/>
              <w:left w:type="dxa" w:w="120"/>
              <w:bottom w:type="dxa" w:w="80"/>
              <w:right w:type="dxa" w:w="120"/>
            </w:tcMar>
          </w:tcPr>
          <w:p>
            <w:r>
              <w:rPr>
                <w:b w:val="false"/>
                <w:bCs w:val="false"/>
                <w:color w:val="222222"/>
              </w:rPr>
              <w:t xml:space="preserve">Past "best before," not "use by"; no contamination</w:t>
            </w:r>
          </w:p>
        </w:tc>
      </w:tr>
      <w:tr>
        <w:tc>
          <w:tcPr>
            <w:tcW w:type="dxa" w:w="900"/>
            <w:shd w:fill="EAF3EC" w:val="clear"/>
            <w:tcMar>
              <w:top w:type="dxa" w:w="80"/>
              <w:left w:type="dxa" w:w="120"/>
              <w:bottom w:type="dxa" w:w="80"/>
              <w:right w:type="dxa" w:w="120"/>
            </w:tcMar>
          </w:tcPr>
          <w:p>
            <w:r>
              <w:rPr>
                <w:b w:val="false"/>
                <w:bCs w:val="false"/>
                <w:color w:val="222222"/>
              </w:rPr>
              <w:t xml:space="preserve">2</w:t>
            </w:r>
          </w:p>
        </w:tc>
        <w:tc>
          <w:tcPr>
            <w:tcW w:type="dxa" w:w="4560"/>
            <w:shd w:fill="EAF3EC" w:val="clear"/>
            <w:tcMar>
              <w:top w:type="dxa" w:w="80"/>
              <w:left w:type="dxa" w:w="120"/>
              <w:bottom w:type="dxa" w:w="80"/>
              <w:right w:type="dxa" w:w="120"/>
            </w:tcMar>
          </w:tcPr>
          <w:p>
            <w:r>
              <w:rPr>
                <w:b w:val="false"/>
                <w:bCs w:val="false"/>
                <w:color w:val="222222"/>
              </w:rPr>
              <w:t xml:space="preserve">Animal feed</w:t>
            </w:r>
          </w:p>
        </w:tc>
        <w:tc>
          <w:tcPr>
            <w:tcW w:type="dxa" w:w="3900"/>
            <w:shd w:fill="EAF3EC" w:val="clear"/>
            <w:tcMar>
              <w:top w:type="dxa" w:w="80"/>
              <w:left w:type="dxa" w:w="120"/>
              <w:bottom w:type="dxa" w:w="80"/>
              <w:right w:type="dxa" w:w="120"/>
            </w:tcMar>
          </w:tcPr>
          <w:p>
            <w:r>
              <w:rPr>
                <w:b w:val="false"/>
                <w:bCs w:val="false"/>
                <w:color w:val="222222"/>
              </w:rPr>
              <w:t xml:space="preserve">Organic, unsafe for humans but not contaminated</w:t>
            </w:r>
          </w:p>
        </w:tc>
      </w:tr>
      <w:tr>
        <w:tc>
          <w:tcPr>
            <w:tcW w:type="dxa" w:w="900"/>
            <w:shd w:fill="FFFFFF" w:val="clear"/>
            <w:tcMar>
              <w:top w:type="dxa" w:w="80"/>
              <w:left w:type="dxa" w:w="120"/>
              <w:bottom w:type="dxa" w:w="80"/>
              <w:right w:type="dxa" w:w="120"/>
            </w:tcMar>
          </w:tcPr>
          <w:p>
            <w:r>
              <w:rPr>
                <w:b w:val="false"/>
                <w:bCs w:val="false"/>
                <w:color w:val="222222"/>
              </w:rPr>
              <w:t xml:space="preserve">3</w:t>
            </w:r>
          </w:p>
        </w:tc>
        <w:tc>
          <w:tcPr>
            <w:tcW w:type="dxa" w:w="4560"/>
            <w:shd w:fill="FFFFFF" w:val="clear"/>
            <w:tcMar>
              <w:top w:type="dxa" w:w="80"/>
              <w:left w:type="dxa" w:w="120"/>
              <w:bottom w:type="dxa" w:w="80"/>
              <w:right w:type="dxa" w:w="120"/>
            </w:tcMar>
          </w:tcPr>
          <w:p>
            <w:r>
              <w:rPr>
                <w:b w:val="false"/>
                <w:bCs w:val="false"/>
                <w:color w:val="222222"/>
              </w:rPr>
              <w:t xml:space="preserve">Industrial reuse (biodiesel, oils/fats)</w:t>
            </w:r>
          </w:p>
        </w:tc>
        <w:tc>
          <w:tcPr>
            <w:tcW w:type="dxa" w:w="3900"/>
            <w:shd w:fill="FFFFFF" w:val="clear"/>
            <w:tcMar>
              <w:top w:type="dxa" w:w="80"/>
              <w:left w:type="dxa" w:w="120"/>
              <w:bottom w:type="dxa" w:w="80"/>
              <w:right w:type="dxa" w:w="120"/>
            </w:tcMar>
          </w:tcPr>
          <w:p>
            <w:r>
              <w:rPr>
                <w:b w:val="false"/>
                <w:bCs w:val="false"/>
                <w:color w:val="222222"/>
              </w:rPr>
              <w:t xml:space="preserve">Non-food-safe organic matter with reusable inputs</w:t>
            </w:r>
          </w:p>
        </w:tc>
      </w:tr>
      <w:tr>
        <w:tc>
          <w:tcPr>
            <w:tcW w:type="dxa" w:w="900"/>
            <w:shd w:fill="EAF3EC" w:val="clear"/>
            <w:tcMar>
              <w:top w:type="dxa" w:w="80"/>
              <w:left w:type="dxa" w:w="120"/>
              <w:bottom w:type="dxa" w:w="80"/>
              <w:right w:type="dxa" w:w="120"/>
            </w:tcMar>
          </w:tcPr>
          <w:p>
            <w:r>
              <w:rPr>
                <w:b w:val="false"/>
                <w:bCs w:val="false"/>
                <w:color w:val="222222"/>
              </w:rPr>
              <w:t xml:space="preserve">4</w:t>
            </w:r>
          </w:p>
        </w:tc>
        <w:tc>
          <w:tcPr>
            <w:tcW w:type="dxa" w:w="4560"/>
            <w:shd w:fill="EAF3EC" w:val="clear"/>
            <w:tcMar>
              <w:top w:type="dxa" w:w="80"/>
              <w:left w:type="dxa" w:w="120"/>
              <w:bottom w:type="dxa" w:w="80"/>
              <w:right w:type="dxa" w:w="120"/>
            </w:tcMar>
          </w:tcPr>
          <w:p>
            <w:r>
              <w:rPr>
                <w:b w:val="false"/>
                <w:bCs w:val="false"/>
                <w:color w:val="222222"/>
              </w:rPr>
              <w:t xml:space="preserve">Composting</w:t>
            </w:r>
          </w:p>
        </w:tc>
        <w:tc>
          <w:tcPr>
            <w:tcW w:type="dxa" w:w="3900"/>
            <w:shd w:fill="EAF3EC" w:val="clear"/>
            <w:tcMar>
              <w:top w:type="dxa" w:w="80"/>
              <w:left w:type="dxa" w:w="120"/>
              <w:bottom w:type="dxa" w:w="80"/>
              <w:right w:type="dxa" w:w="120"/>
            </w:tcMar>
          </w:tcPr>
          <w:p>
            <w:r>
              <w:rPr>
                <w:b w:val="false"/>
                <w:bCs w:val="false"/>
                <w:color w:val="222222"/>
              </w:rPr>
              <w:t xml:space="preserve">Unsellable organic waste</w:t>
            </w:r>
          </w:p>
        </w:tc>
      </w:tr>
      <w:tr>
        <w:tc>
          <w:tcPr>
            <w:tcW w:type="dxa" w:w="900"/>
            <w:shd w:fill="FFFFFF" w:val="clear"/>
            <w:tcMar>
              <w:top w:type="dxa" w:w="80"/>
              <w:left w:type="dxa" w:w="120"/>
              <w:bottom w:type="dxa" w:w="80"/>
              <w:right w:type="dxa" w:w="120"/>
            </w:tcMar>
          </w:tcPr>
          <w:p>
            <w:r>
              <w:rPr>
                <w:b w:val="false"/>
                <w:bCs w:val="false"/>
                <w:color w:val="222222"/>
              </w:rPr>
              <w:t xml:space="preserve">5</w:t>
            </w:r>
          </w:p>
        </w:tc>
        <w:tc>
          <w:tcPr>
            <w:tcW w:type="dxa" w:w="4560"/>
            <w:shd w:fill="FFFFFF" w:val="clear"/>
            <w:tcMar>
              <w:top w:type="dxa" w:w="80"/>
              <w:left w:type="dxa" w:w="120"/>
              <w:bottom w:type="dxa" w:w="80"/>
              <w:right w:type="dxa" w:w="120"/>
            </w:tcMar>
          </w:tcPr>
          <w:p>
            <w:r>
              <w:rPr>
                <w:b w:val="false"/>
                <w:bCs w:val="false"/>
                <w:color w:val="222222"/>
              </w:rPr>
              <w:t xml:space="preserve">Anaerobic digestion</w:t>
            </w:r>
          </w:p>
        </w:tc>
        <w:tc>
          <w:tcPr>
            <w:tcW w:type="dxa" w:w="3900"/>
            <w:shd w:fill="FFFFFF" w:val="clear"/>
            <w:tcMar>
              <w:top w:type="dxa" w:w="80"/>
              <w:left w:type="dxa" w:w="120"/>
              <w:bottom w:type="dxa" w:w="80"/>
              <w:right w:type="dxa" w:w="120"/>
            </w:tcMar>
          </w:tcPr>
          <w:p>
            <w:r>
              <w:rPr>
                <w:b w:val="false"/>
                <w:bCs w:val="false"/>
                <w:color w:val="222222"/>
              </w:rPr>
              <w:t xml:space="preserve">Large-volume commercial food waste → biogas + fertilizer</w:t>
            </w:r>
          </w:p>
        </w:tc>
      </w:tr>
      <w:tr>
        <w:tc>
          <w:tcPr>
            <w:tcW w:type="dxa" w:w="900"/>
            <w:shd w:fill="EAF3EC" w:val="clear"/>
            <w:tcMar>
              <w:top w:type="dxa" w:w="80"/>
              <w:left w:type="dxa" w:w="120"/>
              <w:bottom w:type="dxa" w:w="80"/>
              <w:right w:type="dxa" w:w="120"/>
            </w:tcMar>
          </w:tcPr>
          <w:p>
            <w:r>
              <w:rPr>
                <w:b w:val="false"/>
                <w:bCs w:val="false"/>
                <w:color w:val="222222"/>
              </w:rPr>
              <w:t xml:space="preserve">6</w:t>
            </w:r>
          </w:p>
        </w:tc>
        <w:tc>
          <w:tcPr>
            <w:tcW w:type="dxa" w:w="4560"/>
            <w:shd w:fill="EAF3EC" w:val="clear"/>
            <w:tcMar>
              <w:top w:type="dxa" w:w="80"/>
              <w:left w:type="dxa" w:w="120"/>
              <w:bottom w:type="dxa" w:w="80"/>
              <w:right w:type="dxa" w:w="120"/>
            </w:tcMar>
          </w:tcPr>
          <w:p>
            <w:r>
              <w:rPr>
                <w:b w:val="false"/>
                <w:bCs w:val="false"/>
                <w:color w:val="222222"/>
              </w:rPr>
              <w:t xml:space="preserve">Landfill (last resort)</w:t>
            </w:r>
          </w:p>
        </w:tc>
        <w:tc>
          <w:tcPr>
            <w:tcW w:type="dxa" w:w="3900"/>
            <w:shd w:fill="EAF3EC" w:val="clear"/>
            <w:tcMar>
              <w:top w:type="dxa" w:w="80"/>
              <w:left w:type="dxa" w:w="120"/>
              <w:bottom w:type="dxa" w:w="80"/>
              <w:right w:type="dxa" w:w="120"/>
            </w:tcMar>
          </w:tcPr>
          <w:p>
            <w:r>
              <w:rPr>
                <w:b w:val="false"/>
                <w:bCs w:val="false"/>
                <w:color w:val="222222"/>
              </w:rPr>
              <w:t xml:space="preserve">Contaminated/unsafe only</w:t>
            </w:r>
          </w:p>
        </w:tc>
      </w:tr>
    </w:tbl>
    <w:p>
      <w:pPr>
        <w:spacing w:after="120"/>
      </w:pPr>
      <w:r>
        <w:rPr>
          <w:i/>
          <w:iCs/>
          <w:color w:val="555555"/>
        </w:rPr>
        <w:t xml:space="preserve">This hierarchy mirrors the EPA/FAO food recovery hierarchy: prevention and redistribution first, landfill only when nothing else is safe or possible.</w:t>
      </w:r>
    </w:p>
    <w:p>
      <w:pPr>
        <w:pStyle w:val="Heading2"/>
        <w:spacing w:after="120" w:before="260"/>
      </w:pPr>
      <w:r>
        <w:rPr>
          <w:b/>
          <w:bCs/>
          <w:color w:val="1F6F4A"/>
        </w:rPr>
        <w:t xml:space="preserve">3.5 — Category Handoff (how the four parts connect)</w:t>
      </w:r>
    </w:p>
    <w:p>
      <w:pPr>
        <w:pStyle w:val="ListParagraph"/>
        <w:numPr>
          <w:ilvl w:val="0"/>
          <w:numId w:val="2"/>
        </w:numPr>
        <w:spacing w:after="60"/>
      </w:pPr>
      <w:r>
        <w:t xml:space="preserve">Raw/Unripe → hands off to Edible tracking once it reaches a ripening center or distribution hub.</w:t>
      </w:r>
    </w:p>
    <w:p>
      <w:pPr>
        <w:pStyle w:val="ListParagraph"/>
        <w:numPr>
          <w:ilvl w:val="0"/>
          <w:numId w:val="2"/>
        </w:numPr>
        <w:spacing w:after="60"/>
      </w:pPr>
      <w:r>
        <w:t xml:space="preserve">Edible → if the freshness score drops below a threshold before sale, hands off to Almost-Bad routing instead of continuing on its original plan.</w:t>
      </w:r>
    </w:p>
    <w:p>
      <w:pPr>
        <w:pStyle w:val="ListParagraph"/>
        <w:numPr>
          <w:ilvl w:val="0"/>
          <w:numId w:val="2"/>
        </w:numPr>
        <w:spacing w:after="60"/>
      </w:pPr>
      <w:r>
        <w:t xml:space="preserve">Almost-Bad → if it isn't sold/donated in time, hands off to the Expired recovery hierarchy.</w:t>
      </w:r>
    </w:p>
    <w:p>
      <w:pPr>
        <w:pStyle w:val="ListParagraph"/>
        <w:numPr>
          <w:ilvl w:val="0"/>
          <w:numId w:val="2"/>
        </w:numPr>
        <w:spacing w:after="60"/>
      </w:pPr>
      <w:r>
        <w:t xml:space="preserve">This handoff chain is what makes the four teammates' work into one connected pipeline instead of four separate tools.</w:t>
      </w:r>
    </w:p>
    <w:p>
      <w:pPr>
        <w:pStyle w:val="Heading1"/>
        <w:pBdr>
          <w:bottom w:val="single" w:color="1F6F4A" w:sz="8" w:space="4"/>
        </w:pBdr>
        <w:spacing w:after="160" w:before="360"/>
      </w:pPr>
      <w:r>
        <w:rPr>
          <w:b/>
          <w:bCs/>
          <w:color w:val="1F6F4A"/>
        </w:rPr>
        <w:t xml:space="preserve">SDG Alignment (Whole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500"/>
      </w:tblGrid>
      <w:tr>
        <w:tc>
          <w:tcPr>
            <w:tcW w:type="dxa" w:w="2860"/>
            <w:shd w:fill="1F6F4A" w:val="clear"/>
            <w:tcMar>
              <w:top w:type="dxa" w:w="80"/>
              <w:left w:type="dxa" w:w="120"/>
              <w:bottom w:type="dxa" w:w="80"/>
              <w:right w:type="dxa" w:w="120"/>
            </w:tcMar>
          </w:tcPr>
          <w:p>
            <w:r>
              <w:rPr>
                <w:b/>
                <w:bCs/>
                <w:color w:val="FFFFFF"/>
              </w:rPr>
              <w:t xml:space="preserve">SDG</w:t>
            </w:r>
          </w:p>
        </w:tc>
        <w:tc>
          <w:tcPr>
            <w:tcW w:type="dxa" w:w="6500"/>
            <w:shd w:fill="1F6F4A" w:val="clear"/>
            <w:tcMar>
              <w:top w:type="dxa" w:w="80"/>
              <w:left w:type="dxa" w:w="120"/>
              <w:bottom w:type="dxa" w:w="80"/>
              <w:right w:type="dxa" w:w="120"/>
            </w:tcMar>
          </w:tcPr>
          <w:p>
            <w:r>
              <w:rPr>
                <w:b/>
                <w:bCs/>
                <w:color w:val="FFFFFF"/>
              </w:rPr>
              <w:t xml:space="preserve">How This Project Supports It</w:t>
            </w:r>
          </w:p>
        </w:tc>
      </w:tr>
      <w:tr>
        <w:tc>
          <w:tcPr>
            <w:tcW w:type="dxa" w:w="2860"/>
            <w:shd w:fill="FFFFFF" w:val="clear"/>
            <w:tcMar>
              <w:top w:type="dxa" w:w="80"/>
              <w:left w:type="dxa" w:w="120"/>
              <w:bottom w:type="dxa" w:w="80"/>
              <w:right w:type="dxa" w:w="120"/>
            </w:tcMar>
          </w:tcPr>
          <w:p>
            <w:r>
              <w:rPr>
                <w:b w:val="false"/>
                <w:bCs w:val="false"/>
                <w:color w:val="222222"/>
              </w:rPr>
              <w:t xml:space="preserve">SDG 2 — Zero Hunger</w:t>
            </w:r>
          </w:p>
        </w:tc>
        <w:tc>
          <w:tcPr>
            <w:tcW w:type="dxa" w:w="6500"/>
            <w:shd w:fill="FFFFFF" w:val="clear"/>
            <w:tcMar>
              <w:top w:type="dxa" w:w="80"/>
              <w:left w:type="dxa" w:w="120"/>
              <w:bottom w:type="dxa" w:w="80"/>
              <w:right w:type="dxa" w:w="120"/>
            </w:tcMar>
          </w:tcPr>
          <w:p>
            <w:r>
              <w:rPr>
                <w:b w:val="false"/>
                <w:bCs w:val="false"/>
                <w:color w:val="222222"/>
              </w:rPr>
              <w:t xml:space="preserve">Less food lost across every stage means more food actually reaches people who need it.</w:t>
            </w:r>
          </w:p>
        </w:tc>
      </w:tr>
      <w:tr>
        <w:tc>
          <w:tcPr>
            <w:tcW w:type="dxa" w:w="2860"/>
            <w:shd w:fill="EAF3EC" w:val="clear"/>
            <w:tcMar>
              <w:top w:type="dxa" w:w="80"/>
              <w:left w:type="dxa" w:w="120"/>
              <w:bottom w:type="dxa" w:w="80"/>
              <w:right w:type="dxa" w:w="120"/>
            </w:tcMar>
          </w:tcPr>
          <w:p>
            <w:r>
              <w:rPr>
                <w:b w:val="false"/>
                <w:bCs w:val="false"/>
                <w:color w:val="222222"/>
              </w:rPr>
              <w:t xml:space="preserve">SDG 12 — Responsible Consumption &amp; Production</w:t>
            </w:r>
          </w:p>
        </w:tc>
        <w:tc>
          <w:tcPr>
            <w:tcW w:type="dxa" w:w="6500"/>
            <w:shd w:fill="EAF3EC" w:val="clear"/>
            <w:tcMar>
              <w:top w:type="dxa" w:w="80"/>
              <w:left w:type="dxa" w:w="120"/>
              <w:bottom w:type="dxa" w:w="80"/>
              <w:right w:type="dxa" w:w="120"/>
            </w:tcMar>
          </w:tcPr>
          <w:p>
            <w:r>
              <w:rPr>
                <w:b w:val="false"/>
                <w:bCs w:val="false"/>
                <w:color w:val="222222"/>
              </w:rPr>
              <w:t xml:space="preserve">Target 12.3 (halve food waste, reduce food loss along supply chains) is the direct goal of the categorization + routing logic.</w:t>
            </w:r>
          </w:p>
        </w:tc>
      </w:tr>
      <w:tr>
        <w:tc>
          <w:tcPr>
            <w:tcW w:type="dxa" w:w="2860"/>
            <w:shd w:fill="FFFFFF" w:val="clear"/>
            <w:tcMar>
              <w:top w:type="dxa" w:w="80"/>
              <w:left w:type="dxa" w:w="120"/>
              <w:bottom w:type="dxa" w:w="80"/>
              <w:right w:type="dxa" w:w="120"/>
            </w:tcMar>
          </w:tcPr>
          <w:p>
            <w:r>
              <w:rPr>
                <w:b w:val="false"/>
                <w:bCs w:val="false"/>
                <w:color w:val="222222"/>
              </w:rPr>
              <w:t xml:space="preserve">SDG 13 — Climate Action</w:t>
            </w:r>
          </w:p>
        </w:tc>
        <w:tc>
          <w:tcPr>
            <w:tcW w:type="dxa" w:w="6500"/>
            <w:shd w:fill="FFFFFF" w:val="clear"/>
            <w:tcMar>
              <w:top w:type="dxa" w:w="80"/>
              <w:left w:type="dxa" w:w="120"/>
              <w:bottom w:type="dxa" w:w="80"/>
              <w:right w:type="dxa" w:w="120"/>
            </w:tcMar>
          </w:tcPr>
          <w:p>
            <w:r>
              <w:rPr>
                <w:b w:val="false"/>
                <w:bCs w:val="false"/>
                <w:color w:val="222222"/>
              </w:rPr>
              <w:t xml:space="preserve">Preventing spoilage avoids wasted farming, transport, and refrigeration emissions, and diverting waste from landfill cuts methane.</w:t>
            </w:r>
          </w:p>
        </w:tc>
      </w:tr>
      <w:tr>
        <w:tc>
          <w:tcPr>
            <w:tcW w:type="dxa" w:w="2860"/>
            <w:shd w:fill="EAF3EC" w:val="clear"/>
            <w:tcMar>
              <w:top w:type="dxa" w:w="80"/>
              <w:left w:type="dxa" w:w="120"/>
              <w:bottom w:type="dxa" w:w="80"/>
              <w:right w:type="dxa" w:w="120"/>
            </w:tcMar>
          </w:tcPr>
          <w:p>
            <w:r>
              <w:rPr>
                <w:b w:val="false"/>
                <w:bCs w:val="false"/>
                <w:color w:val="222222"/>
              </w:rPr>
              <w:t xml:space="preserve">SDG 9 — Industry, Innovation &amp; Infrastructure</w:t>
            </w:r>
          </w:p>
        </w:tc>
        <w:tc>
          <w:tcPr>
            <w:tcW w:type="dxa" w:w="6500"/>
            <w:shd w:fill="EAF3EC" w:val="clear"/>
            <w:tcMar>
              <w:top w:type="dxa" w:w="80"/>
              <w:left w:type="dxa" w:w="120"/>
              <w:bottom w:type="dxa" w:w="80"/>
              <w:right w:type="dxa" w:w="120"/>
            </w:tcMar>
          </w:tcPr>
          <w:p>
            <w:r>
              <w:rPr>
                <w:b w:val="false"/>
                <w:bCs w:val="false"/>
                <w:color w:val="222222"/>
              </w:rPr>
              <w:t xml:space="preserve">The IoT + predictive-AI system is itself a piece of smart logistics infrastructure.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2026-09-25T14:57:18.626Z</dcterms:created>
  <dcterms:modified xsi:type="dcterms:W3CDTF">2026-09-25T14:57:18.638Z</dcterms:modified>
</cp:coreProperties>
</file>

<file path=docProps/custom.xml><?xml version="1.0" encoding="utf-8"?>
<Properties xmlns="http://schemas.openxmlformats.org/officeDocument/2006/custom-properties" xmlns:vt="http://schemas.openxmlformats.org/officeDocument/2006/docPropsVTypes"/>
</file>