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5A7E6DF" Type="http://schemas.openxmlformats.org/officeDocument/2006/relationships/officeDocument" Target="/word/document.xml" /><Relationship Id="coreR65A7E6D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0"/>
          <w:color w:val="D9D9D9"/>
          <w:sz w:val="24"/>
          <w:u w:val="single" w:color="D9D9D9"/>
        </w:rPr>
      </w:pPr>
      <w:bookmarkStart w:id="0" w:name="docs-internal-guid-6cbd4356-7fff-b55e-8e"/>
      <w:bookmarkEnd w:id="0"/>
      <w:r>
        <w:rPr>
          <w:rFonts w:ascii="Arial" w:hAnsi="Arial"/>
          <w:b w:val="1"/>
          <w:i w:val="0"/>
          <w:color w:val="D9D9D9"/>
          <w:sz w:val="24"/>
          <w:u w:val="single" w:color="D9D9D9"/>
        </w:rPr>
        <w:t>Gesak</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Gesak is the second planet in the Ahmde system, and serves as the homeworld for the Gesan and the capital world for the Vogelian Supremacy. With conditions roughly equal to Earth outside of a missing axial tilt, this world is orbited by a single moon with its capability for having life being nominal. Most of its resources are drained, and the planet itself is slated for being mostly covered in megacities. It is a beacon of pride however, and has six space elevators on its equator combined with a large array of orbital infrastructure. The moon’s surface has also been mostly converted into a military base designed for defensive actions, leaving the planet difficult to ever assault. The current population consists of 37 billion Gesan.</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8</cp:revision>
</cp:coreProperties>
</file>