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C93603C" Type="http://schemas.openxmlformats.org/officeDocument/2006/relationships/officeDocument" Target="/word/document.xml" /><Relationship Id="coreR4C93603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e6cde9c7-7fff-912e-68"/>
      <w:bookmarkEnd w:id="0"/>
      <w:r>
        <w:rPr>
          <w:rFonts w:ascii="Arial" w:hAnsi="Arial"/>
          <w:b w:val="1"/>
          <w:i w:val="0"/>
          <w:color w:val="D9D9D9"/>
          <w:sz w:val="24"/>
          <w:u w:val="single" w:color="D9D9D9"/>
        </w:rPr>
        <w:t>Oluseman Asteroid Debris Field</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Though not technically a celestial body, the asteroid field of the Oluseman system is noted for its abnormal size and density. While the Chivrakis and Ahmde star systems possess zero true asteroid fields, the Oluseman system has enough asteroids to effectively surround the star system in a cloud of debris which lessens the amount of light visible to the worlds of other systems. Its close proximity marks it to be properly part of the star system as well, and its dense nature makes stray asteroids an incredible rarity, leaving the local planets unmarked by impacts despite being surrounded by such a field. The Vogelian Supremacy has as such exploited this to its full, with enormous strip mining operations being conducted to obtain as much raw metal as possible for their own demands. A marked military presence also keeps such minerals secure, while helping watch over the system as a whole. Though disparate, there is technically a proper population, with the current numbers being 18 million Gesan and three million Vingresan. </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17</cp:revision>
</cp:coreProperties>
</file>