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171A2F9" Type="http://schemas.openxmlformats.org/officeDocument/2006/relationships/officeDocument" Target="/word/document.xml" /><Relationship Id="coreR5171A2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A</w:t>
      </w:r>
      <w:r>
        <w:t>griculture</w:t>
      </w:r>
    </w:p>
    <w:p>
      <w:pPr>
        <w:pStyle w:val="P7"/>
        <w:widowControl w:val="1"/>
        <w:jc w:val="both"/>
      </w:pPr>
      <w:r>
        <w:rPr>
          <w:b w:val="1"/>
          <w:color w:val="D9D9D9"/>
        </w:rPr>
        <w:tab/>
      </w:r>
      <w:r>
        <w:rPr>
          <w:color w:val="D9D9D9"/>
        </w:rPr>
        <w:t>Despite the impression of a possibly backwards nation, domestic technology has advanced enough to also enable a surprisingly efficient agricultural district with appealing foodstuffs. Hydroponic systems have been compacted enough to allow the mass supply of crops for either fresh eating or usage in recipes while ranching was pushed forward by the discovery of a rapidly producing oversized insect species that held large protein stores. This insect was then quickly discovered to hold an easily modified taste, making it widely applicable for meat produce. This has combined with an enormous amount of convenience items such as pressure based cooking pots, minor robot assistants, automated food preparation processes, and more to enable even the common citizen to cook nearly anything they want. Despite this, sea-based creatures and generally exotic animals have ended up being delicacies, marking a gap in what kind of food can be expected despite the advances in producing it.</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3</cp:revision>
</cp:coreProperties>
</file>