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3DE07C" Type="http://schemas.openxmlformats.org/officeDocument/2006/relationships/officeDocument" Target="/word/document.xml" /><Relationship Id="coreRA3DE0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Transit</w:t>
      </w:r>
    </w:p>
    <w:p>
      <w:pPr>
        <w:pStyle w:val="P7"/>
        <w:widowControl w:val="1"/>
        <w:jc w:val="both"/>
      </w:pPr>
      <w:r>
        <w:rPr>
          <w:color w:val="D9D9D9"/>
        </w:rPr>
        <w:tab/>
        <w:t>Public transportation has also been heavily affected over time, and was pushed forward due to city roads not being able to handle both constant military movement and enormous congestion from the quantity of cars originally utilized by the many civilians. Various methods of efficient public transportation would be tested as such over time, and eventually a dual-method transportation system was reached. For smaller distances, an underground train system utilizing superconductor rails has been emplaced, with the metro system doubling as a form of shelter against apocalyptic bombardments thanks to its depth. For longer, intercontinental distances however, a full hyperloop system also found underground is used, with separate rails being utilized for both distances by the military to have secure travel and cargo transportation. This does extend into space elevators though, as orbital shuttles can be taken at the top to secondary spaceports intended for basic travel across the planet. This also connects with general orbital infrastructures that normally features defensive stations that are supplied from below. Otherwise, atmospheric dropships take the main form of aboveground travel, with the city roads usually only having a few armored cars or military convoys passing through them.</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7</cp:revision>
</cp:coreProperties>
</file>