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风险评估</w:t>
      </w:r>
    </w:p>
    <w:p>
      <w:r>
        <w:t>付款期限为三十天。</w:t>
      </w:r>
    </w:p>
    <w:tbl>
      <w:tr>
        <w:tc>
          <w:p>
            <w:r>
              <w:t>项目</w:t>
            </w:r>
          </w:p>
        </w:tc>
        <w:tc>
          <w:p>
            <w:r>
              <w:t>金额</w:t>
            </w:r>
          </w:p>
        </w:tc>
      </w:tr>
      <w:tr>
        <w:tc>
          <w:p>
            <w:r>
              <w:t>设备</w:t>
            </w:r>
          </w:p>
        </w:tc>
        <w:tc>
          <w:p>
            <w:r>
              <w:t>42</w:t>
            </w:r>
          </w:p>
        </w:tc>
      </w:tr>
    </w:tbl>
  </w:body>
</w:document>
</file>