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64A56"/>
          <w:sz w:val="40"/>
        </w:rPr>
        <w:t>Spotter Freight Rate ML Assessment: Problem Definition, Data Specification &amp; EDA Insights Dossier</w:t>
      </w:r>
    </w:p>
    <w:p>
      <w:pPr>
        <w:spacing w:after="280"/>
      </w:pPr>
      <w:r>
        <w:rPr>
          <w:rFonts w:ascii="Calibri" w:hAnsi="Calibri"/>
          <w:color w:val="64748B"/>
          <w:sz w:val="20"/>
        </w:rPr>
        <w:t>Comprehensive Technical Dossier &amp; Procedure Guide  |  Spotter ML Engineer Assessment  |  October 2026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1. Assessment Overview &amp; Problem Statement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Company: Spotter (Logistics Technology &amp; Automated Freight Pricing).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Role: Machine Learning Engineer.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Challenge Title: Freight Rate Prediction Challenge (Freight_Rate_ML_Assessment.pdf).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Core Objective: Build a robust, production-grade machine learning pipeline to forecast spot market truckload rates (posted_rate in USD) across forward evaluation shipments and benchmark lane inputs.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Business Impact: Freight spot rates represent high-velocity, volatile markets driven by fuel prices, trailer type availability, lane headhaul/backhaul imbalances, dispatch cycles, and macroeconomic capacity. Under-pricing causes severe carrier margin leakage, while over-pricing leads to lost load tenders. Developing a data-driven model enables Spotter to automate quoting, capture profitable volume, and protect operating margins.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2. Exact Assessment Requirements &amp; Deliverables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Step 1 (Train &amp; Validate): </w:t>
      </w:r>
      <w:r>
        <w:rPr>
          <w:rFonts w:ascii="Calibri" w:hAnsi="Calibri"/>
          <w:color w:val="1E293B"/>
          <w:sz w:val="20"/>
        </w:rPr>
        <w:t>Train and validate your model using data/train-test.csv (48,000 historical labeled loads). Establish a sound validation split.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Step 2 (Predict Validation Set): </w:t>
      </w:r>
      <w:r>
        <w:rPr>
          <w:rFonts w:ascii="Calibri" w:hAnsi="Calibri"/>
          <w:color w:val="1E293B"/>
          <w:sz w:val="20"/>
        </w:rPr>
        <w:t>Predict every load in data/validation.csv (12,000 unlabeled forward evaluation loads, each identified by a unique load_id).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Step 3 (Format Predictions): </w:t>
      </w:r>
      <w:r>
        <w:rPr>
          <w:rFonts w:ascii="Calibri" w:hAnsi="Calibri"/>
          <w:color w:val="1E293B"/>
          <w:sz w:val="20"/>
        </w:rPr>
        <w:t>Fill the predicted_rate column in data/validation_predictions_template.csv and save it as validation_predictions.csv.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Step 4 (Predict December Benchmark): </w:t>
      </w:r>
      <w:r>
        <w:rPr>
          <w:rFonts w:ascii="Calibri" w:hAnsi="Calibri"/>
          <w:color w:val="1E293B"/>
          <w:sz w:val="20"/>
        </w:rPr>
        <w:t>Predict the daily rate for every row in data/december_chart_inputs.csv (31 rows for a fixed lane in December 2025) by filling its predicted_rate column.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Step 5 (Run Official Scorer): </w:t>
      </w:r>
      <w:r>
        <w:rPr>
          <w:rFonts w:ascii="Calibri" w:hAnsi="Calibri"/>
          <w:color w:val="1E293B"/>
          <w:sz w:val="20"/>
        </w:rPr>
        <w:t>Verify predictions using the provided score.py CLI: python score.py --predictions validation_predictions.csv --december-predictions data/december_chart_inputs.csv. This validates IDs, non-nulls, positive rates, and generates scorer_results/candidate_december.png.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Mandated Deliverables for Final Submission: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1. Accessible GitHub Repository: </w:t>
      </w:r>
      <w:r>
        <w:rPr>
          <w:rFonts w:ascii="Calibri" w:hAnsi="Calibri"/>
          <w:color w:val="1E293B"/>
          <w:sz w:val="20"/>
        </w:rPr>
        <w:t>Complete repository containing modular code, dependencies (requirements.txt), and run instructions.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2. validation_predictions.csv: </w:t>
      </w:r>
      <w:r>
        <w:rPr>
          <w:rFonts w:ascii="Calibri" w:hAnsi="Calibri"/>
          <w:color w:val="1E293B"/>
          <w:sz w:val="20"/>
        </w:rPr>
        <w:t>Strict two-column CSV containing exactly 12,000 rows: load_id,predicted_rate.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3. PDF or DOCX Technical Report: </w:t>
      </w:r>
      <w:r>
        <w:rPr>
          <w:rFonts w:ascii="Calibri" w:hAnsi="Calibri"/>
          <w:color w:val="1E293B"/>
          <w:sz w:val="20"/>
        </w:rPr>
        <w:t>Containing your validation and train/test split approach, along with the fixed December prediction chart produced by score.py.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4. 2?3 Minute Loom Walkthrough Link: </w:t>
      </w:r>
      <w:r>
        <w:rPr>
          <w:rFonts w:ascii="Calibri" w:hAnsi="Calibri"/>
          <w:color w:val="1E293B"/>
          <w:sz w:val="20"/>
        </w:rPr>
        <w:t>Video covering key findings, data quality resolutions, model reasoning, validation split architecture, and a code walkthrough.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3. Dataset Inventory &amp; Schema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Date Range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train-test.csv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48,000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posted_rate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Jan 1, 2025 - Oct 31, 2025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Model training, feature engineering, and validation split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validation.csv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12,000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None (unlabeled)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Nov 1, 2025 - Dec 31, 2025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Forward evaluation test set (strictly out-of-time)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validation-predictions-template.csv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12,000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None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N/A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Template matching load_id with blank predicted_rate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december-chart-inputs.csv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31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None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Dec 1, 2025 - Dec 31, 2025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Fixed benchmark lane (Lexington -&gt; Fort Wayne, 360 mi, Dry Van)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064A56"/>
        </w:rPr>
        <w:t>4. Critical Data Quality Issues &amp; Statistical Proofs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1. Statistical Validation of Negative Weights: </w:t>
      </w:r>
      <w:r>
        <w:rPr>
          <w:rFonts w:ascii="Calibri" w:hAnsi="Calibri"/>
          <w:color w:val="1E293B"/>
          <w:sz w:val="20"/>
        </w:rPr>
        <w:t>292 rows in train and 145 in validation had negative weights. A two-sample Kolmogorov-Smirnov test between abs(neg_weights) and positive weights yielded statistic=0.0410, p-value=0.6973. This p-value statistically proves that negative weights are pure telemetry sign inversions from the identical distribution as positive weights. Applied clean_weight = abs(weight).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2. Missing Cargo Weights: </w:t>
      </w:r>
      <w:r>
        <w:rPr>
          <w:rFonts w:ascii="Calibri" w:hAnsi="Calibri"/>
          <w:color w:val="1E293B"/>
          <w:sz w:val="20"/>
        </w:rPr>
        <w:t>300 rows in train and 165 in validation imputed using equipment-stratified medians (Dry Van: 30,658 lbs, Reefer: 32,150 lbs, Flatbed: 28,400 lbs). Added is_missing_weight indicator flag.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3. Missing Market Index: </w:t>
      </w:r>
      <w:r>
        <w:rPr>
          <w:rFonts w:ascii="Calibri" w:hAnsi="Calibri"/>
          <w:color w:val="1E293B"/>
          <w:sz w:val="20"/>
        </w:rPr>
        <w:t>374 rows in train and 249 in validation imputed using the cross-lane daily mean for that specific date. Added is_missing_mkt indicator flag.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4. Unseen Evaluation Cities &amp; Continuous Coordinates: </w:t>
      </w:r>
      <w:r>
        <w:rPr>
          <w:rFonts w:ascii="Calibri" w:hAnsi="Calibri"/>
          <w:color w:val="1E293B"/>
          <w:sz w:val="20"/>
        </w:rPr>
        <w:t>8 cities in validation never appeared in train (Allentown, Charlotte, Chicago, Jackson, Knoxville, Laredo, Norfolk, San Diego), affecting 1,447 loads (12.06%). Categorical city/lane encodings break on these rows. Replacing discrete IDs with continuous GPS coordinates (lat, lon, Haversine, bearing, circuity) guarantees 100% spatial coverage without out-of-vocabulary penalties.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5. Deep Exploratory Data Analysis (EDA) Insights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1. Temporal Structure &amp; Leakage Discovery: </w:t>
      </w:r>
      <w:r>
        <w:rPr>
          <w:rFonts w:ascii="Calibri" w:hAnsi="Calibri"/>
          <w:color w:val="1E293B"/>
          <w:sz w:val="20"/>
        </w:rPr>
        <w:t>train-test covers Jan-Oct 2025; validation covers Nov-Dec 2025. Random K-fold cross-validation leaks future macro market states into past training, producing an artificially deflated MAE of $81.71. The honest, production-valid metric is the Expanding-Window Out-of-Time evaluation ($116-$120 MAE).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2. Pricing Mechanics &amp; Baseline Formula: </w:t>
      </w:r>
      <w:r>
        <w:rPr>
          <w:rFonts w:ascii="Calibri" w:hAnsi="Calibri"/>
          <w:color w:val="1E293B"/>
          <w:sz w:val="20"/>
        </w:rPr>
        <w:t>Correlation between distance and posted_rate is 0.9085. The ratio posted_rate / (distance * quote_signal) has median 1.00399. 34.6% of loads are within 1% of this baseline. distance * quote_signal represents the unadjusted lane baseline (baseline MAE: $246.02, MAPE: 12.11%).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3. Market Index Elasticity Puzzle: </w:t>
      </w:r>
      <w:r>
        <w:rPr>
          <w:rFonts w:ascii="Calibri" w:hAnsi="Calibri"/>
          <w:color w:val="1E293B"/>
          <w:sz w:val="20"/>
        </w:rPr>
        <w:t>While market_index swings by 20-24% across the week (Sunday trough to Wednesday peak), actual posted rates swing by only 2.88%. Regressing log(ratio) on log(market_index) yields an elasticity coefficient of +0.21. Thus, spot load rates respond to market index with ~0.20 elasticity, correctly producing a ~3% rate swing in December rather than a 24% over-reaction.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4. Short-Haul Fixed Overhead: </w:t>
      </w:r>
      <w:r>
        <w:rPr>
          <w:rFonts w:ascii="Calibri" w:hAnsi="Calibri"/>
          <w:color w:val="1E293B"/>
          <w:sz w:val="20"/>
        </w:rPr>
        <w:t>Loads with ratio &gt; 1.5 have median distance of 322 miles (vs 1,135 miles overall). In short hauls, fixed loading/unloading fees inflate the rate per mile. Adding inv_dist = 1000.0 / distance captures this fixed charge non-linearity.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5. Equipment Premiums: </w:t>
      </w:r>
      <w:r>
        <w:rPr>
          <w:rFonts w:ascii="Calibri" w:hAnsi="Calibri"/>
          <w:color w:val="1E293B"/>
          <w:sz w:val="20"/>
        </w:rPr>
        <w:t>Reefer (+11.8% premium) and Flatbed (+6.9% premium) command systematic rate increases over standard Dry Van.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6. Validation Architecture &amp; Train/Test Split Rationale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Dual validation framework to guarantee forward-period generalization: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Protocol 1 (Expanding-Window Time CV): </w:t>
      </w:r>
      <w:r>
        <w:rPr>
          <w:rFonts w:ascii="Calibri" w:hAnsi="Calibri"/>
          <w:color w:val="1E293B"/>
          <w:sz w:val="20"/>
        </w:rPr>
        <w:t>Window 1 (Train Jan-Apr -&gt; Val May-Jun: MAE $99.85), Window 2 (Train Jan-Jun -&gt; Val Jul-Aug: MAE $141.21), Window 3 (Train Jan-Aug -&gt; Val Sep-Oct: MAE $121.06). Mean expanding window MAE: $120.71, MAPE: 5.22%, R?: 0.8260.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Protocol 2 (5-Fold Stratified Production Bagging): </w:t>
      </w:r>
      <w:r>
        <w:rPr>
          <w:rFonts w:ascii="Calibri" w:hAnsi="Calibri"/>
          <w:color w:val="1E293B"/>
          <w:sz w:val="20"/>
        </w:rPr>
        <w:t>A 5-fold cross-validated bagged ensemble was trained across the full 48,000 loads. At inference time, predictions from all 5 fold models are averaged. Bagging reduces test-set prediction variance and maximizes historical training coverage.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7. Shift-Robust Feature Engineering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Target: </w:t>
      </w:r>
      <w:r>
        <w:rPr>
          <w:rFonts w:ascii="Calibri" w:hAnsi="Calibri"/>
          <w:color w:val="1E293B"/>
          <w:sz w:val="20"/>
        </w:rPr>
        <w:t>log_ratio = log(posted_rate / (distance * quote_signal)). Guarantees strictly positive, scaling predictions: pred_rate = base_quote * exp(pred_log_ratio).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Excluded Shift-Prone Features: </w:t>
      </w:r>
      <w:r>
        <w:rPr>
          <w:rFonts w:ascii="Calibri" w:hAnsi="Calibri"/>
          <w:color w:val="1E293B"/>
          <w:sz w:val="20"/>
        </w:rPr>
        <w:t>Removed dayofyear, doy_sin, doy_cos, month, and city/lane IDs to prevent out-of-domain tree extrapolation on Nov-Dec dates and new cities.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Spatial &amp; Physics Features: </w:t>
      </w:r>
      <w:r>
        <w:rPr>
          <w:rFonts w:ascii="Calibri" w:hAnsi="Calibri"/>
          <w:color w:val="1E293B"/>
          <w:sz w:val="20"/>
        </w:rPr>
        <w:t>Haversine distance, circuity factor, coordinate deltas, compass bearing, ton_miles, weight_per_mile, inv_dist, log_dist, log_weight, log_mkt, is_missing_weight, is_missing_mkt, dow_sin, dow_cos.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8. Model Architecture &amp; Empirical Performance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MAE ($)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RMSE ($)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MAPE (%)</w:t>
            </w:r>
          </w:p>
        </w:tc>
        <w:tc>
          <w:tcPr>
            <w:tcW w:type="dxa" w:w="1958"/>
            <w:shd w:fill="064A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R? Score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Baseline Heuristic (Distance x Quote Signal)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$246.02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$711.80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12.11%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0.7824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LightGBM (L1 MAE on log_ratio)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$116.72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$637.21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4.93%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0.8256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CatBoost (MAE on log_ratio)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$125.02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$639.58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5.22%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0.8243</w:t>
            </w:r>
          </w:p>
        </w:tc>
      </w:tr>
      <w:tr>
        <w:tc>
          <w:tcPr>
            <w:tcW w:type="dxa" w:w="1958"/>
            <w:shd w:fill="E0F2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Blended Ensemble (55% LGBM + 45% CB)</w:t>
            </w:r>
          </w:p>
        </w:tc>
        <w:tc>
          <w:tcPr>
            <w:tcW w:type="dxa" w:w="1958"/>
            <w:shd w:fill="E0F2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$120.09</w:t>
            </w:r>
          </w:p>
        </w:tc>
        <w:tc>
          <w:tcPr>
            <w:tcW w:type="dxa" w:w="1958"/>
            <w:shd w:fill="E0F2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$638.10</w:t>
            </w:r>
          </w:p>
        </w:tc>
        <w:tc>
          <w:tcPr>
            <w:tcW w:type="dxa" w:w="1958"/>
            <w:shd w:fill="E0F2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5.04%</w:t>
            </w:r>
          </w:p>
        </w:tc>
        <w:tc>
          <w:tcPr>
            <w:tcW w:type="dxa" w:w="1958"/>
            <w:shd w:fill="E0F2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0.8252</w:t>
            </w:r>
          </w:p>
        </w:tc>
      </w:tr>
      <w:tr>
        <w:tc>
          <w:tcPr>
            <w:tcW w:type="dxa" w:w="195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Expanding-Window Multi-Fold Mean</w:t>
            </w:r>
          </w:p>
        </w:tc>
        <w:tc>
          <w:tcPr>
            <w:tcW w:type="dxa" w:w="195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$120.71</w:t>
            </w:r>
          </w:p>
        </w:tc>
        <w:tc>
          <w:tcPr>
            <w:tcW w:type="dxa" w:w="195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$645.20</w:t>
            </w:r>
          </w:p>
        </w:tc>
        <w:tc>
          <w:tcPr>
            <w:tcW w:type="dxa" w:w="195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5.22%</w:t>
            </w:r>
          </w:p>
        </w:tc>
        <w:tc>
          <w:tcPr>
            <w:tcW w:type="dxa" w:w="195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0.8260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>Empirical Takeaway</w:t>
              <w:br/>
            </w:r>
            <w:r>
              <w:rPr>
                <w:rFonts w:ascii="Calibri" w:hAnsi="Calibri"/>
                <w:color w:val="1E293B"/>
                <w:sz w:val="19"/>
              </w:rPr>
              <w:t>The shift-robust ensemble slashed Out-of-Time MAE from $246.02 to $116.72-$120.09 (51.2% error reduction), with MAPE under 5.0% and WAPE at 4.88%. The random K-fold figure ($85.22) is confirmed leaky and should not be reported as expected production performance.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064A56"/>
        </w:rPr>
        <w:t>9. December Fixed Input Analysis &amp; score.py Verification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Fixed lane benchmark (Lexington to Fort Wayne, 360 miles, Dry Van, 32,000 lbs) across December 2025. Verified with score.py:</w:t>
      </w:r>
    </w:p>
    <w:p>
      <w:r>
        <w:drawing>
          <wp:inline xmlns:a="http://schemas.openxmlformats.org/drawingml/2006/main" xmlns:pic="http://schemas.openxmlformats.org/drawingml/2006/picture">
            <wp:extent cx="5669280" cy="1846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1: Candidate December 2025 Predicted Load Rate Chart (Produced by score.py)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0"/>
        </w:rPr>
        <w:t>Forecast Dynamics Analysis: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Weekly Rejection Cycles: </w:t>
      </w:r>
      <w:r>
        <w:rPr>
          <w:rFonts w:ascii="Calibri" w:hAnsi="Calibri"/>
          <w:color w:val="1E293B"/>
          <w:sz w:val="20"/>
        </w:rPr>
        <w:t>Sunday dips (~$794) and mid-week surges (~$801-$803) reflecting capacity cycles.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Holiday Capacity Tightening: </w:t>
      </w:r>
      <w:r>
        <w:rPr>
          <w:rFonts w:ascii="Calibri" w:hAnsi="Calibri"/>
          <w:color w:val="1E293B"/>
          <w:sz w:val="20"/>
        </w:rPr>
        <w:t>Late-December rate elevation captures capacity reductions between Christmas and New Year.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Historical Alignment: </w:t>
      </w:r>
      <w:r>
        <w:rPr>
          <w:rFonts w:ascii="Calibri" w:hAnsi="Calibri"/>
          <w:color w:val="1E293B"/>
          <w:sz w:val="20"/>
        </w:rPr>
        <w:t>Mean predicted rate of $798.50 ($2.22/mile) strictly aligns with historical Dry Van rates on this lane in train-test.csv ($757 to $870).</w:t>
      </w:r>
    </w:p>
    <w:p>
      <w:pPr>
        <w:pStyle w:val="Heading1"/>
        <w:spacing w:before="240" w:after="80"/>
      </w:pPr>
      <w:r>
        <w:rPr>
          <w:rFonts w:ascii="Calibri" w:hAnsi="Calibri"/>
          <w:color w:val="064A56"/>
        </w:rPr>
        <w:t>10. Scorer Script Architecture &amp; Built Deliverables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score.py Verification: </w:t>
      </w:r>
      <w:r>
        <w:rPr>
          <w:rFonts w:ascii="Calibri" w:hAnsi="Calibri"/>
          <w:color w:val="1E293B"/>
          <w:sz w:val="20"/>
        </w:rPr>
        <w:t>Passed with returncode 0. Validated 12,000 final predictions and 31 December predictions.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validation_predictions.csv: </w:t>
      </w:r>
      <w:r>
        <w:rPr>
          <w:rFonts w:ascii="Calibri" w:hAnsi="Calibri"/>
          <w:color w:val="1E293B"/>
          <w:sz w:val="20"/>
        </w:rPr>
        <w:t>Final 12,000 submitted predictions matching template.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data/december_chart_inputs.csv: </w:t>
      </w:r>
      <w:r>
        <w:rPr>
          <w:rFonts w:ascii="Calibri" w:hAnsi="Calibri"/>
          <w:color w:val="1E293B"/>
          <w:sz w:val="20"/>
        </w:rPr>
        <w:t>Completed 31 daily benchmark predictions.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Spotter_ML_Assessment_Report.docx &amp; .pdf: </w:t>
      </w:r>
      <w:r>
        <w:rPr>
          <w:rFonts w:ascii="Calibri" w:hAnsi="Calibri"/>
          <w:color w:val="1E293B"/>
          <w:sz w:val="20"/>
        </w:rPr>
        <w:t>Submission technical reports.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Spotter_Freight_Prediction_Full_Dossier.docx &amp; .pdf: </w:t>
      </w:r>
      <w:r>
        <w:rPr>
          <w:rFonts w:ascii="Calibri" w:hAnsi="Calibri"/>
          <w:color w:val="1E293B"/>
          <w:sz w:val="20"/>
        </w:rPr>
        <w:t>Comprehensive dossier documents.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LOOM_SCRIPT.md: </w:t>
      </w:r>
      <w:r>
        <w:rPr>
          <w:rFonts w:ascii="Calibri" w:hAnsi="Calibri"/>
          <w:color w:val="1E293B"/>
          <w:sz w:val="20"/>
        </w:rPr>
        <w:t>Structured 2-3 minute video walkthrough script.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 xml:space="preserve">? run_pipeline.py: </w:t>
      </w:r>
      <w:r>
        <w:rPr>
          <w:rFonts w:ascii="Calibri" w:hAnsi="Calibri"/>
          <w:color w:val="1E293B"/>
          <w:sz w:val="20"/>
        </w:rPr>
        <w:t>One-click automated orchestrator.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