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64A56"/>
          <w:sz w:val="44"/>
        </w:rPr>
        <w:t>Freight Rate ML Assessment: Technical Report &amp; Validation Architecture</w:t>
      </w:r>
    </w:p>
    <w:p>
      <w:pPr>
        <w:spacing w:after="320"/>
      </w:pPr>
      <w:r>
        <w:rPr>
          <w:rFonts w:ascii="Calibri" w:hAnsi="Calibri"/>
          <w:color w:val="64748B"/>
          <w:sz w:val="22"/>
        </w:rPr>
        <w:t>Spotter Machine Learning Engineer Assessment  |  October 2026</w:t>
      </w:r>
    </w:p>
    <w:p>
      <w:pPr>
        <w:pStyle w:val="Heading1"/>
        <w:spacing w:before="240" w:after="120"/>
      </w:pPr>
      <w:r>
        <w:t>1. Executive Summary</w:t>
      </w:r>
    </w:p>
    <w:p>
      <w:r>
        <w:t>This report details the end-to-end machine learning solution engineered for the Spotter Freight Rate Prediction Challenge. The objective is to accurately forecast spot market freight rates (posted_rate) across 12,000 forward evaluation loads (validation.csv) spanning November–December 2025, and predict daily fixed-input rates for a benchmark lane in December 2025 (december-chart-inputs.csv).</w:t>
      </w:r>
    </w:p>
    <w:p>
      <w:r>
        <w:t>By implementing an Out-of-Time Temporal Split, rigorously cleaning anomalous cargo weights and macroeconomic indices, and engineering domain freight physics and cyclical temporal interactions, our bagged gradient-boosted decision tree ensemble (LightGBM + CatBoost) achieved dramatic accuracy gains over industry heuristics:</w:t>
      </w:r>
    </w:p>
    <w:p>
      <w:pPr>
        <w:pStyle w:val="ListBullet"/>
      </w:pPr>
      <w:r>
        <w:rPr>
          <w:b/>
        </w:rPr>
        <w:t>Mean Absolute Error (MAE): Slashed from $232.26 (baseline heuristic) to $115.84 (50.1% error reduction).</w:t>
      </w:r>
    </w:p>
    <w:p>
      <w:pPr>
        <w:pStyle w:val="ListBullet"/>
      </w:pPr>
      <w:r>
        <w:rPr>
          <w:b/>
        </w:rPr>
        <w:t>Mean Absolute Percentage Error (MAPE): Reduced from 11.37% down to 4.86%, demonstrating high pricing fidelity across all haul lengths.</w:t>
      </w:r>
    </w:p>
    <w:p>
      <w:pPr>
        <w:pStyle w:val="ListBullet"/>
      </w:pPr>
      <w:r>
        <w:rPr>
          <w:b/>
        </w:rPr>
        <w:t>Coefficient of Determination (R²): Elevated to 0.8256, explaining &gt;82.5% of out-of-time rate variance.</w:t>
      </w:r>
    </w:p>
    <w:tbl>
      <w:tblPr>
        <w:tblW w:type="auto" w:w="0"/>
        <w:jc w:val="center"/>
        <w:tblLook w:firstColumn="1" w:firstRow="1" w:lastColumn="0" w:lastRow="0" w:noHBand="0" w:noVBand="1" w:val="04A0"/>
      </w:tblPr>
      <w:tblGrid>
        <w:gridCol w:w="9792"/>
      </w:tblGrid>
      <w:tr>
        <w:tc>
          <w:tcPr>
            <w:tcW w:type="dxa" w:w="9792"/>
            <w:shd w:fill="F0F9FF"/>
            <w:tcMar>
              <w:top w:w="140" w:type="dxa"/>
              <w:bottom w:w="140" w:type="dxa"/>
              <w:left w:w="200" w:type="dxa"/>
              <w:right w:w="200" w:type="dxa"/>
            </w:tcMar>
            <w:tcBorders>
              <w:top w:val="none"/>
              <w:left w:val="single" w:sz="36" w:space="0" w:color="0284C7"/>
              <w:bottom w:val="none"/>
              <w:right w:val="none"/>
            </w:tcBorders>
          </w:tcPr>
          <w:p>
            <w:pPr>
              <w:spacing w:before="0" w:after="80"/>
            </w:pPr>
            <w:r>
              <w:rPr>
                <w:rFonts w:ascii="Calibri" w:hAnsi="Calibri"/>
                <w:b/>
                <w:color w:val="0284C7"/>
                <w:sz w:val="21"/>
              </w:rPr>
              <w:t>KEY TAKEAWAY: Production Generalization</w:t>
              <w:br/>
            </w:r>
            <w:r>
              <w:rPr>
                <w:rFonts w:ascii="Calibri" w:hAnsi="Calibri"/>
                <w:color w:val="1E293B"/>
                <w:sz w:val="19"/>
              </w:rPr>
              <w:t>Evaluating models on an Out-of-Time Temporal Split (Train Jan–Aug, Validate Sep–Oct) eliminated lookahead bias and ensured robust out-of-sample pricing fidelity for the Nov–Dec 2025 test window. Final 5-fold ensemble MAE: $85.22.</w:t>
            </w:r>
          </w:p>
        </w:tc>
      </w:tr>
    </w:tbl>
    <w:p/>
    <w:p>
      <w:pPr>
        <w:pStyle w:val="Heading1"/>
      </w:pPr>
      <w:r>
        <w:t>2. Data Exploration &amp; Data Quality Resolutions</w:t>
      </w:r>
    </w:p>
    <w:p>
      <w:r>
        <w:t>Exhaustive exploration of train-test.csv (48,000 records) and validation.csv (12,000 records) uncovered several critical structural anomalies that directly impacted downstream modeling:</w:t>
      </w:r>
    </w:p>
    <w:tbl>
      <w:tblPr>
        <w:tblW w:type="auto" w:w="0"/>
        <w:jc w:val="center"/>
        <w:tblLook w:firstColumn="1" w:firstRow="1" w:lastColumn="0" w:lastRow="0" w:noHBand="0" w:noVBand="1" w:val="04A0"/>
      </w:tblPr>
      <w:tblGrid>
        <w:gridCol w:w="3264"/>
        <w:gridCol w:w="3264"/>
        <w:gridCol w:w="3264"/>
      </w:tblGrid>
      <w:tr>
        <w:tc>
          <w:tcPr>
            <w:tcW w:type="dxa" w:w="3264"/>
            <w:shd w:fill="064A56"/>
            <w:tcMar>
              <w:top w:w="80" w:type="dxa"/>
              <w:bottom w:w="80" w:type="dxa"/>
              <w:left w:w="100" w:type="dxa"/>
              <w:right w:w="100" w:type="dxa"/>
            </w:tcMar>
          </w:tcPr>
          <w:p>
            <w:r>
              <w:rPr>
                <w:b/>
                <w:color w:val="FFFFFF"/>
                <w:sz w:val="19"/>
              </w:rPr>
              <w:t>Data Quality Issue</w:t>
            </w:r>
          </w:p>
        </w:tc>
        <w:tc>
          <w:tcPr>
            <w:tcW w:type="dxa" w:w="3264"/>
            <w:shd w:fill="064A56"/>
            <w:tcMar>
              <w:top w:w="80" w:type="dxa"/>
              <w:bottom w:w="80" w:type="dxa"/>
              <w:left w:w="100" w:type="dxa"/>
              <w:right w:w="100" w:type="dxa"/>
            </w:tcMar>
          </w:tcPr>
          <w:p>
            <w:r>
              <w:rPr>
                <w:b/>
                <w:color w:val="FFFFFF"/>
                <w:sz w:val="19"/>
              </w:rPr>
              <w:t>Observed Prevalence</w:t>
            </w:r>
          </w:p>
        </w:tc>
        <w:tc>
          <w:tcPr>
            <w:tcW w:type="dxa" w:w="3264"/>
            <w:shd w:fill="064A56"/>
            <w:tcMar>
              <w:top w:w="80" w:type="dxa"/>
              <w:bottom w:w="80" w:type="dxa"/>
              <w:left w:w="100" w:type="dxa"/>
              <w:right w:w="100" w:type="dxa"/>
            </w:tcMar>
          </w:tcPr>
          <w:p>
            <w:r>
              <w:rPr>
                <w:b/>
                <w:color w:val="FFFFFF"/>
                <w:sz w:val="19"/>
              </w:rPr>
              <w:t>Engineering Resolution</w:t>
            </w:r>
          </w:p>
        </w:tc>
      </w:tr>
      <w:tr>
        <w:tc>
          <w:tcPr>
            <w:tcW w:type="dxa" w:w="3264"/>
            <w:shd w:fill="F8FAFC"/>
            <w:tcMar>
              <w:top w:w="70" w:type="dxa"/>
              <w:bottom w:w="70" w:type="dxa"/>
              <w:left w:w="100" w:type="dxa"/>
              <w:right w:w="100" w:type="dxa"/>
            </w:tcMar>
          </w:tcPr>
          <w:p>
            <w:r>
              <w:rPr>
                <w:color w:val="1E293B"/>
                <w:sz w:val="18"/>
              </w:rPr>
              <w:t>Negative Cargo Weights</w:t>
            </w:r>
          </w:p>
        </w:tc>
        <w:tc>
          <w:tcPr>
            <w:tcW w:type="dxa" w:w="3264"/>
            <w:shd w:fill="F8FAFC"/>
            <w:tcMar>
              <w:top w:w="70" w:type="dxa"/>
              <w:bottom w:w="70" w:type="dxa"/>
              <w:left w:w="100" w:type="dxa"/>
              <w:right w:w="100" w:type="dxa"/>
            </w:tcMar>
          </w:tcPr>
          <w:p>
            <w:r>
              <w:rPr>
                <w:color w:val="1E293B"/>
                <w:sz w:val="18"/>
              </w:rPr>
              <w:t>292 rows in train, 145 in validation (e.g., -36,559 lbs)</w:t>
            </w:r>
          </w:p>
        </w:tc>
        <w:tc>
          <w:tcPr>
            <w:tcW w:type="dxa" w:w="3264"/>
            <w:shd w:fill="F8FAFC"/>
            <w:tcMar>
              <w:top w:w="70" w:type="dxa"/>
              <w:bottom w:w="70" w:type="dxa"/>
              <w:left w:w="100" w:type="dxa"/>
              <w:right w:w="100" w:type="dxa"/>
            </w:tcMar>
          </w:tcPr>
          <w:p>
            <w:r>
              <w:rPr>
                <w:color w:val="1E293B"/>
                <w:sz w:val="18"/>
              </w:rPr>
              <w:t>Physical impossibility in logistics. Verified sign inversion error; applied absolute value transform abs(weight).</w:t>
            </w:r>
          </w:p>
        </w:tc>
      </w:tr>
      <w:tr>
        <w:tc>
          <w:tcPr>
            <w:tcW w:type="dxa" w:w="3264"/>
            <w:shd w:fill="FFFFFF"/>
            <w:tcMar>
              <w:top w:w="70" w:type="dxa"/>
              <w:bottom w:w="70" w:type="dxa"/>
              <w:left w:w="100" w:type="dxa"/>
              <w:right w:w="100" w:type="dxa"/>
            </w:tcMar>
          </w:tcPr>
          <w:p>
            <w:r>
              <w:rPr>
                <w:color w:val="1E293B"/>
                <w:sz w:val="18"/>
              </w:rPr>
              <w:t>Missing Cargo Weights</w:t>
            </w:r>
          </w:p>
        </w:tc>
        <w:tc>
          <w:tcPr>
            <w:tcW w:type="dxa" w:w="3264"/>
            <w:shd w:fill="FFFFFF"/>
            <w:tcMar>
              <w:top w:w="70" w:type="dxa"/>
              <w:bottom w:w="70" w:type="dxa"/>
              <w:left w:w="100" w:type="dxa"/>
              <w:right w:w="100" w:type="dxa"/>
            </w:tcMar>
          </w:tcPr>
          <w:p>
            <w:r>
              <w:rPr>
                <w:color w:val="1E293B"/>
                <w:sz w:val="18"/>
              </w:rPr>
              <w:t>300 rows in train, 165 in validation</w:t>
            </w:r>
          </w:p>
        </w:tc>
        <w:tc>
          <w:tcPr>
            <w:tcW w:type="dxa" w:w="3264"/>
            <w:shd w:fill="FFFFFF"/>
            <w:tcMar>
              <w:top w:w="70" w:type="dxa"/>
              <w:bottom w:w="70" w:type="dxa"/>
              <w:left w:w="100" w:type="dxa"/>
              <w:right w:w="100" w:type="dxa"/>
            </w:tcMar>
          </w:tcPr>
          <w:p>
            <w:r>
              <w:rPr>
                <w:color w:val="1E293B"/>
                <w:sz w:val="18"/>
              </w:rPr>
              <w:t>Imputed using equipment-stratified medians (Dry Van: 30k lbs, Reefer: 32k lbs, Flatbed: 28k lbs) to preserve physical load profiles.</w:t>
            </w:r>
          </w:p>
        </w:tc>
      </w:tr>
      <w:tr>
        <w:tc>
          <w:tcPr>
            <w:tcW w:type="dxa" w:w="3264"/>
            <w:shd w:fill="F8FAFC"/>
            <w:tcMar>
              <w:top w:w="70" w:type="dxa"/>
              <w:bottom w:w="70" w:type="dxa"/>
              <w:left w:w="100" w:type="dxa"/>
              <w:right w:w="100" w:type="dxa"/>
            </w:tcMar>
          </w:tcPr>
          <w:p>
            <w:r>
              <w:rPr>
                <w:color w:val="1E293B"/>
                <w:sz w:val="18"/>
              </w:rPr>
              <w:t>Missing Market Index</w:t>
            </w:r>
          </w:p>
        </w:tc>
        <w:tc>
          <w:tcPr>
            <w:tcW w:type="dxa" w:w="3264"/>
            <w:shd w:fill="F8FAFC"/>
            <w:tcMar>
              <w:top w:w="70" w:type="dxa"/>
              <w:bottom w:w="70" w:type="dxa"/>
              <w:left w:w="100" w:type="dxa"/>
              <w:right w:w="100" w:type="dxa"/>
            </w:tcMar>
          </w:tcPr>
          <w:p>
            <w:r>
              <w:rPr>
                <w:color w:val="1E293B"/>
                <w:sz w:val="18"/>
              </w:rPr>
              <w:t>374 rows in train, 249 in validation</w:t>
            </w:r>
          </w:p>
        </w:tc>
        <w:tc>
          <w:tcPr>
            <w:tcW w:type="dxa" w:w="3264"/>
            <w:shd w:fill="F8FAFC"/>
            <w:tcMar>
              <w:top w:w="70" w:type="dxa"/>
              <w:bottom w:w="70" w:type="dxa"/>
              <w:left w:w="100" w:type="dxa"/>
              <w:right w:w="100" w:type="dxa"/>
            </w:tcMar>
          </w:tcPr>
          <w:p>
            <w:r>
              <w:rPr>
                <w:color w:val="1E293B"/>
                <w:sz w:val="18"/>
              </w:rPr>
              <w:t>Identified strong daily macroeconomic synchronization. Imputed missing values using the date's cross-lane daily mean market index.</w:t>
            </w:r>
          </w:p>
        </w:tc>
      </w:tr>
      <w:tr>
        <w:tc>
          <w:tcPr>
            <w:tcW w:type="dxa" w:w="3264"/>
            <w:shd w:fill="FFFFFF"/>
            <w:tcMar>
              <w:top w:w="70" w:type="dxa"/>
              <w:bottom w:w="70" w:type="dxa"/>
              <w:left w:w="100" w:type="dxa"/>
              <w:right w:w="100" w:type="dxa"/>
            </w:tcMar>
          </w:tcPr>
          <w:p>
            <w:r>
              <w:rPr>
                <w:color w:val="1E293B"/>
                <w:sz w:val="18"/>
              </w:rPr>
              <w:t>City Coordinate Integrity</w:t>
            </w:r>
          </w:p>
        </w:tc>
        <w:tc>
          <w:tcPr>
            <w:tcW w:type="dxa" w:w="3264"/>
            <w:shd w:fill="FFFFFF"/>
            <w:tcMar>
              <w:top w:w="70" w:type="dxa"/>
              <w:bottom w:w="70" w:type="dxa"/>
              <w:left w:w="100" w:type="dxa"/>
              <w:right w:w="100" w:type="dxa"/>
            </w:tcMar>
          </w:tcPr>
          <w:p>
            <w:r>
              <w:rPr>
                <w:color w:val="1E293B"/>
                <w:sz w:val="18"/>
              </w:rPr>
              <w:t>Lat/Lon coordinates across 72 unique origin/dest nodes</w:t>
            </w:r>
          </w:p>
        </w:tc>
        <w:tc>
          <w:tcPr>
            <w:tcW w:type="dxa" w:w="3264"/>
            <w:shd w:fill="FFFFFF"/>
            <w:tcMar>
              <w:top w:w="70" w:type="dxa"/>
              <w:bottom w:w="70" w:type="dxa"/>
              <w:left w:w="100" w:type="dxa"/>
              <w:right w:w="100" w:type="dxa"/>
            </w:tcMar>
          </w:tcPr>
          <w:p>
            <w:r>
              <w:rPr>
                <w:color w:val="1E293B"/>
                <w:sz w:val="18"/>
              </w:rPr>
              <w:t>Audited all nodes; verified 1:1 deterministic mapping between city names and GPS centroids (e.g., Lexington at 36.99°N, -85.00°W).</w:t>
            </w:r>
          </w:p>
        </w:tc>
      </w:tr>
    </w:tbl>
    <w:p/>
    <w:p>
      <w:pPr>
        <w:pStyle w:val="Heading1"/>
      </w:pPr>
      <w:r>
        <w:t>3. Validation Strategy &amp; Train/Test Split Architecture</w:t>
      </w:r>
    </w:p>
    <w:p>
      <w:r>
        <w:t>A central requirement of the assessment is establishing a sound, defensible validation framework. In freight logistics, freight rates are non-stationary time series influenced by macroeconomic seasonality, diesel fuel cycles, and holiday capacity contractions. As such, standard random K-Fold cross-validation suffers from temporal lookahead leakage—it evaluates the model on past dates using future market signals.</w:t>
      </w:r>
    </w:p>
    <w:p>
      <w:r>
        <w:t>To guarantee real-world generalization, we implemented a dual validation architecture:</w:t>
      </w:r>
    </w:p>
    <w:p>
      <w:r>
        <w:t>1. Out-of-Time Temporal Split (Protocol 1): The 10-month development set was partitioned strictly by date. Months 1–8 (January–August 2025, 38,477 loads) formed the training set; Months 9–10 (September–October 2025, 9,523 loads) served as the unseen forward evaluation holdout. This strictly mirrors the production challenge of deploying an October-trained model onto November–December loads.</w:t>
        <w:br/>
        <w:t>2. 5-Fold Stratified Production Bagging (Protocol 2): After establishing hyperparameter stability on Protocol 1, a 5-fold cross-validated bagged ensemble was trained across the full 48,000 labeled development loads. Averaging predictions across all 5 folds eliminates model variance and provides optimal generalization onto the test sets.</w:t>
      </w:r>
    </w:p>
    <w:p>
      <w:pPr>
        <w:pStyle w:val="Heading1"/>
      </w:pPr>
      <w:r>
        <w:t>4. Feature Engineering &amp; Freight Mechanics</w:t>
      </w:r>
    </w:p>
    <w:p>
      <w:r>
        <w:t>Raw features were expanded with specialized logistics and spatial interactions:</w:t>
      </w:r>
    </w:p>
    <w:p>
      <w:pPr>
        <w:pStyle w:val="ListBullet"/>
      </w:pPr>
      <w:r>
        <w:rPr>
          <w:b/>
        </w:rPr>
        <w:t xml:space="preserve">Haversine Distance &amp; Circuity Factor: </w:t>
      </w:r>
      <w:r>
        <w:t>Calculated straight-line Haversine distance from coordinates. The ratio of actual highway distance to Haversine distance captures route circuity and terrain friction.</w:t>
      </w:r>
    </w:p>
    <w:p>
      <w:pPr>
        <w:pStyle w:val="ListBullet"/>
      </w:pPr>
      <w:r>
        <w:rPr>
          <w:b/>
        </w:rPr>
        <w:t xml:space="preserve">Logistics Physics (Ton-Miles): </w:t>
      </w:r>
      <w:r>
        <w:t>Calculated ton_miles = (clean_weight / 2000) * distance and weight_per_mile. Heavy loads (&gt;35,000 lbs) approach federal gross weight caps and burn significantly more diesel.</w:t>
      </w:r>
    </w:p>
    <w:p>
      <w:pPr>
        <w:pStyle w:val="ListBullet"/>
      </w:pPr>
      <w:r>
        <w:rPr>
          <w:b/>
        </w:rPr>
        <w:t xml:space="preserve">Domain Rate Interactions: </w:t>
      </w:r>
      <w:r>
        <w:t>Formulated base_quote = distance * quote_signal (the unadjusted lane baseline) and mkt_adj_quote = base_quote * clean_mkt. This aligns tree splits directly with standard pricing formulas.</w:t>
      </w:r>
    </w:p>
    <w:p>
      <w:pPr>
        <w:pStyle w:val="ListBullet"/>
      </w:pPr>
      <w:r>
        <w:rPr>
          <w:b/>
        </w:rPr>
        <w:t xml:space="preserve">Cyclical Seasonality Encodings: </w:t>
      </w:r>
      <w:r>
        <w:t>Constructed sin/cos cyclical transforms for dayofweek (7-day logistics cycle) and dayofyear (365.25-day annual cycle), alongside weekend and month-end indicators.</w:t>
      </w:r>
    </w:p>
    <w:p>
      <w:pPr>
        <w:pStyle w:val="Heading1"/>
      </w:pPr>
      <w:r>
        <w:t>5. Model Selection &amp; Empirical Benchmark Evaluation</w:t>
      </w:r>
    </w:p>
    <w:p>
      <w:r>
        <w:t>We compared four modeling paradigms on the out-of-time evaluation set (Sep–Oct 2025 holdout). Crucially, we evaluated loss functions: while MSE loss was overly sensitive to extreme freight rate tails, formulating LightGBM and CatBoost with an L1 Mean Absolute Error (MAE) objective delivered dramatic accuracy improvements and robust outlier resistance.</w:t>
      </w:r>
    </w:p>
    <w:tbl>
      <w:tblPr>
        <w:tblW w:type="auto" w:w="0"/>
        <w:jc w:val="center"/>
        <w:tblLook w:firstColumn="1" w:firstRow="1" w:lastColumn="0" w:lastRow="0" w:noHBand="0" w:noVBand="1" w:val="04A0"/>
      </w:tblPr>
      <w:tblGrid>
        <w:gridCol w:w="1958"/>
        <w:gridCol w:w="1958"/>
        <w:gridCol w:w="1958"/>
        <w:gridCol w:w="1958"/>
        <w:gridCol w:w="1958"/>
      </w:tblGrid>
      <w:tr>
        <w:tc>
          <w:tcPr>
            <w:tcW w:type="dxa" w:w="1958"/>
            <w:shd w:fill="064A56"/>
            <w:tcMar>
              <w:top w:w="80" w:type="dxa"/>
              <w:bottom w:w="80" w:type="dxa"/>
              <w:left w:w="100" w:type="dxa"/>
              <w:right w:w="100" w:type="dxa"/>
            </w:tcMar>
          </w:tcPr>
          <w:p>
            <w:r>
              <w:rPr>
                <w:b/>
                <w:color w:val="FFFFFF"/>
                <w:sz w:val="19"/>
              </w:rPr>
              <w:t>Model Architecture</w:t>
            </w:r>
          </w:p>
        </w:tc>
        <w:tc>
          <w:tcPr>
            <w:tcW w:type="dxa" w:w="1958"/>
            <w:shd w:fill="064A56"/>
            <w:tcMar>
              <w:top w:w="80" w:type="dxa"/>
              <w:bottom w:w="80" w:type="dxa"/>
              <w:left w:w="100" w:type="dxa"/>
              <w:right w:w="100" w:type="dxa"/>
            </w:tcMar>
          </w:tcPr>
          <w:p>
            <w:r>
              <w:rPr>
                <w:b/>
                <w:color w:val="FFFFFF"/>
                <w:sz w:val="19"/>
              </w:rPr>
              <w:t>MAE ($)</w:t>
            </w:r>
          </w:p>
        </w:tc>
        <w:tc>
          <w:tcPr>
            <w:tcW w:type="dxa" w:w="1958"/>
            <w:shd w:fill="064A56"/>
            <w:tcMar>
              <w:top w:w="80" w:type="dxa"/>
              <w:bottom w:w="80" w:type="dxa"/>
              <w:left w:w="100" w:type="dxa"/>
              <w:right w:w="100" w:type="dxa"/>
            </w:tcMar>
          </w:tcPr>
          <w:p>
            <w:r>
              <w:rPr>
                <w:b/>
                <w:color w:val="FFFFFF"/>
                <w:sz w:val="19"/>
              </w:rPr>
              <w:t>RMSE ($)</w:t>
            </w:r>
          </w:p>
        </w:tc>
        <w:tc>
          <w:tcPr>
            <w:tcW w:type="dxa" w:w="1958"/>
            <w:shd w:fill="064A56"/>
            <w:tcMar>
              <w:top w:w="80" w:type="dxa"/>
              <w:bottom w:w="80" w:type="dxa"/>
              <w:left w:w="100" w:type="dxa"/>
              <w:right w:w="100" w:type="dxa"/>
            </w:tcMar>
          </w:tcPr>
          <w:p>
            <w:r>
              <w:rPr>
                <w:b/>
                <w:color w:val="FFFFFF"/>
                <w:sz w:val="19"/>
              </w:rPr>
              <w:t>MAPE (%)</w:t>
            </w:r>
          </w:p>
        </w:tc>
        <w:tc>
          <w:tcPr>
            <w:tcW w:type="dxa" w:w="1958"/>
            <w:shd w:fill="064A56"/>
            <w:tcMar>
              <w:top w:w="80" w:type="dxa"/>
              <w:bottom w:w="80" w:type="dxa"/>
              <w:left w:w="100" w:type="dxa"/>
              <w:right w:w="100" w:type="dxa"/>
            </w:tcMar>
          </w:tcPr>
          <w:p>
            <w:r>
              <w:rPr>
                <w:b/>
                <w:color w:val="FFFFFF"/>
                <w:sz w:val="19"/>
              </w:rPr>
              <w:t>R² Score</w:t>
            </w:r>
          </w:p>
        </w:tc>
      </w:tr>
      <w:tr>
        <w:tc>
          <w:tcPr>
            <w:tcW w:type="dxa" w:w="1958"/>
            <w:shd w:fill="F8FAFC"/>
            <w:tcMar>
              <w:top w:w="70" w:type="dxa"/>
              <w:bottom w:w="70" w:type="dxa"/>
              <w:left w:w="100" w:type="dxa"/>
              <w:right w:w="100" w:type="dxa"/>
            </w:tcMar>
          </w:tcPr>
          <w:p>
            <w:r>
              <w:rPr>
                <w:color w:val="1E293B"/>
                <w:sz w:val="18"/>
              </w:rPr>
              <w:t>Baseline (Distance × Quote Signal)</w:t>
            </w:r>
          </w:p>
        </w:tc>
        <w:tc>
          <w:tcPr>
            <w:tcW w:type="dxa" w:w="1958"/>
            <w:shd w:fill="F8FAFC"/>
            <w:tcMar>
              <w:top w:w="70" w:type="dxa"/>
              <w:bottom w:w="70" w:type="dxa"/>
              <w:left w:w="100" w:type="dxa"/>
              <w:right w:w="100" w:type="dxa"/>
            </w:tcMar>
          </w:tcPr>
          <w:p>
            <w:r>
              <w:rPr>
                <w:color w:val="1E293B"/>
                <w:sz w:val="18"/>
              </w:rPr>
              <w:t>$232.26</w:t>
            </w:r>
          </w:p>
        </w:tc>
        <w:tc>
          <w:tcPr>
            <w:tcW w:type="dxa" w:w="1958"/>
            <w:shd w:fill="F8FAFC"/>
            <w:tcMar>
              <w:top w:w="70" w:type="dxa"/>
              <w:bottom w:w="70" w:type="dxa"/>
              <w:left w:w="100" w:type="dxa"/>
              <w:right w:w="100" w:type="dxa"/>
            </w:tcMar>
          </w:tcPr>
          <w:p>
            <w:r>
              <w:rPr>
                <w:color w:val="1E293B"/>
                <w:sz w:val="18"/>
              </w:rPr>
              <w:t>$674.57</w:t>
            </w:r>
          </w:p>
        </w:tc>
        <w:tc>
          <w:tcPr>
            <w:tcW w:type="dxa" w:w="1958"/>
            <w:shd w:fill="F8FAFC"/>
            <w:tcMar>
              <w:top w:w="70" w:type="dxa"/>
              <w:bottom w:w="70" w:type="dxa"/>
              <w:left w:w="100" w:type="dxa"/>
              <w:right w:w="100" w:type="dxa"/>
            </w:tcMar>
          </w:tcPr>
          <w:p>
            <w:r>
              <w:rPr>
                <w:color w:val="1E293B"/>
                <w:sz w:val="18"/>
              </w:rPr>
              <w:t>11.37%</w:t>
            </w:r>
          </w:p>
        </w:tc>
        <w:tc>
          <w:tcPr>
            <w:tcW w:type="dxa" w:w="1958"/>
            <w:shd w:fill="F8FAFC"/>
            <w:tcMar>
              <w:top w:w="70" w:type="dxa"/>
              <w:bottom w:w="70" w:type="dxa"/>
              <w:left w:w="100" w:type="dxa"/>
              <w:right w:w="100" w:type="dxa"/>
            </w:tcMar>
          </w:tcPr>
          <w:p>
            <w:r>
              <w:rPr>
                <w:color w:val="1E293B"/>
                <w:sz w:val="18"/>
              </w:rPr>
              <w:t>0.7941</w:t>
            </w:r>
          </w:p>
        </w:tc>
      </w:tr>
      <w:tr>
        <w:tc>
          <w:tcPr>
            <w:tcW w:type="dxa" w:w="1958"/>
            <w:shd w:fill="FFFFFF"/>
            <w:tcMar>
              <w:top w:w="70" w:type="dxa"/>
              <w:bottom w:w="70" w:type="dxa"/>
              <w:left w:w="100" w:type="dxa"/>
              <w:right w:w="100" w:type="dxa"/>
            </w:tcMar>
          </w:tcPr>
          <w:p>
            <w:r>
              <w:rPr>
                <w:color w:val="1E293B"/>
                <w:sz w:val="18"/>
              </w:rPr>
              <w:t>LightGBM (L1 MAE Objective)</w:t>
            </w:r>
          </w:p>
        </w:tc>
        <w:tc>
          <w:tcPr>
            <w:tcW w:type="dxa" w:w="1958"/>
            <w:shd w:fill="FFFFFF"/>
            <w:tcMar>
              <w:top w:w="70" w:type="dxa"/>
              <w:bottom w:w="70" w:type="dxa"/>
              <w:left w:w="100" w:type="dxa"/>
              <w:right w:w="100" w:type="dxa"/>
            </w:tcMar>
          </w:tcPr>
          <w:p>
            <w:r>
              <w:rPr>
                <w:color w:val="1E293B"/>
                <w:sz w:val="18"/>
              </w:rPr>
              <w:t>$116.62</w:t>
            </w:r>
          </w:p>
        </w:tc>
        <w:tc>
          <w:tcPr>
            <w:tcW w:type="dxa" w:w="1958"/>
            <w:shd w:fill="FFFFFF"/>
            <w:tcMar>
              <w:top w:w="70" w:type="dxa"/>
              <w:bottom w:w="70" w:type="dxa"/>
              <w:left w:w="100" w:type="dxa"/>
              <w:right w:w="100" w:type="dxa"/>
            </w:tcMar>
          </w:tcPr>
          <w:p>
            <w:r>
              <w:rPr>
                <w:color w:val="1E293B"/>
                <w:sz w:val="18"/>
              </w:rPr>
              <w:t>$637.40</w:t>
            </w:r>
          </w:p>
        </w:tc>
        <w:tc>
          <w:tcPr>
            <w:tcW w:type="dxa" w:w="1958"/>
            <w:shd w:fill="FFFFFF"/>
            <w:tcMar>
              <w:top w:w="70" w:type="dxa"/>
              <w:bottom w:w="70" w:type="dxa"/>
              <w:left w:w="100" w:type="dxa"/>
              <w:right w:w="100" w:type="dxa"/>
            </w:tcMar>
          </w:tcPr>
          <w:p>
            <w:r>
              <w:rPr>
                <w:color w:val="1E293B"/>
                <w:sz w:val="18"/>
              </w:rPr>
              <w:t>4.92%</w:t>
            </w:r>
          </w:p>
        </w:tc>
        <w:tc>
          <w:tcPr>
            <w:tcW w:type="dxa" w:w="1958"/>
            <w:shd w:fill="FFFFFF"/>
            <w:tcMar>
              <w:top w:w="70" w:type="dxa"/>
              <w:bottom w:w="70" w:type="dxa"/>
              <w:left w:w="100" w:type="dxa"/>
              <w:right w:w="100" w:type="dxa"/>
            </w:tcMar>
          </w:tcPr>
          <w:p>
            <w:r>
              <w:rPr>
                <w:color w:val="1E293B"/>
                <w:sz w:val="18"/>
              </w:rPr>
              <w:t>0.8255</w:t>
            </w:r>
          </w:p>
        </w:tc>
      </w:tr>
      <w:tr>
        <w:tc>
          <w:tcPr>
            <w:tcW w:type="dxa" w:w="1958"/>
            <w:shd w:fill="F8FAFC"/>
            <w:tcMar>
              <w:top w:w="70" w:type="dxa"/>
              <w:bottom w:w="70" w:type="dxa"/>
              <w:left w:w="100" w:type="dxa"/>
              <w:right w:w="100" w:type="dxa"/>
            </w:tcMar>
          </w:tcPr>
          <w:p>
            <w:r>
              <w:rPr>
                <w:color w:val="1E293B"/>
                <w:sz w:val="18"/>
              </w:rPr>
              <w:t>CatBoost (MAE Objective)</w:t>
            </w:r>
          </w:p>
        </w:tc>
        <w:tc>
          <w:tcPr>
            <w:tcW w:type="dxa" w:w="1958"/>
            <w:shd w:fill="F8FAFC"/>
            <w:tcMar>
              <w:top w:w="70" w:type="dxa"/>
              <w:bottom w:w="70" w:type="dxa"/>
              <w:left w:w="100" w:type="dxa"/>
              <w:right w:w="100" w:type="dxa"/>
            </w:tcMar>
          </w:tcPr>
          <w:p>
            <w:r>
              <w:rPr>
                <w:color w:val="1E293B"/>
                <w:sz w:val="18"/>
              </w:rPr>
              <w:t>$122.53</w:t>
            </w:r>
          </w:p>
        </w:tc>
        <w:tc>
          <w:tcPr>
            <w:tcW w:type="dxa" w:w="1958"/>
            <w:shd w:fill="F8FAFC"/>
            <w:tcMar>
              <w:top w:w="70" w:type="dxa"/>
              <w:bottom w:w="70" w:type="dxa"/>
              <w:left w:w="100" w:type="dxa"/>
              <w:right w:w="100" w:type="dxa"/>
            </w:tcMar>
          </w:tcPr>
          <w:p>
            <w:r>
              <w:rPr>
                <w:color w:val="1E293B"/>
                <w:sz w:val="18"/>
              </w:rPr>
              <w:t>$641.12</w:t>
            </w:r>
          </w:p>
        </w:tc>
        <w:tc>
          <w:tcPr>
            <w:tcW w:type="dxa" w:w="1958"/>
            <w:shd w:fill="F8FAFC"/>
            <w:tcMar>
              <w:top w:w="70" w:type="dxa"/>
              <w:bottom w:w="70" w:type="dxa"/>
              <w:left w:w="100" w:type="dxa"/>
              <w:right w:w="100" w:type="dxa"/>
            </w:tcMar>
          </w:tcPr>
          <w:p>
            <w:r>
              <w:rPr>
                <w:color w:val="1E293B"/>
                <w:sz w:val="18"/>
              </w:rPr>
              <w:t>5.29%</w:t>
            </w:r>
          </w:p>
        </w:tc>
        <w:tc>
          <w:tcPr>
            <w:tcW w:type="dxa" w:w="1958"/>
            <w:shd w:fill="F8FAFC"/>
            <w:tcMar>
              <w:top w:w="70" w:type="dxa"/>
              <w:bottom w:w="70" w:type="dxa"/>
              <w:left w:w="100" w:type="dxa"/>
              <w:right w:w="100" w:type="dxa"/>
            </w:tcMar>
          </w:tcPr>
          <w:p>
            <w:r>
              <w:rPr>
                <w:color w:val="1E293B"/>
                <w:sz w:val="18"/>
              </w:rPr>
              <w:t>0.8251</w:t>
            </w:r>
          </w:p>
        </w:tc>
      </w:tr>
      <w:tr>
        <w:tc>
          <w:tcPr>
            <w:tcW w:type="dxa" w:w="1958"/>
            <w:shd w:fill="E0F2FE"/>
            <w:tcMar>
              <w:top w:w="70" w:type="dxa"/>
              <w:bottom w:w="70" w:type="dxa"/>
              <w:left w:w="100" w:type="dxa"/>
              <w:right w:w="100" w:type="dxa"/>
            </w:tcMar>
          </w:tcPr>
          <w:p>
            <w:r>
              <w:rPr>
                <w:b/>
                <w:color w:val="0284C7"/>
                <w:sz w:val="18"/>
              </w:rPr>
              <w:t>Blended Ensemble (60% LGBM + 40% CB)</w:t>
            </w:r>
          </w:p>
        </w:tc>
        <w:tc>
          <w:tcPr>
            <w:tcW w:type="dxa" w:w="1958"/>
            <w:shd w:fill="E0F2FE"/>
            <w:tcMar>
              <w:top w:w="70" w:type="dxa"/>
              <w:bottom w:w="70" w:type="dxa"/>
              <w:left w:w="100" w:type="dxa"/>
              <w:right w:w="100" w:type="dxa"/>
            </w:tcMar>
          </w:tcPr>
          <w:p>
            <w:r>
              <w:rPr>
                <w:b/>
                <w:color w:val="0284C7"/>
                <w:sz w:val="18"/>
              </w:rPr>
              <w:t>$115.84</w:t>
            </w:r>
          </w:p>
        </w:tc>
        <w:tc>
          <w:tcPr>
            <w:tcW w:type="dxa" w:w="1958"/>
            <w:shd w:fill="E0F2FE"/>
            <w:tcMar>
              <w:top w:w="70" w:type="dxa"/>
              <w:bottom w:w="70" w:type="dxa"/>
              <w:left w:w="100" w:type="dxa"/>
              <w:right w:w="100" w:type="dxa"/>
            </w:tcMar>
          </w:tcPr>
          <w:p>
            <w:r>
              <w:rPr>
                <w:b/>
                <w:color w:val="0284C7"/>
                <w:sz w:val="18"/>
              </w:rPr>
              <w:t>$636.10</w:t>
            </w:r>
          </w:p>
        </w:tc>
        <w:tc>
          <w:tcPr>
            <w:tcW w:type="dxa" w:w="1958"/>
            <w:shd w:fill="E0F2FE"/>
            <w:tcMar>
              <w:top w:w="70" w:type="dxa"/>
              <w:bottom w:w="70" w:type="dxa"/>
              <w:left w:w="100" w:type="dxa"/>
              <w:right w:w="100" w:type="dxa"/>
            </w:tcMar>
          </w:tcPr>
          <w:p>
            <w:r>
              <w:rPr>
                <w:b/>
                <w:color w:val="0284C7"/>
                <w:sz w:val="18"/>
              </w:rPr>
              <w:t>4.86%</w:t>
            </w:r>
          </w:p>
        </w:tc>
        <w:tc>
          <w:tcPr>
            <w:tcW w:type="dxa" w:w="1958"/>
            <w:shd w:fill="E0F2FE"/>
            <w:tcMar>
              <w:top w:w="70" w:type="dxa"/>
              <w:bottom w:w="70" w:type="dxa"/>
              <w:left w:w="100" w:type="dxa"/>
              <w:right w:w="100" w:type="dxa"/>
            </w:tcMar>
          </w:tcPr>
          <w:p>
            <w:r>
              <w:rPr>
                <w:b/>
                <w:color w:val="0284C7"/>
                <w:sz w:val="18"/>
              </w:rPr>
              <w:t>0.8256</w:t>
            </w:r>
          </w:p>
        </w:tc>
      </w:tr>
    </w:tbl>
    <w:p/>
    <w:p>
      <w:pPr>
        <w:pStyle w:val="Heading1"/>
      </w:pPr>
      <w:r>
        <w:t>6. December 2025 Prediction Chart &amp; Market Dynamics</w:t>
      </w:r>
    </w:p>
    <w:p>
      <w:r>
        <w:t>Per the assessment mandate, the fixed December lane inputs (Lexington to Fort Wayne, 360 miles, Dry Van, 32,000 lbs) were evaluated across all 31 days of December 2025. The completed december_chart_inputs.csv was verified by the provided score.py script, producing the official validation chart shown below:</w:t>
      </w:r>
    </w:p>
    <w:p>
      <w:r>
        <w:drawing>
          <wp:inline xmlns:a="http://schemas.openxmlformats.org/drawingml/2006/main" xmlns:pic="http://schemas.openxmlformats.org/drawingml/2006/picture">
            <wp:extent cx="5669280" cy="1846498"/>
            <wp:docPr id="1" name="Picture 1"/>
            <wp:cNvGraphicFramePr>
              <a:graphicFrameLocks noChangeAspect="1"/>
            </wp:cNvGraphicFramePr>
            <a:graphic>
              <a:graphicData uri="http://schemas.openxmlformats.org/drawingml/2006/picture">
                <pic:pic>
                  <pic:nvPicPr>
                    <pic:cNvPr id="0" name="candidate_december.png"/>
                    <pic:cNvPicPr/>
                  </pic:nvPicPr>
                  <pic:blipFill>
                    <a:blip r:embed="rId9"/>
                    <a:stretch>
                      <a:fillRect/>
                    </a:stretch>
                  </pic:blipFill>
                  <pic:spPr>
                    <a:xfrm>
                      <a:off x="0" y="0"/>
                      <a:ext cx="5669280" cy="1846498"/>
                    </a:xfrm>
                    <a:prstGeom prst="rect"/>
                  </pic:spPr>
                </pic:pic>
              </a:graphicData>
            </a:graphic>
          </wp:inline>
        </w:drawing>
      </w:r>
    </w:p>
    <w:p>
      <w:pPr>
        <w:jc w:val="center"/>
      </w:pPr>
      <w:r>
        <w:rPr>
          <w:i/>
          <w:color w:val="64748B"/>
          <w:sz w:val="18"/>
        </w:rPr>
        <w:t>Figure 1: Candidate December 2025 Predicted Load Rate Chart (Generated by score.py)</w:t>
      </w:r>
    </w:p>
    <w:p>
      <w:r>
        <w:t>Key Market Dynamics Exhibited in the December Forecast:</w:t>
      </w:r>
    </w:p>
    <w:p>
      <w:pPr>
        <w:pStyle w:val="ListBullet"/>
      </w:pPr>
      <w:r>
        <w:rPr>
          <w:b/>
        </w:rPr>
        <w:t xml:space="preserve">Weekly Capacity Cycles: </w:t>
      </w:r>
      <w:r>
        <w:t>The forecast exhibits clear weekly oscillations corresponding to real-world carrier tender rejections: rate troughs on Sundays ($812–$815) when freight demand is subdued, rising sharply into mid-week peaks ($833–$845) on Wednesdays and Thursdays when spot capacity tightens.</w:t>
      </w:r>
    </w:p>
    <w:p>
      <w:pPr>
        <w:pStyle w:val="ListBullet"/>
      </w:pPr>
      <w:r>
        <w:rPr>
          <w:b/>
        </w:rPr>
        <w:t xml:space="preserve">End-of-Year Tightening: </w:t>
      </w:r>
      <w:r>
        <w:t>Superimposed on the weekly cycle is a gradual month-long elevation in baseline pricing: late-December rates reflect capacity reductions and holiday tender surges (Christmas Eve through New Year).</w:t>
      </w:r>
    </w:p>
    <w:p>
      <w:pPr>
        <w:pStyle w:val="ListBullet"/>
      </w:pPr>
      <w:r>
        <w:rPr>
          <w:b/>
        </w:rPr>
        <w:t xml:space="preserve">Baseline Alignment: </w:t>
      </w:r>
      <w:r>
        <w:t>The mean predicted rate of $827.15 ($2.298/mile) strictly adheres to historical Lexington to Fort Wayne Dry Van rates in the training data ($757 to $870), validating realistic pricing bounds.</w:t>
      </w:r>
    </w:p>
    <w:p>
      <w:pPr>
        <w:pStyle w:val="Heading1"/>
      </w:pPr>
      <w:r>
        <w:t>7. Solution Architecture &amp; Reproducibility</w:t>
      </w:r>
    </w:p>
    <w:p>
      <w:r>
        <w:t>The submission repository is organized cleanly for instant verification and production deployment:</w:t>
      </w:r>
    </w:p>
    <w:p>
      <w:r>
        <w:t>• run_pipeline.py: Master automated pipeline that trains the models, evaluates validation protocols, generates validation_predictions.csv and december_chart_inputs.csv, and triggers score.py.</w:t>
        <w:br/>
        <w:t>• score.py: The official Spotter scoring script validating all 12,000 predictions and 31 December rows.</w:t>
        <w:br/>
        <w:t>• validation_predictions.csv: Contains exactly 12,000 predicted rates matching the template format (load_id,predicted_rate).</w:t>
        <w:br/>
        <w:t>• LOOM_SCRIPT.md: A concise 2–3 minute video presentation script walking through data findings, modeling rationale, and code architecture.</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