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TAHDCO UDP – Security &amp; Engineering Tracker</w:t>
      </w:r>
    </w:p>
    <w:p>
      <w:pPr>
        <w:spacing w:after="120"/>
      </w:pPr>
      <w:r>
        <w:rPr>
          <w:i/>
          <w:iCs/>
          <w:color w:val="555555"/>
        </w:rPr>
        <w:t xml:space="preserve">Status snapshot as of August 11, 2026.</w:t>
      </w:r>
    </w:p>
    <w:p>
      <w:pPr>
        <w:pStyle w:val="Heading1"/>
        <w:spacing w:after="150" w:before="300"/>
      </w:pPr>
      <w:r>
        <w:t xml:space="preserve">1. Completed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600"/>
      </w:tblGrid>
      <w:tr>
        <w:trPr>
          <w:tblHeader/>
        </w:trPr>
        <w:tc>
          <w:tcPr>
            <w:tcW w:type="dxa" w:w="4500"/>
            <w:shd w:fill="1F2937" w:color="auto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00"/>
            <w:shd w:fill="1F2937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600"/>
            <w:shd w:fill="1F2937" w:color="auto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500"/>
          </w:tcPr>
          <w:p>
            <w:r>
              <w:t xml:space="preserve">9 security fixes applied</w:t>
            </w:r>
          </w:p>
        </w:tc>
        <w:tc>
          <w:tcPr>
            <w:tcW w:type="dxa" w:w="1800"/>
          </w:tcPr>
          <w:p>
            <w:r>
              <w:t xml:space="preserve">Done</w:t>
            </w:r>
          </w:p>
        </w:tc>
        <w:tc>
          <w:tcPr>
            <w:tcW w:type="dxa" w:w="3600"/>
          </w:tcPr>
          <w:p>
            <w:r>
              <w:t xml:space="preserve">Batch of security hardening fixes applied to the stack</w:t>
            </w:r>
          </w:p>
        </w:tc>
      </w:tr>
      <w:tr>
        <w:tc>
          <w:tcPr>
            <w:tcW w:type="dxa" w:w="4500"/>
          </w:tcPr>
          <w:p>
            <w:r>
              <w:t xml:space="preserve">Hangfire background job timeout</w:t>
            </w:r>
          </w:p>
        </w:tc>
        <w:tc>
          <w:tcPr>
            <w:tcW w:type="dxa" w:w="1800"/>
          </w:tcPr>
          <w:p>
            <w:r>
              <w:t xml:space="preserve">Done</w:t>
            </w:r>
          </w:p>
        </w:tc>
        <w:tc>
          <w:tcPr>
            <w:tcW w:type="dxa" w:w="3600"/>
          </w:tcPr>
          <w:p>
            <w:r>
              <w:t xml:space="preserve">Timeout issue resolved</w:t>
            </w:r>
          </w:p>
        </w:tc>
      </w:tr>
    </w:tbl>
    <w:p>
      <w:pPr>
        <w:pStyle w:val="Heading1"/>
        <w:spacing w:after="150" w:before="300"/>
      </w:pPr>
      <w:r>
        <w:t xml:space="preserve">2. Known Issue – Needs Upgrade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600"/>
      </w:tblGrid>
      <w:tr>
        <w:trPr>
          <w:tblHeader/>
        </w:trPr>
        <w:tc>
          <w:tcPr>
            <w:tcW w:type="dxa" w:w="4500"/>
            <w:shd w:fill="1F2937" w:color="auto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00"/>
            <w:shd w:fill="1F2937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600"/>
            <w:shd w:fill="1F2937" w:color="auto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500"/>
          </w:tcPr>
          <w:p>
            <w:r>
              <w:t xml:space="preserve">Password hashing (SHA-256 → BCrypt)</w:t>
            </w:r>
          </w:p>
        </w:tc>
        <w:tc>
          <w:tcPr>
            <w:tcW w:type="dxa" w:w="1800"/>
          </w:tcPr>
          <w:p>
            <w:r>
              <w:t xml:space="preserve">Action needed</w:t>
            </w:r>
          </w:p>
        </w:tc>
        <w:tc>
          <w:tcPr>
            <w:tcW w:type="dxa" w:w="3600"/>
          </w:tcPr>
          <w:p>
            <w:r>
              <w:t xml:space="preserve">Current SHA-256 hashing does not meet current standards; migrate to BCrypt</w:t>
            </w:r>
          </w:p>
        </w:tc>
      </w:tr>
    </w:tbl>
    <w:p>
      <w:pPr>
        <w:pStyle w:val="Heading1"/>
        <w:spacing w:after="150" w:before="300"/>
      </w:pPr>
      <w:r>
        <w:t xml:space="preserve">3. Security &amp; Infrastructure – Remaining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management (move credentials/keys out of config into a vault)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on APIs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BCrypt migration (password hashing upgrade, see Section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pipeline hardening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Hangfire – follow-up fix /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validation</w:t>
      </w:r>
    </w:p>
    <w:p>
      <w:pPr>
        <w:pStyle w:val="Heading1"/>
        <w:spacing w:after="150" w:before="300"/>
      </w:pPr>
      <w:r>
        <w:t xml:space="preserve">4. Code Quality &amp;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 coverage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SonarQube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 upgrade (from Angular 16)</w:t>
      </w:r>
    </w:p>
    <w:p>
      <w:pPr>
        <w:pStyle w:val="Heading1"/>
        <w:spacing w:after="150" w:before="300"/>
      </w:pPr>
      <w:r>
        <w:t xml:space="preserve">5. Future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gateway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2026-08-11T05:23:59.834Z</dcterms:created>
  <dcterms:modified xsi:type="dcterms:W3CDTF">2026-08-11T05:23:59.834Z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