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left"/>
      </w:pPr>
      <w:r>
        <w:rPr>
          <w:rFonts w:ascii="Arial" w:hAnsi="Arial"/>
          <w:b/>
          <w:i w:val="0"/>
          <w:color w:val="0F172A"/>
          <w:sz w:val="32"/>
        </w:rPr>
        <w:t>PIYUSH PRASHANT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 w:val="0"/>
          <w:color w:val="475569"/>
          <w:sz w:val="18"/>
        </w:rPr>
        <w:t>Dharwad, Karnataka  |  +91-7991189767  |  piyushprashantmanutd@gmail.com  |  GitHub: github.com/Piyu-cyber  |  LinkedIn: linkedin.com/in/piyush-prashant</w:t>
      </w:r>
    </w:p>
    <w:p>
      <w:pPr>
        <w:spacing w:before="160" w:after="80" w:line="276" w:lineRule="auto"/>
        <w:jc w:val="left"/>
        <w:pBdr>
          <w:bottom w:val="single" w:sz="6" w:space="4" w:color="94A3B8"/>
        </w:pBdr>
      </w:pPr>
      <w:r>
        <w:rPr>
          <w:rFonts w:ascii="Arial" w:hAnsi="Arial"/>
          <w:b/>
          <w:i w:val="0"/>
          <w:color w:val="1E293B"/>
          <w:sz w:val="22"/>
        </w:rPr>
        <w:t>PROFESSIONAL SUMMARY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 w:val="0"/>
          <w:color w:val="334155"/>
          <w:sz w:val="19"/>
        </w:rPr>
        <w:t>B.Tech Data Science &amp; AI honours student at IIIT Dharwad (CGPA 9.1/10) and co-author of peer-reviewed NLP research at ACL SemEval-2026. Experienced in building low-latency C++ deep learning inference engines, pgvector-based RAG caching layers, and intelligent query routers. Focused on high-performance AI systems engineering and production MLOps.</w:t>
      </w:r>
    </w:p>
    <w:p>
      <w:pPr>
        <w:spacing w:before="160" w:after="80" w:line="276" w:lineRule="auto"/>
        <w:jc w:val="left"/>
        <w:pBdr>
          <w:bottom w:val="single" w:sz="6" w:space="4" w:color="94A3B8"/>
        </w:pBdr>
      </w:pPr>
      <w:r>
        <w:rPr>
          <w:rFonts w:ascii="Arial" w:hAnsi="Arial"/>
          <w:b/>
          <w:i w:val="0"/>
          <w:color w:val="1E293B"/>
          <w:sz w:val="22"/>
        </w:rPr>
        <w:t>EDUCATION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0F172A"/>
          <w:sz w:val="20"/>
        </w:rPr>
        <w:t>Indian Institute of Information Technology (IIIT), Dharwad</w:t>
      </w:r>
      <w:r>
        <w:rPr>
          <w:rFonts w:ascii="Arial" w:hAnsi="Arial"/>
          <w:b w:val="0"/>
          <w:i w:val="0"/>
          <w:color w:val="000000"/>
          <w:sz w:val="20"/>
        </w:rPr>
        <w:tab/>
        <w:tab/>
        <w:tab/>
        <w:tab/>
        <w:tab/>
        <w:tab/>
        <w:tab/>
        <w:tab/>
        <w:tab/>
      </w:r>
      <w:r>
        <w:rPr>
          <w:rFonts w:ascii="Arial" w:hAnsi="Arial"/>
          <w:b w:val="0"/>
          <w:i w:val="0"/>
          <w:color w:val="475569"/>
          <w:sz w:val="19"/>
        </w:rPr>
        <w:t>Karnataka, India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334155"/>
          <w:sz w:val="19"/>
        </w:rPr>
        <w:t>B.Tech in Data Science and Artificial Intelligence (Honours)</w:t>
      </w:r>
      <w:r>
        <w:rPr>
          <w:rFonts w:ascii="Arial" w:hAnsi="Arial"/>
          <w:b w:val="0"/>
          <w:i w:val="0"/>
          <w:color w:val="000000"/>
          <w:sz w:val="20"/>
        </w:rPr>
        <w:tab/>
        <w:tab/>
        <w:tab/>
        <w:tab/>
        <w:tab/>
        <w:tab/>
        <w:tab/>
        <w:tab/>
        <w:tab/>
      </w:r>
      <w:r>
        <w:rPr>
          <w:rFonts w:ascii="Arial" w:hAnsi="Arial"/>
          <w:b w:val="0"/>
          <w:i/>
          <w:color w:val="475569"/>
          <w:sz w:val="19"/>
        </w:rPr>
        <w:t>Expected May 2028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 w:val="0"/>
          <w:color w:val="475569"/>
          <w:sz w:val="19"/>
        </w:rPr>
        <w:t>•  CGPA: 9.1 / 10.0 (Honours Core)  |  Minor in Generative AI (CGPA: 9.0 / 10.0)</w:t>
      </w:r>
    </w:p>
    <w:p>
      <w:pPr>
        <w:spacing w:before="160" w:after="80" w:line="276" w:lineRule="auto"/>
        <w:jc w:val="left"/>
        <w:pBdr>
          <w:bottom w:val="single" w:sz="6" w:space="4" w:color="94A3B8"/>
        </w:pBdr>
      </w:pPr>
      <w:r>
        <w:rPr>
          <w:rFonts w:ascii="Arial" w:hAnsi="Arial"/>
          <w:b/>
          <w:i w:val="0"/>
          <w:color w:val="1E293B"/>
          <w:sz w:val="22"/>
        </w:rPr>
        <w:t>TECHNICAL SKILLS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334155"/>
          <w:sz w:val="19"/>
        </w:rPr>
        <w:t xml:space="preserve">•  AI Systems &amp; LLMs: </w:t>
      </w:r>
      <w:r>
        <w:rPr>
          <w:rFonts w:ascii="Arial" w:hAnsi="Arial"/>
          <w:b w:val="0"/>
          <w:i w:val="0"/>
          <w:color w:val="475569"/>
          <w:sz w:val="19"/>
        </w:rPr>
        <w:t>RAG Systems, pgvector semantic caching, ONNX Runtime, Hugging Face, QLoRA, Agentic Workflows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334155"/>
          <w:sz w:val="19"/>
        </w:rPr>
        <w:t xml:space="preserve">•  ML &amp; Deep Learning: </w:t>
      </w:r>
      <w:r>
        <w:rPr>
          <w:rFonts w:ascii="Arial" w:hAnsi="Arial"/>
          <w:b w:val="0"/>
          <w:i w:val="0"/>
          <w:color w:val="475569"/>
          <w:sz w:val="19"/>
        </w:rPr>
        <w:t>PyTorch, TensorFlow, Scikit-learn, XGBoost, CNNs, Transformers, Shannon Entropy routing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334155"/>
          <w:sz w:val="19"/>
        </w:rPr>
        <w:t xml:space="preserve">•  Languages: </w:t>
      </w:r>
      <w:r>
        <w:rPr>
          <w:rFonts w:ascii="Arial" w:hAnsi="Arial"/>
          <w:b w:val="0"/>
          <w:i w:val="0"/>
          <w:color w:val="475569"/>
          <w:sz w:val="19"/>
        </w:rPr>
        <w:t>C++ (17/20), Python, SQL (PostgreSQL), Cypher (Neo4j), TypeScript, HTML/CSS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334155"/>
          <w:sz w:val="19"/>
        </w:rPr>
        <w:t xml:space="preserve">•  Developer Tools &amp; Infra: </w:t>
      </w:r>
      <w:r>
        <w:rPr>
          <w:rFonts w:ascii="Arial" w:hAnsi="Arial"/>
          <w:b w:val="0"/>
          <w:i w:val="0"/>
          <w:color w:val="475569"/>
          <w:sz w:val="19"/>
        </w:rPr>
        <w:t>CUDA 12.x, Docker, CMake, C++ STL, Git &amp; GitHub, Linux/Bash, Next.js 14, FastAPI</w:t>
      </w:r>
    </w:p>
    <w:p>
      <w:pPr>
        <w:spacing w:before="160" w:after="80" w:line="276" w:lineRule="auto"/>
        <w:jc w:val="left"/>
        <w:pBdr>
          <w:bottom w:val="single" w:sz="6" w:space="4" w:color="94A3B8"/>
        </w:pBdr>
      </w:pPr>
      <w:r>
        <w:rPr>
          <w:rFonts w:ascii="Arial" w:hAnsi="Arial"/>
          <w:b/>
          <w:i w:val="0"/>
          <w:color w:val="1E293B"/>
          <w:sz w:val="22"/>
        </w:rPr>
        <w:t>PEER-REVIEWED RESEARCH PUBLICATIONS</w:t>
      </w:r>
    </w:p>
    <w:p>
      <w:pPr>
        <w:spacing w:before="0" w:after="20" w:line="276" w:lineRule="auto"/>
        <w:jc w:val="left"/>
      </w:pPr>
      <w:r>
        <w:rPr>
          <w:rFonts w:ascii="Arial" w:hAnsi="Arial"/>
          <w:b/>
          <w:i w:val="0"/>
          <w:color w:val="0F172A"/>
          <w:sz w:val="20"/>
        </w:rPr>
        <w:t>Semantic Vectors at SemEval-2026: Robust Multilingual Polarization Detection via Dual-Encoder Fusion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475569"/>
          <w:sz w:val="18"/>
        </w:rPr>
        <w:t xml:space="preserve">A. Dash, P. Mittal, </w:t>
      </w:r>
      <w:r>
        <w:rPr>
          <w:rFonts w:ascii="Arial" w:hAnsi="Arial"/>
          <w:b/>
          <w:i w:val="0"/>
          <w:color w:val="0F172A"/>
          <w:sz w:val="18"/>
        </w:rPr>
        <w:t>Piyush Prashant</w:t>
      </w:r>
      <w:r>
        <w:rPr>
          <w:rFonts w:ascii="Arial" w:hAnsi="Arial"/>
          <w:b w:val="0"/>
          <w:i/>
          <w:color w:val="475569"/>
          <w:sz w:val="18"/>
        </w:rPr>
        <w:t>, S. Saumya  |  Proceedings of SemEval-2026, Association for Computational Linguistics (ACL)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0F172A"/>
          <w:sz w:val="19"/>
        </w:rPr>
        <w:t xml:space="preserve">•  </w:t>
      </w:r>
      <w:r>
        <w:rPr>
          <w:rFonts w:ascii="Arial" w:hAnsi="Arial"/>
          <w:b w:val="0"/>
          <w:i w:val="0"/>
          <w:color w:val="475569"/>
          <w:sz w:val="19"/>
        </w:rPr>
        <w:t>Engineered Siamese dual-encoder fine-tuning of mDeBERTa-v3 and XLM-RoBERTa-large via 4-bit QLoRA to align cross-lingual polarization semantics across 22 language datasets.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0F172A"/>
          <w:sz w:val="19"/>
        </w:rPr>
        <w:t xml:space="preserve">•  </w:t>
      </w:r>
      <w:r>
        <w:rPr>
          <w:rFonts w:ascii="Arial" w:hAnsi="Arial"/>
          <w:b w:val="0"/>
          <w:i w:val="0"/>
          <w:color w:val="475569"/>
          <w:sz w:val="19"/>
        </w:rPr>
        <w:t>Achieved 0.797 macro-F1 score across all 22 languages, outperforming zero-shot Llama-3-8B-Instruct by +26.3 percentage points and majority-class baseline by +33.6 percentage points.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0F172A"/>
          <w:sz w:val="19"/>
        </w:rPr>
        <w:t xml:space="preserve">•  </w:t>
      </w:r>
      <w:r>
        <w:rPr>
          <w:rFonts w:ascii="Arial" w:hAnsi="Arial"/>
          <w:b w:val="0"/>
          <w:i w:val="0"/>
          <w:color w:val="475569"/>
          <w:sz w:val="19"/>
        </w:rPr>
        <w:t>Implemented XGBoost meta-stacking using Shannon entropy thresholds for dynamic expert-routing, reducing base compute costs by 35% on low-ambiguity inputs.</w:t>
      </w:r>
    </w:p>
    <w:p>
      <w:pPr>
        <w:spacing w:before="160" w:after="80" w:line="276" w:lineRule="auto"/>
        <w:jc w:val="left"/>
        <w:pBdr>
          <w:bottom w:val="single" w:sz="6" w:space="4" w:color="94A3B8"/>
        </w:pBdr>
      </w:pPr>
      <w:r>
        <w:rPr>
          <w:rFonts w:ascii="Arial" w:hAnsi="Arial"/>
          <w:b/>
          <w:i w:val="0"/>
          <w:color w:val="1E293B"/>
          <w:sz w:val="22"/>
        </w:rPr>
        <w:t>SYSTEMS ENGINEERING PROJECTS</w:t>
      </w:r>
    </w:p>
    <w:p>
      <w:pPr>
        <w:spacing w:before="0" w:after="20" w:line="276" w:lineRule="auto"/>
        <w:jc w:val="left"/>
      </w:pPr>
      <w:r>
        <w:rPr>
          <w:rFonts w:ascii="Arial" w:hAnsi="Arial"/>
          <w:b/>
          <w:i w:val="0"/>
          <w:color w:val="0F172A"/>
          <w:sz w:val="20"/>
        </w:rPr>
        <w:t>DataChat: NL-to-SQL Analytics Platform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/>
          <w:color w:val="475569"/>
          <w:sz w:val="17"/>
        </w:rPr>
        <w:t>Stack: Next.js 14, Supabase (pgvector), Groq Llama-3, Ollama (nomic-embed), Recharts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0F172A"/>
          <w:sz w:val="19"/>
        </w:rPr>
        <w:t xml:space="preserve">•  </w:t>
      </w:r>
      <w:r>
        <w:rPr>
          <w:rFonts w:ascii="Arial" w:hAnsi="Arial"/>
          <w:b w:val="0"/>
          <w:i w:val="0"/>
          <w:color w:val="475569"/>
          <w:sz w:val="19"/>
        </w:rPr>
        <w:t>Engineered end-to-end NL-to-SQL compile pipeline using pgvector cosine-distance schema retrieval and Groq Llama-3 API, achieving &gt;90% SQL translation accuracy.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0F172A"/>
          <w:sz w:val="19"/>
        </w:rPr>
        <w:t xml:space="preserve">•  </w:t>
      </w:r>
      <w:r>
        <w:rPr>
          <w:rFonts w:ascii="Arial" w:hAnsi="Arial"/>
          <w:b w:val="0"/>
          <w:i w:val="0"/>
          <w:color w:val="475569"/>
          <w:sz w:val="19"/>
        </w:rPr>
        <w:t>Built semantic caching layer utilizing pgvector similarity threshold parameters, reducing LLM API token consumption by 60% and cutting query latencies from 4.0s to 1.5s.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0F172A"/>
          <w:sz w:val="19"/>
        </w:rPr>
        <w:t xml:space="preserve">•  </w:t>
      </w:r>
      <w:r>
        <w:rPr>
          <w:rFonts w:ascii="Arial" w:hAnsi="Arial"/>
          <w:b w:val="0"/>
          <w:i w:val="0"/>
          <w:color w:val="475569"/>
          <w:sz w:val="19"/>
        </w:rPr>
        <w:t>Integrated client-side CSV parser (handling up to 50k rows) with real-time automated Recharts visualization.</w:t>
      </w:r>
    </w:p>
    <w:p>
      <w:pPr>
        <w:spacing w:before="0" w:after="20" w:line="276" w:lineRule="auto"/>
        <w:jc w:val="left"/>
      </w:pPr>
      <w:r>
        <w:rPr>
          <w:rFonts w:ascii="Arial" w:hAnsi="Arial"/>
          <w:b/>
          <w:i w:val="0"/>
          <w:color w:val="0F172A"/>
          <w:sz w:val="20"/>
        </w:rPr>
        <w:t>DeepLOB-HFT-Cpp: Low-Latency Inference Engine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/>
          <w:color w:val="475569"/>
          <w:sz w:val="17"/>
        </w:rPr>
        <w:t>Stack: PyTorch, ONNX Runtime C++, CMake, NumPy, C++ STL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0F172A"/>
          <w:sz w:val="19"/>
        </w:rPr>
        <w:t xml:space="preserve">•  </w:t>
      </w:r>
      <w:r>
        <w:rPr>
          <w:rFonts w:ascii="Arial" w:hAnsi="Arial"/>
          <w:b w:val="0"/>
          <w:i w:val="0"/>
          <w:color w:val="475569"/>
          <w:sz w:val="19"/>
        </w:rPr>
        <w:t>Trained CNN-based DeepLOB and Transformer models on FI-2010 (4.5M order book ticks) for mid-price change predictions, achieving 84.3% test F1 score.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0F172A"/>
          <w:sz w:val="19"/>
        </w:rPr>
        <w:t xml:space="preserve">•  </w:t>
      </w:r>
      <w:r>
        <w:rPr>
          <w:rFonts w:ascii="Arial" w:hAnsi="Arial"/>
          <w:b w:val="0"/>
          <w:i w:val="0"/>
          <w:color w:val="475569"/>
          <w:sz w:val="19"/>
        </w:rPr>
        <w:t>Compiled model inference graph directly in C++ via ONNX Runtime (CUDA Execution Provider), achieving 1.75x speedup (2.78ms inference latency) over Python baseline.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0F172A"/>
          <w:sz w:val="19"/>
        </w:rPr>
        <w:t xml:space="preserve">•  </w:t>
      </w:r>
      <w:r>
        <w:rPr>
          <w:rFonts w:ascii="Arial" w:hAnsi="Arial"/>
          <w:b w:val="0"/>
          <w:i w:val="0"/>
          <w:color w:val="475569"/>
          <w:sz w:val="19"/>
        </w:rPr>
        <w:t>Optimized dataset loading speed by 4x through lock-free sliding-window buffer slicing and NumPy caching.</w:t>
      </w:r>
    </w:p>
    <w:p>
      <w:pPr>
        <w:spacing w:before="0" w:after="20" w:line="276" w:lineRule="auto"/>
        <w:jc w:val="left"/>
      </w:pPr>
      <w:r>
        <w:rPr>
          <w:rFonts w:ascii="Arial" w:hAnsi="Arial"/>
          <w:b/>
          <w:i w:val="0"/>
          <w:color w:val="0F172A"/>
          <w:sz w:val="20"/>
        </w:rPr>
        <w:t>HIFUN Router: Hybrid SQL/Graph Query Routing Classifier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/>
          <w:color w:val="475569"/>
          <w:sz w:val="17"/>
        </w:rPr>
        <w:t>Stack: XGBoost, SHAP, Neo4j, PostgreSQL, Python, Scikit-learn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0F172A"/>
          <w:sz w:val="19"/>
        </w:rPr>
        <w:t xml:space="preserve">•  </w:t>
      </w:r>
      <w:r>
        <w:rPr>
          <w:rFonts w:ascii="Arial" w:hAnsi="Arial"/>
          <w:b w:val="0"/>
          <w:i w:val="0"/>
          <w:color w:val="475569"/>
          <w:sz w:val="19"/>
        </w:rPr>
        <w:t>Developed XGBoost-based routing classifier (97.3% F1 score) to auto-direct DSL inputs to SQL (Postgres) or Graph (Neo4j) database backends across a 10k query workload.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0F172A"/>
          <w:sz w:val="19"/>
        </w:rPr>
        <w:t xml:space="preserve">•  </w:t>
      </w:r>
      <w:r>
        <w:rPr>
          <w:rFonts w:ascii="Arial" w:hAnsi="Arial"/>
          <w:b w:val="0"/>
          <w:i w:val="0"/>
          <w:color w:val="475569"/>
          <w:sz w:val="19"/>
        </w:rPr>
        <w:t>Integrated SHAP-based feature importance explainability, reducing manual query routing audit time by 40%.</w:t>
      </w:r>
    </w:p>
    <w:p>
      <w:pPr>
        <w:spacing w:before="160" w:after="80" w:line="276" w:lineRule="auto"/>
        <w:jc w:val="left"/>
        <w:pBdr>
          <w:bottom w:val="single" w:sz="6" w:space="4" w:color="94A3B8"/>
        </w:pBdr>
      </w:pPr>
      <w:r>
        <w:rPr>
          <w:rFonts w:ascii="Arial" w:hAnsi="Arial"/>
          <w:b/>
          <w:i w:val="0"/>
          <w:color w:val="1E293B"/>
          <w:sz w:val="22"/>
        </w:rPr>
        <w:t>RELEVANT COURSEWORK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475569"/>
          <w:sz w:val="19"/>
        </w:rPr>
        <w:t>Machine Learning  •  Deep Learning  •  Natural Language Processing  •  Data Structures &amp; Algorithms  •  Database Management Systems  •  Statistics &amp; Probability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