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DRAFT FYP PROPOSAL — WORKING DOCUMENT</w:t>
      </w:r>
    </w:p>
    <w:p>
      <w:pPr>
        <w:pStyle w:val="BlockQuotation"/>
        <w:bidi w:val="0"/>
        <w:jc w:val="start"/>
        <w:rPr/>
      </w:pPr>
      <w:r>
        <w:rPr>
          <w:b/>
        </w:rPr>
        <w:t>READ THIS FIRST.</w:t>
      </w:r>
      <w:r>
        <w:rPr/>
        <w:t xml:space="preserve"> This file is a </w:t>
      </w:r>
      <w:r>
        <w:rPr>
          <w:b/>
        </w:rPr>
        <w:t>structured drafting aid</w:t>
      </w:r>
      <w:r>
        <w:rPr/>
        <w:t xml:space="preserve">, not a submission-ready document. It was produced with substantial Generative AI assistance and must be personally rewritten, verified and defended by you before submission, per your own proposal guide's GenAI rules (see Chapter 4, section 4.6). Every </w:t>
      </w:r>
      <w:r>
        <w:rPr>
          <w:rFonts w:ascii="Liberation Mono" w:hAnsi="Liberation Mono"/>
        </w:rPr>
        <w:t>[REFERENCE VERIFICATION REQUIRED]</w:t>
      </w:r>
      <w:r>
        <w:rPr/>
        <w:t xml:space="preserve">, </w:t>
      </w:r>
      <w:r>
        <w:rPr>
          <w:rFonts w:ascii="Liberation Mono" w:hAnsi="Liberation Mono"/>
        </w:rPr>
        <w:t>[DATASET VERIFICATION REQUIRED]</w:t>
      </w:r>
      <w:r>
        <w:rPr/>
        <w:t xml:space="preserve"> and </w:t>
      </w:r>
      <w:r>
        <w:rPr>
          <w:rFonts w:ascii="Liberation Mono" w:hAnsi="Liberation Mono"/>
        </w:rPr>
        <w:t>[DECISION REQUIRED]</w:t>
      </w:r>
      <w:r>
        <w:rPr/>
        <w:t xml:space="preserve"> tag marks something you must personally check, decide, or confirm. Formatting (Times New Roman hierarchy, margins, page numbering) must be applied when you transfer this into your actual report document — it is not reproduced here because Markdown cannot encode Word styles.</w:t>
      </w:r>
    </w:p>
    <w:p>
      <w:pPr>
        <w:pStyle w:val="BlockQuotation"/>
        <w:bidi w:val="0"/>
        <w:jc w:val="start"/>
        <w:rPr/>
      </w:pPr>
      <w:r>
        <w:rPr/>
        <w:t>Word-count/page estimates below are indicative only (assuming ~480–520 words/page at 12pt TNR, 1.5 spacing, justified). Expand sections with your own analysis, additional verified citations, and original diagrams to reach the recommended page allocations — do not pad with generic textbook definitions.</w:t>
      </w:r>
    </w:p>
    <w:p>
      <w:pPr>
        <w:pStyle w:val="HorizontalLine"/>
        <w:bidi w:val="0"/>
        <w:jc w:val="start"/>
        <w:rPr/>
      </w:pPr>
      <w:r>
        <w:rPr/>
      </w:r>
    </w:p>
    <w:p>
      <w:pPr>
        <w:pStyle w:val="Heading2"/>
        <w:bidi w:val="0"/>
        <w:ind w:hanging="0" w:start="0"/>
        <w:jc w:val="start"/>
        <w:rPr/>
      </w:pPr>
      <w:r>
        <w:rPr/>
        <w:t>FRONT MATTER</w:t>
      </w:r>
    </w:p>
    <w:p>
      <w:pPr>
        <w:pStyle w:val="Heading3"/>
        <w:bidi w:val="0"/>
        <w:ind w:hanging="0" w:start="0"/>
        <w:jc w:val="start"/>
        <w:rPr/>
      </w:pPr>
      <w:r>
        <w:rPr/>
        <w:t>Cover Page (template only — no page number)</w:t>
      </w:r>
    </w:p>
    <w:p>
      <w:pPr>
        <w:pStyle w:val="BodyText"/>
        <w:bidi w:val="0"/>
        <w:jc w:val="start"/>
        <w:rPr/>
      </w:pPr>
      <w:r>
        <w:rPr>
          <w:b/>
        </w:rPr>
        <w:t>Title:</w:t>
      </w:r>
      <w:r>
        <w:rPr/>
        <w:t xml:space="preserve"> Explainable Retrieval of Procedural Provisions from Sri Lankan Acts and Government Gazettes: A Comparative Study of Keyword, Semantic and Hybrid Approaches</w:t>
      </w:r>
    </w:p>
    <w:p>
      <w:pPr>
        <w:pStyle w:val="BodyText"/>
        <w:bidi w:val="0"/>
        <w:jc w:val="start"/>
        <w:rPr/>
      </w:pPr>
      <w:r>
        <w:rPr>
          <w:b/>
        </w:rPr>
        <w:t>Candidate:</w:t>
      </w:r>
      <w:r>
        <w:rPr/>
        <w:t xml:space="preserve"> [Full name], IIT ID [xxxx], UoW ID [wxxxxxxx] </w:t>
      </w:r>
      <w:r>
        <w:rPr>
          <w:b/>
        </w:rPr>
        <w:t>Supervisor:</w:t>
      </w:r>
      <w:r>
        <w:rPr/>
        <w:t xml:space="preserve"> [Name and designation] </w:t>
      </w:r>
      <w:r>
        <w:rPr>
          <w:b/>
        </w:rPr>
        <w:t>Programme:</w:t>
      </w:r>
      <w:r>
        <w:rPr/>
        <w:t xml:space="preserve"> [Programme name] </w:t>
      </w:r>
      <w:r>
        <w:rPr>
          <w:b/>
        </w:rPr>
        <w:t>Submission:</w:t>
      </w:r>
      <w:r>
        <w:rPr/>
        <w:t xml:space="preserve"> [Month Year]</w:t>
      </w:r>
    </w:p>
    <w:p>
      <w:pPr>
        <w:pStyle w:val="BodyText"/>
        <w:bidi w:val="0"/>
        <w:jc w:val="start"/>
        <w:rPr/>
      </w:pPr>
      <w:r>
        <w:rPr>
          <w:rFonts w:ascii="Liberation Mono" w:hAnsi="Liberation Mono"/>
        </w:rPr>
        <w:t>[DECISION REQUIRED]</w:t>
      </w:r>
      <w:r>
        <w:rPr/>
        <w:t>: confirm the final title with your supervisor — it must not promise more than the system delivers (avoid words like "legal advice", "compliance assistant", or unqualified "AI-powered").</w:t>
      </w:r>
    </w:p>
    <w:p>
      <w:pPr>
        <w:pStyle w:val="Heading3"/>
        <w:bidi w:val="0"/>
        <w:ind w:hanging="0" w:start="0"/>
        <w:jc w:val="start"/>
        <w:rPr/>
      </w:pPr>
      <w:r>
        <w:rPr/>
        <w:t>Abstract (≈250 words, one page)</w:t>
      </w:r>
    </w:p>
    <w:p>
      <w:pPr>
        <w:pStyle w:val="BodyText"/>
        <w:bidi w:val="0"/>
        <w:jc w:val="start"/>
        <w:rPr/>
      </w:pPr>
      <w:r>
        <w:rPr/>
        <w:t>Sri Lankan legal procedure — filing periods, appeal routes, jurisdictional rules, and the forms and time limits governing court applications — is set out across long, unindexed Acts of Parliament and Extraordinary Gazette notifications, with no searchable tool that links a plain-language question to the specific, currently valid provision that answers it. Existing large-scale releases of Sri Lankan legal documents (Senaratna, 2026) provide raw, openly licensed text but no retrieval system, no relevance benchmark, and no mechanism for distinguishing provisions that remain in force from those that have been amended or revoked. Separately, the explainable-AI-for-law literature (Hacker et al., 2020; Saeed and Omlin, 2021; Prajescu and Confalonieri, 2025) argues that legal decision-support tools must justify their outputs with evidence, but this has not been evaluated for retrieval over Sri Lankan statutory and gazetted text. This research will design, implement and evaluate an explainable, evidence-grounded retrieval framework over a curated corpus of Sri Lankan Acts and a filtered, text-available subset of Extraordinary Gazettes. The framework will compare a keyword baseline (BM25/TF-IDF), a dense semantic-embedding retriever, and a hybrid combination, and will add a lightweight rule-based flag indicating whether a retrieved provision has been recorded as amended or revoked. Evaluation will use a small, manually curated query-relevance benchmark and standard information-retrieval metrics (Recall@K, Precision@K, MRR, nDCG@K), alongside a manual citation-faithfulness review. The research is expected to contribute comparative retrieval evidence and a reusable evaluation benchmark for this previously unevaluated document domain, framed strictly as a research decision-support prototype rather than a source of legal advice.</w:t>
      </w:r>
    </w:p>
    <w:p>
      <w:pPr>
        <w:pStyle w:val="BodyText"/>
        <w:bidi w:val="0"/>
        <w:jc w:val="start"/>
        <w:rPr/>
      </w:pPr>
      <w:r>
        <w:rPr>
          <w:b/>
        </w:rPr>
        <w:t>Keywords:</w:t>
      </w:r>
      <w:r>
        <w:rPr/>
        <w:t xml:space="preserve"> legal information retrieval; explainable AI; Sri Lankan legislation; BM25; semantic retrieval; legal NLP; temporal validity.</w:t>
      </w:r>
    </w:p>
    <w:p>
      <w:pPr>
        <w:pStyle w:val="Heading3"/>
        <w:bidi w:val="0"/>
        <w:ind w:hanging="0" w:start="0"/>
        <w:jc w:val="start"/>
        <w:rPr/>
      </w:pPr>
      <w:r>
        <w:rPr/>
        <w:t>Declaration and Generative AI Disclosure</w:t>
      </w:r>
    </w:p>
    <w:p>
      <w:pPr>
        <w:pStyle w:val="BodyText"/>
        <w:bidi w:val="0"/>
        <w:jc w:val="start"/>
        <w:rPr/>
      </w:pPr>
      <w:r>
        <w:rPr/>
        <w:t xml:space="preserve">Standard institutional declaration of originality </w:t>
      </w:r>
      <w:r>
        <w:rPr>
          <w:rFonts w:ascii="Liberation Mono" w:hAnsi="Liberation Mono"/>
        </w:rPr>
        <w:t>[institution template text — insert]</w:t>
      </w:r>
      <w:r>
        <w:rPr/>
        <w:t>.</w:t>
      </w:r>
    </w:p>
    <w:p>
      <w:pPr>
        <w:pStyle w:val="BodyText"/>
        <w:bidi w:val="0"/>
        <w:jc w:val="start"/>
        <w:rPr/>
      </w:pPr>
      <w:r>
        <w:rPr>
          <w:b/>
        </w:rPr>
        <w:t>Example GenAI disclosure (you must rewrite this honestly based on your actual usage):</w:t>
      </w:r>
      <w:r>
        <w:rPr/>
        <w:t> "Generative AI tools (a GitHub Copilot Chat assistant using a large language model) were used to help structure this proposal, draft candidate wording, and organise literature and dataset notes that I had already collected. I independently verified every citation against its original source, confirmed dataset statistics against the live repositories on [date], reviewed and rewrote all AI-suggested text in my own words, and take full responsibility for the final content, all design decisions, and all claims made. No confidential or restricted material was submitted to any AI tool. A full AI-use register is provided in Appendix L."</w:t>
      </w:r>
    </w:p>
    <w:p>
      <w:pPr>
        <w:pStyle w:val="BodyText"/>
        <w:bidi w:val="0"/>
        <w:jc w:val="start"/>
        <w:rPr/>
      </w:pPr>
      <w:r>
        <w:rPr>
          <w:rFonts w:ascii="Liberation Mono" w:hAnsi="Liberation Mono"/>
        </w:rPr>
        <w:t>[DECISION REQUIRED]</w:t>
      </w:r>
      <w:r>
        <w:rPr/>
        <w:t>: you must complete this honestly — do not copy the example if it does not match your actual process.</w:t>
      </w:r>
    </w:p>
    <w:p>
      <w:pPr>
        <w:pStyle w:val="Heading3"/>
        <w:bidi w:val="0"/>
        <w:ind w:hanging="0" w:start="0"/>
        <w:jc w:val="start"/>
        <w:rPr/>
      </w:pPr>
      <w:r>
        <w:rPr/>
        <w:t>Acknowledgements</w:t>
      </w:r>
    </w:p>
    <w:p>
      <w:pPr>
        <w:pStyle w:val="BodyText"/>
        <w:bidi w:val="0"/>
        <w:jc w:val="start"/>
        <w:rPr/>
      </w:pPr>
      <w:r>
        <w:rPr>
          <w:rFonts w:ascii="Liberation Mono" w:hAnsi="Liberation Mono"/>
        </w:rPr>
        <w:t>[Student to complete — supervisor, dataset maintainer nuuuwan/Nuwan Senaratna acknowledgement if directly contacted, technical support.]</w:t>
      </w:r>
    </w:p>
    <w:p>
      <w:pPr>
        <w:pStyle w:val="Heading3"/>
        <w:bidi w:val="0"/>
        <w:ind w:hanging="0" w:start="0"/>
        <w:jc w:val="start"/>
        <w:rPr/>
      </w:pPr>
      <w:r>
        <w:rPr/>
        <w:t>Table of Contents / List of Figures / List of Tables / Abbreviations</w:t>
      </w:r>
    </w:p>
    <w:p>
      <w:pPr>
        <w:pStyle w:val="BodyText"/>
        <w:bidi w:val="0"/>
        <w:jc w:val="start"/>
        <w:rPr/>
      </w:pPr>
      <w:r>
        <w:rPr>
          <w:rFonts w:ascii="Liberation Mono" w:hAnsi="Liberation Mono"/>
        </w:rPr>
        <w:t>[Generate automatically once transferred to Word.]</w:t>
      </w:r>
    </w:p>
    <w:p>
      <w:pPr>
        <w:pStyle w:val="BodyText"/>
        <w:bidi w:val="0"/>
        <w:jc w:val="start"/>
        <w:rPr/>
      </w:pPr>
      <w:r>
        <w:rPr>
          <w:b/>
        </w:rPr>
        <w:t>Glossary (draft):</w:t>
      </w:r>
    </w:p>
    <w:p>
      <w:pPr>
        <w:pStyle w:val="BodyText"/>
        <w:numPr>
          <w:ilvl w:val="0"/>
          <w:numId w:val="2"/>
        </w:numPr>
        <w:tabs>
          <w:tab w:val="clear" w:pos="709"/>
          <w:tab w:val="left" w:pos="709" w:leader="none"/>
        </w:tabs>
        <w:bidi w:val="0"/>
        <w:ind w:hanging="283" w:start="709"/>
        <w:jc w:val="start"/>
        <w:rPr/>
      </w:pPr>
      <w:r>
        <w:rPr>
          <w:b/>
        </w:rPr>
        <w:t>Act</w:t>
      </w:r>
      <w:r>
        <w:rPr/>
        <w:t xml:space="preserve"> — a law enacted by the Parliament of Sri Lanka.</w:t>
      </w:r>
    </w:p>
    <w:p>
      <w:pPr>
        <w:pStyle w:val="BodyText"/>
        <w:numPr>
          <w:ilvl w:val="0"/>
          <w:numId w:val="2"/>
        </w:numPr>
        <w:tabs>
          <w:tab w:val="clear" w:pos="709"/>
          <w:tab w:val="left" w:pos="709" w:leader="none"/>
        </w:tabs>
        <w:bidi w:val="0"/>
        <w:ind w:hanging="283" w:start="709"/>
        <w:jc w:val="start"/>
        <w:rPr/>
      </w:pPr>
      <w:r>
        <w:rPr>
          <w:b/>
        </w:rPr>
        <w:t>Extraordinary Gazette</w:t>
      </w:r>
      <w:r>
        <w:rPr/>
        <w:t xml:space="preserve"> — an official Sri Lankan government publication used to announce urgent laws, regulations or notices with immediate effect.</w:t>
      </w:r>
    </w:p>
    <w:p>
      <w:pPr>
        <w:pStyle w:val="BodyText"/>
        <w:numPr>
          <w:ilvl w:val="0"/>
          <w:numId w:val="2"/>
        </w:numPr>
        <w:tabs>
          <w:tab w:val="clear" w:pos="709"/>
          <w:tab w:val="left" w:pos="709" w:leader="none"/>
        </w:tabs>
        <w:bidi w:val="0"/>
        <w:ind w:hanging="283" w:start="709"/>
        <w:jc w:val="start"/>
        <w:rPr/>
      </w:pPr>
      <w:r>
        <w:rPr>
          <w:b/>
        </w:rPr>
        <w:t>BM25</w:t>
      </w:r>
      <w:r>
        <w:rPr/>
        <w:t xml:space="preserve"> — a probabilistic keyword-ranking function used in information retrieval (Robertson and Zaragoza, 2009).</w:t>
      </w:r>
    </w:p>
    <w:p>
      <w:pPr>
        <w:pStyle w:val="BodyText"/>
        <w:numPr>
          <w:ilvl w:val="0"/>
          <w:numId w:val="2"/>
        </w:numPr>
        <w:tabs>
          <w:tab w:val="clear" w:pos="709"/>
          <w:tab w:val="left" w:pos="709" w:leader="none"/>
        </w:tabs>
        <w:bidi w:val="0"/>
        <w:ind w:hanging="283" w:start="709"/>
        <w:jc w:val="start"/>
        <w:rPr/>
      </w:pPr>
      <w:r>
        <w:rPr>
          <w:b/>
        </w:rPr>
        <w:t>Dense/semantic retrieval</w:t>
      </w:r>
      <w:r>
        <w:rPr/>
        <w:t xml:space="preserve"> — retrieval based on vector similarity between learned sentence/passage embeddings rather than exact keyword overlap.</w:t>
      </w:r>
    </w:p>
    <w:p>
      <w:pPr>
        <w:pStyle w:val="BodyText"/>
        <w:numPr>
          <w:ilvl w:val="0"/>
          <w:numId w:val="2"/>
        </w:numPr>
        <w:tabs>
          <w:tab w:val="clear" w:pos="709"/>
          <w:tab w:val="left" w:pos="709" w:leader="none"/>
        </w:tabs>
        <w:bidi w:val="0"/>
        <w:ind w:hanging="283" w:start="709"/>
        <w:jc w:val="start"/>
        <w:rPr/>
      </w:pPr>
      <w:r>
        <w:rPr>
          <w:b/>
        </w:rPr>
        <w:t>RAG</w:t>
      </w:r>
      <w:r>
        <w:rPr/>
        <w:t xml:space="preserve"> — Retrieval-Augmented Generation (Lewis et al., 2020).</w:t>
      </w:r>
    </w:p>
    <w:p>
      <w:pPr>
        <w:pStyle w:val="BodyText"/>
        <w:numPr>
          <w:ilvl w:val="0"/>
          <w:numId w:val="2"/>
        </w:numPr>
        <w:tabs>
          <w:tab w:val="clear" w:pos="709"/>
          <w:tab w:val="left" w:pos="709" w:leader="none"/>
        </w:tabs>
        <w:bidi w:val="0"/>
        <w:ind w:hanging="283" w:start="709"/>
        <w:jc w:val="start"/>
        <w:rPr/>
      </w:pPr>
      <w:r>
        <w:rPr>
          <w:b/>
        </w:rPr>
        <w:t>XAI</w:t>
      </w:r>
      <w:r>
        <w:rPr/>
        <w:t xml:space="preserve"> — Explainable Artificial Intelligence.</w:t>
      </w:r>
    </w:p>
    <w:p>
      <w:pPr>
        <w:pStyle w:val="HorizontalLine"/>
        <w:bidi w:val="0"/>
        <w:jc w:val="start"/>
        <w:rPr/>
      </w:pPr>
      <w:r>
        <w:rPr/>
      </w:r>
    </w:p>
    <w:p>
      <w:pPr>
        <w:pStyle w:val="Heading2"/>
        <w:bidi w:val="0"/>
        <w:ind w:hanging="0" w:start="0"/>
        <w:jc w:val="start"/>
        <w:rPr/>
      </w:pPr>
      <w:r>
        <w:rPr/>
        <w:t>CHAPTER 1: INTRODUCTION</w:t>
      </w:r>
    </w:p>
    <w:p>
      <w:pPr>
        <w:pStyle w:val="BodyText"/>
        <w:bidi w:val="0"/>
        <w:jc w:val="start"/>
        <w:rPr/>
      </w:pPr>
      <w:r>
        <w:rPr>
          <w:i/>
        </w:rPr>
        <w:t>(Target ≈7–8 pages; current draft is a condensed skeleton — expand with your own analysis.)</w:t>
      </w:r>
    </w:p>
    <w:p>
      <w:pPr>
        <w:pStyle w:val="Heading3"/>
        <w:bidi w:val="0"/>
        <w:ind w:hanging="0" w:start="0"/>
        <w:jc w:val="start"/>
        <w:rPr/>
      </w:pPr>
      <w:r>
        <w:rPr/>
        <w:t>1.1 Chapter overview</w:t>
      </w:r>
    </w:p>
    <w:p>
      <w:pPr>
        <w:pStyle w:val="BodyText"/>
        <w:bidi w:val="0"/>
        <w:jc w:val="start"/>
        <w:rPr/>
      </w:pPr>
      <w:r>
        <w:rPr/>
        <w:t>This chapter introduces the problem of locating and verifying Sri Lankan legal procedural provisions within large, unindexed legislative and gazette text. It establishes the domain and technological context, defines the precise problem and its boundaries, presents the motivation and gap analysis, and converts these into a contribution statement, research questions, an aim, and measurable objectives. These elements are then examined against the literature in Chapter 2.</w:t>
      </w:r>
    </w:p>
    <w:p>
      <w:pPr>
        <w:pStyle w:val="Heading3"/>
        <w:bidi w:val="0"/>
        <w:ind w:hanging="0" w:start="0"/>
        <w:jc w:val="start"/>
        <w:rPr/>
      </w:pPr>
      <w:r>
        <w:rPr/>
        <w:t>1.2 Problem background</w:t>
      </w:r>
    </w:p>
    <w:p>
      <w:pPr>
        <w:pStyle w:val="Heading4"/>
        <w:bidi w:val="0"/>
        <w:ind w:hanging="0" w:start="0"/>
        <w:jc w:val="start"/>
        <w:rPr/>
      </w:pPr>
      <w:r>
        <w:rPr/>
        <w:t>1.2.1 Research domain context</w:t>
      </w:r>
    </w:p>
    <w:p>
      <w:pPr>
        <w:pStyle w:val="BodyText"/>
        <w:bidi w:val="0"/>
        <w:jc w:val="start"/>
        <w:rPr/>
      </w:pPr>
      <w:r>
        <w:rPr/>
        <w:t xml:space="preserve">Legal information retrieval (legal IR) is a long-standing subfield of information retrieval concerned with matching natural-language queries to relevant statutes, case law, or regulatory text. Foundational IR ranking approaches such as BM25 (Robertson and Zaragoza, 2009) remain strong keyword baselines, while dense sentence-embedding methods (Reimers and Gurevych, 2019) and multilingual embeddings (Feng et al., 2022) have since enabled semantic matching that does not depend on exact keyword overlap. Retrieval-Augmented Generation (Lewis et al., 2020) further combines retrieval with generative synthesis, grounding language-model outputs in retrieved evidence. In parallel, the explainable-AI-for-law literature argues that legal and quasi-legal decision-support systems carry a heightened obligation to justify their outputs with traceable evidence, both for professional trust and for legal liability reasons (Hacker et al., 2020), and that explanation methods for high-stakes domains remain fragmented and inconsistently evaluated (Saeed and Omlin, 2021). </w:t>
      </w:r>
      <w:r>
        <w:rPr>
          <w:rFonts w:ascii="Liberation Mono" w:hAnsi="Liberation Mono"/>
        </w:rPr>
        <w:t>[REFERENCE VERIFICATION REQUIRED: confirm whether Saeed and Omlin should be cited as the 2021 preprint or the later peer-reviewed version — check both and cite the one you actually read.]</w:t>
      </w:r>
    </w:p>
    <w:p>
      <w:pPr>
        <w:pStyle w:val="Heading4"/>
        <w:bidi w:val="0"/>
        <w:ind w:hanging="0" w:start="0"/>
        <w:jc w:val="start"/>
        <w:rPr/>
      </w:pPr>
      <w:r>
        <w:rPr/>
        <w:t>1.2.2 Specific technological context</w:t>
      </w:r>
    </w:p>
    <w:p>
      <w:pPr>
        <w:pStyle w:val="BodyText"/>
        <w:bidi w:val="0"/>
        <w:jc w:val="start"/>
        <w:rPr/>
      </w:pPr>
      <w:r>
        <w:rPr/>
        <w:t xml:space="preserve">The proposed work sits at the intersection of legal information retrieval, multilingual/low-resource NLP, and evidence-based explainability. A retrieval system for this domain must (a) segment long statutory documents into retrievable units (rules/sections) rather than whole documents, (b) rank candidate provisions using keyword, semantic, or hybrid scoring, and (c) present retrieved evidence in a way that a user can verify against the source, rather than as an unexplained ranked list or an unsupported generated answer. A further complication specific to legislative text is </w:t>
      </w:r>
      <w:r>
        <w:rPr>
          <w:b/>
        </w:rPr>
        <w:t>temporal validity</w:t>
      </w:r>
      <w:r>
        <w:rPr/>
        <w:t xml:space="preserve">: statutory rules are amended, superseded or revoked over time, and a retrieval system that ignores this can surface provisions that are no longer in force. </w:t>
      </w:r>
      <w:r>
        <w:rPr>
          <w:rFonts w:ascii="Liberation Mono" w:hAnsi="Liberation Mono"/>
        </w:rPr>
        <w:t>[REFERENCE VERIFICATION REQUIRED: identify at least one established legal-IR benchmark/approach that explicitly evaluates temporal validity, e.g. work on EUR-Lex consolidated legislation, and cite the specific paper, not just the EUR-Lex portal.]</w:t>
      </w:r>
    </w:p>
    <w:p>
      <w:pPr>
        <w:pStyle w:val="Heading4"/>
        <w:bidi w:val="0"/>
        <w:ind w:hanging="0" w:start="0"/>
        <w:jc w:val="start"/>
        <w:rPr/>
      </w:pPr>
      <w:r>
        <w:rPr/>
        <w:t>1.2.3 Practical and real-world context</w:t>
      </w:r>
    </w:p>
    <w:p>
      <w:pPr>
        <w:pStyle w:val="BodyText"/>
        <w:bidi w:val="0"/>
        <w:jc w:val="start"/>
        <w:rPr/>
      </w:pPr>
      <w:r>
        <w:rPr/>
        <w:t xml:space="preserve">Sri Lankan Acts and Extraordinary Gazettes are the authoritative vehicles for enacting and amending law, including procedural rules of court (Bar Association of Sri Lanka, n.d. — the BASL-compiled Supreme Court Rules document reviewed for this proposal shows that rules such as time limits for appeals and applications for special leave to appeal were themselves published via specific Extraordinary Gazette notifications, e.g. Gazette Extraordinary No. 645/4 of 15 January 1991 and No. 2216/08 of 23 February 2021). </w:t>
      </w:r>
      <w:r>
        <w:rPr>
          <w:rFonts w:ascii="Liberation Mono" w:hAnsi="Liberation Mono"/>
        </w:rPr>
        <w:t>[DATASET VERIFICATION REQUIRED: the BASL PDF is a secondary compiled publication, not the primary licensed dataset source — the primary corpus for this project must come from the MIT-licensed lk_legal_docs data branches, and the BASL document should be used only as a reference for understanding rule structure and for drafting benchmark queries.]</w:t>
      </w:r>
      <w:r>
        <w:rPr/>
        <w:t xml:space="preserve"> In practice, a person needing to know a filing deadline or an applicable procedural rule must currently search long PDF documents manually, with no reliable way to confirm whether a located provision remains valid. The system proposed here is framed strictly as a </w:t>
      </w:r>
      <w:r>
        <w:rPr>
          <w:b/>
        </w:rPr>
        <w:t>research decision-support prototype</w:t>
      </w:r>
      <w:r>
        <w:rPr/>
        <w:t xml:space="preserve"> — it retrieves and cites candidate evidence for a human to review; it does not issue legal advice, and its outputs must not be treated as authoritative without verification against the official Gazette or Act.</w:t>
      </w:r>
    </w:p>
    <w:p>
      <w:pPr>
        <w:pStyle w:val="Heading3"/>
        <w:bidi w:val="0"/>
        <w:ind w:hanging="0" w:start="0"/>
        <w:jc w:val="start"/>
        <w:rPr/>
      </w:pPr>
      <w:r>
        <w:rPr/>
        <w:t>1.3 Problem definition</w:t>
      </w:r>
    </w:p>
    <w:p>
      <w:pPr>
        <w:pStyle w:val="BodyText"/>
        <w:bidi w:val="0"/>
        <w:jc w:val="start"/>
        <w:rPr/>
      </w:pPr>
      <w:r>
        <w:rPr/>
        <w:t xml:space="preserve">Existing Sri Lankan legal-document releases (Senaratna, 2026) provide large, openly licensed collections of Acts, Bills, Gazettes and judgments, but the accompanying paper is a </w:t>
      </w:r>
      <w:r>
        <w:rPr>
          <w:b/>
        </w:rPr>
        <w:t>dataset description</w:t>
      </w:r>
      <w:r>
        <w:rPr/>
        <w:t xml:space="preserve">, not a retrieval system: it does not evaluate any retrieval method, provide a relevance-labelled benchmark, or address whether retrieved content remains legally current. Separately, general-purpose legal-IR and dense-retrieval methods have not been evaluated on Sri Lankan statutory or gazetted text, which differs from commonly studied corpora (e.g., case-law-centric benchmarks in other jurisdictions </w:t>
      </w:r>
      <w:r>
        <w:rPr>
          <w:rFonts w:ascii="Liberation Mono" w:hAnsi="Liberation Mono"/>
        </w:rPr>
        <w:t>[REFERENCE VERIFICATION REQUIRED: name and cite a specific comparator benchmark, e.g. a COLIEE overview paper, once you have located and read one]</w:t>
      </w:r>
      <w:r>
        <w:rPr/>
        <w:t>) in structure, language mix, and document quality (partial OCR/text-extraction coverage, as shown by the dataset's own completeness statistics). This project addresses the joint problem of (a) retrieving the correct procedural provision from this specific, partially-processed, low-resource-adjacent corpus, and (b) doing so in a way that is explainable (citation-linked) and validity-aware. It does not attempt point-in-time legal reasoning across arbitrary dates, does not attempt Sinhala/Tamil parallel-corpus construction, and does not attempt case-law reasoning.</w:t>
      </w:r>
    </w:p>
    <w:p>
      <w:pPr>
        <w:pStyle w:val="Heading4"/>
        <w:bidi w:val="0"/>
        <w:ind w:hanging="0" w:start="0"/>
        <w:jc w:val="start"/>
        <w:rPr/>
      </w:pPr>
      <w:r>
        <w:rPr/>
        <w:t>1.3.1 Problem statement</w:t>
      </w:r>
    </w:p>
    <w:p>
      <w:pPr>
        <w:pStyle w:val="BodyText"/>
        <w:bidi w:val="0"/>
        <w:jc w:val="start"/>
        <w:rPr/>
      </w:pPr>
      <w:r>
        <w:rPr/>
        <w:t>No evaluated retrieval approach currently exists for locating and explaining specific, currently valid procedural provisions within Sri Lankan Acts and Extraordinary Gazettes in response to natural-language queries.</w:t>
      </w:r>
    </w:p>
    <w:p>
      <w:pPr>
        <w:pStyle w:val="Heading3"/>
        <w:bidi w:val="0"/>
        <w:ind w:hanging="0" w:start="0"/>
        <w:jc w:val="start"/>
        <w:rPr/>
      </w:pPr>
      <w:r>
        <w:rPr/>
        <w:t>1.4 Research motivation</w:t>
      </w:r>
    </w:p>
    <w:p>
      <w:pPr>
        <w:pStyle w:val="BodyText"/>
        <w:bidi w:val="0"/>
        <w:jc w:val="start"/>
        <w:rPr/>
      </w:pPr>
      <w:r>
        <w:rPr>
          <w:b/>
        </w:rPr>
        <w:t>Technical:</w:t>
      </w:r>
      <w:r>
        <w:rPr/>
        <w:t xml:space="preserve"> legal-IR and dense-retrieval methods are mature in general-domain and some foreign-jurisdiction settings, but their comparative behaviour on Sri Lankan statutory text — with its mixed document quality and long, formally structured provisions — is untested. </w:t>
      </w:r>
      <w:r>
        <w:rPr>
          <w:b/>
        </w:rPr>
        <w:t>Practical:</w:t>
      </w:r>
      <w:r>
        <w:rPr/>
        <w:t xml:space="preserve"> a retrieval tool that surfaces the exact rule and its source citation, flagged for currency, could reduce the manual effort of searching long PDFs, while making clear that outputs require human verification. </w:t>
      </w:r>
      <w:r>
        <w:rPr>
          <w:b/>
        </w:rPr>
        <w:t>Academic:</w:t>
      </w:r>
      <w:r>
        <w:rPr/>
        <w:t xml:space="preserve"> the project provides controlled comparative evidence (keyword vs semantic vs hybrid; validity-aware vs validity-unaware) on a genuinely new corpus, contributing a reusable small-scale benchmark that does not currently exist for this setting.</w:t>
      </w:r>
    </w:p>
    <w:p>
      <w:pPr>
        <w:pStyle w:val="Heading3"/>
        <w:bidi w:val="0"/>
        <w:ind w:hanging="0" w:start="0"/>
        <w:jc w:val="start"/>
        <w:rPr/>
      </w:pPr>
      <w:r>
        <w:rPr/>
        <w:t>1.5 Research gap analysis</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Gap</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Evidence</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Closest studies</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Why unresolved</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Proposed response</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RQ</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Objective</w:t>
            </w:r>
          </w:p>
        </w:tc>
      </w:tr>
      <w:tr>
        <w:trPr/>
        <w:tc>
          <w:tcPr>
            <w:tcW w:w="1376" w:type="dxa"/>
            <w:tcBorders>
              <w:start w:val="single" w:sz="4" w:space="0" w:color="000000"/>
              <w:bottom w:val="single" w:sz="4" w:space="0" w:color="000000"/>
            </w:tcBorders>
          </w:tcPr>
          <w:p>
            <w:pPr>
              <w:pStyle w:val="TableContents"/>
              <w:bidi w:val="0"/>
              <w:jc w:val="start"/>
              <w:rPr/>
            </w:pPr>
            <w:r>
              <w:rPr/>
              <w:t>G1</w:t>
            </w:r>
          </w:p>
        </w:tc>
        <w:tc>
          <w:tcPr>
            <w:tcW w:w="1377" w:type="dxa"/>
            <w:tcBorders>
              <w:start w:val="single" w:sz="4" w:space="0" w:color="000000"/>
              <w:bottom w:val="single" w:sz="4" w:space="0" w:color="000000"/>
            </w:tcBorders>
          </w:tcPr>
          <w:p>
            <w:pPr>
              <w:pStyle w:val="TableContents"/>
              <w:bidi w:val="0"/>
              <w:jc w:val="start"/>
              <w:rPr/>
            </w:pPr>
            <w:r>
              <w:rPr/>
              <w:t>Legal-XAI literature motivates evidence-grounded explanation for legal decision support (Hacker et al., 2020; Saeed and Omlin, 2021; Prajescu and Confalonieri, 2025)</w:t>
            </w:r>
          </w:p>
        </w:tc>
        <w:tc>
          <w:tcPr>
            <w:tcW w:w="1377" w:type="dxa"/>
            <w:tcBorders>
              <w:start w:val="single" w:sz="4" w:space="0" w:color="000000"/>
              <w:bottom w:val="single" w:sz="4" w:space="0" w:color="000000"/>
            </w:tcBorders>
          </w:tcPr>
          <w:p>
            <w:pPr>
              <w:pStyle w:val="TableContents"/>
              <w:bidi w:val="0"/>
              <w:jc w:val="start"/>
              <w:rPr/>
            </w:pPr>
            <w:r>
              <w:rPr/>
              <w:t>These studies</w:t>
            </w:r>
          </w:p>
        </w:tc>
        <w:tc>
          <w:tcPr>
            <w:tcW w:w="1377" w:type="dxa"/>
            <w:tcBorders>
              <w:start w:val="single" w:sz="4" w:space="0" w:color="000000"/>
              <w:bottom w:val="single" w:sz="4" w:space="0" w:color="000000"/>
            </w:tcBorders>
          </w:tcPr>
          <w:p>
            <w:pPr>
              <w:pStyle w:val="TableContents"/>
              <w:bidi w:val="0"/>
              <w:jc w:val="start"/>
              <w:rPr/>
            </w:pPr>
            <w:r>
              <w:rPr/>
              <w:t>None evaluate retrieval-citation faithfulness on a Sri Lankan/low-resource-adjacent legal corpus</w:t>
            </w:r>
          </w:p>
        </w:tc>
        <w:tc>
          <w:tcPr>
            <w:tcW w:w="1377" w:type="dxa"/>
            <w:tcBorders>
              <w:start w:val="single" w:sz="4" w:space="0" w:color="000000"/>
              <w:bottom w:val="single" w:sz="4" w:space="0" w:color="000000"/>
            </w:tcBorders>
          </w:tcPr>
          <w:p>
            <w:pPr>
              <w:pStyle w:val="TableContents"/>
              <w:bidi w:val="0"/>
              <w:jc w:val="start"/>
              <w:rPr/>
            </w:pPr>
            <w:r>
              <w:rPr/>
              <w:t>Citation-faithfulness evaluation protocol</w:t>
            </w:r>
          </w:p>
        </w:tc>
        <w:tc>
          <w:tcPr>
            <w:tcW w:w="1377" w:type="dxa"/>
            <w:tcBorders>
              <w:start w:val="single" w:sz="4" w:space="0" w:color="000000"/>
              <w:bottom w:val="single" w:sz="4" w:space="0" w:color="000000"/>
            </w:tcBorders>
          </w:tcPr>
          <w:p>
            <w:pPr>
              <w:pStyle w:val="TableContents"/>
              <w:bidi w:val="0"/>
              <w:jc w:val="start"/>
              <w:rPr/>
            </w:pPr>
            <w:r>
              <w:rPr/>
              <w:t>RQ3</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RO5/RO6</w:t>
            </w:r>
          </w:p>
        </w:tc>
      </w:tr>
      <w:tr>
        <w:trPr/>
        <w:tc>
          <w:tcPr>
            <w:tcW w:w="1376" w:type="dxa"/>
            <w:tcBorders>
              <w:start w:val="single" w:sz="4" w:space="0" w:color="000000"/>
              <w:bottom w:val="single" w:sz="4" w:space="0" w:color="000000"/>
            </w:tcBorders>
          </w:tcPr>
          <w:p>
            <w:pPr>
              <w:pStyle w:val="TableContents"/>
              <w:bidi w:val="0"/>
              <w:jc w:val="start"/>
              <w:rPr/>
            </w:pPr>
            <w:r>
              <w:rPr/>
              <w:t>G2</w:t>
            </w:r>
          </w:p>
        </w:tc>
        <w:tc>
          <w:tcPr>
            <w:tcW w:w="1377" w:type="dxa"/>
            <w:tcBorders>
              <w:start w:val="single" w:sz="4" w:space="0" w:color="000000"/>
              <w:bottom w:val="single" w:sz="4" w:space="0" w:color="000000"/>
            </w:tcBorders>
          </w:tcPr>
          <w:p>
            <w:pPr>
              <w:pStyle w:val="TableContents"/>
              <w:bidi w:val="0"/>
              <w:jc w:val="start"/>
              <w:rPr/>
            </w:pPr>
            <w:r>
              <w:rPr/>
              <w:t>The only large-scale Sri Lankan legal-document release is a data-description paper (Senaratna, 2026)</w:t>
            </w:r>
          </w:p>
        </w:tc>
        <w:tc>
          <w:tcPr>
            <w:tcW w:w="1377" w:type="dxa"/>
            <w:tcBorders>
              <w:start w:val="single" w:sz="4" w:space="0" w:color="000000"/>
              <w:bottom w:val="single" w:sz="4" w:space="0" w:color="000000"/>
            </w:tcBorders>
          </w:tcPr>
          <w:p>
            <w:pPr>
              <w:pStyle w:val="TableContents"/>
              <w:bidi w:val="0"/>
              <w:jc w:val="start"/>
              <w:rPr/>
            </w:pPr>
            <w:r>
              <w:rPr/>
              <w:t>Senaratna (2026)</w:t>
            </w:r>
          </w:p>
        </w:tc>
        <w:tc>
          <w:tcPr>
            <w:tcW w:w="1377" w:type="dxa"/>
            <w:tcBorders>
              <w:start w:val="single" w:sz="4" w:space="0" w:color="000000"/>
              <w:bottom w:val="single" w:sz="4" w:space="0" w:color="000000"/>
            </w:tcBorders>
          </w:tcPr>
          <w:p>
            <w:pPr>
              <w:pStyle w:val="TableContents"/>
              <w:bidi w:val="0"/>
              <w:jc w:val="start"/>
              <w:rPr/>
            </w:pPr>
            <w:r>
              <w:rPr/>
              <w:t>No retrieval system, benchmark, or evaluation is provided by the dataset paper itself</w:t>
            </w:r>
          </w:p>
        </w:tc>
        <w:tc>
          <w:tcPr>
            <w:tcW w:w="1377" w:type="dxa"/>
            <w:tcBorders>
              <w:start w:val="single" w:sz="4" w:space="0" w:color="000000"/>
              <w:bottom w:val="single" w:sz="4" w:space="0" w:color="000000"/>
            </w:tcBorders>
          </w:tcPr>
          <w:p>
            <w:pPr>
              <w:pStyle w:val="TableContents"/>
              <w:bidi w:val="0"/>
              <w:jc w:val="start"/>
              <w:rPr/>
            </w:pPr>
            <w:r>
              <w:rPr/>
              <w:t>Build and evaluate a retrieval system + benchmark over this data</w:t>
            </w:r>
          </w:p>
        </w:tc>
        <w:tc>
          <w:tcPr>
            <w:tcW w:w="1377" w:type="dxa"/>
            <w:tcBorders>
              <w:start w:val="single" w:sz="4" w:space="0" w:color="000000"/>
              <w:bottom w:val="single" w:sz="4" w:space="0" w:color="000000"/>
            </w:tcBorders>
          </w:tcPr>
          <w:p>
            <w:pPr>
              <w:pStyle w:val="TableContents"/>
              <w:bidi w:val="0"/>
              <w:jc w:val="start"/>
              <w:rPr/>
            </w:pPr>
            <w:r>
              <w:rPr/>
              <w:t>RQ1, RQ2</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RO2–RO6</w:t>
            </w:r>
          </w:p>
        </w:tc>
      </w:tr>
      <w:tr>
        <w:trPr/>
        <w:tc>
          <w:tcPr>
            <w:tcW w:w="1376" w:type="dxa"/>
            <w:tcBorders>
              <w:start w:val="single" w:sz="4" w:space="0" w:color="000000"/>
              <w:bottom w:val="single" w:sz="4" w:space="0" w:color="000000"/>
            </w:tcBorders>
          </w:tcPr>
          <w:p>
            <w:pPr>
              <w:pStyle w:val="TableContents"/>
              <w:bidi w:val="0"/>
              <w:jc w:val="start"/>
              <w:rPr/>
            </w:pPr>
            <w:r>
              <w:rPr/>
              <w:t>G3</w:t>
            </w:r>
          </w:p>
        </w:tc>
        <w:tc>
          <w:tcPr>
            <w:tcW w:w="1377" w:type="dxa"/>
            <w:tcBorders>
              <w:start w:val="single" w:sz="4" w:space="0" w:color="000000"/>
              <w:bottom w:val="single" w:sz="4" w:space="0" w:color="000000"/>
            </w:tcBorders>
          </w:tcPr>
          <w:p>
            <w:pPr>
              <w:pStyle w:val="TableContents"/>
              <w:bidi w:val="0"/>
              <w:jc w:val="start"/>
              <w:rPr/>
            </w:pPr>
            <w:r>
              <w:rPr/>
              <w:t>Keyword (Robertson and Zaragoza, 2009), dense (Reimers and Gurevych, 2019), multilingual (Feng et al., 2022) and RAG (Lewis et al., 2020) methods are well evaluated elsewhere</w:t>
            </w:r>
          </w:p>
        </w:tc>
        <w:tc>
          <w:tcPr>
            <w:tcW w:w="1377" w:type="dxa"/>
            <w:tcBorders>
              <w:start w:val="single" w:sz="4" w:space="0" w:color="000000"/>
              <w:bottom w:val="single" w:sz="4" w:space="0" w:color="000000"/>
            </w:tcBorders>
          </w:tcPr>
          <w:p>
            <w:pPr>
              <w:pStyle w:val="TableContents"/>
              <w:bidi w:val="0"/>
              <w:jc w:val="start"/>
              <w:rPr/>
            </w:pPr>
            <w:r>
              <w:rPr/>
              <w:t xml:space="preserve">These four papers; </w:t>
            </w:r>
            <w:r>
              <w:rPr>
                <w:rFonts w:ascii="Liberation Mono" w:hAnsi="Liberation Mono"/>
              </w:rPr>
              <w:t>[REFERENCE VERIFICATION REQUIRED: at least one legal-domain retrieval benchmark paper]</w:t>
            </w:r>
          </w:p>
        </w:tc>
        <w:tc>
          <w:tcPr>
            <w:tcW w:w="1377" w:type="dxa"/>
            <w:tcBorders>
              <w:start w:val="single" w:sz="4" w:space="0" w:color="000000"/>
              <w:bottom w:val="single" w:sz="4" w:space="0" w:color="000000"/>
            </w:tcBorders>
          </w:tcPr>
          <w:p>
            <w:pPr>
              <w:pStyle w:val="TableContents"/>
              <w:bidi w:val="0"/>
              <w:jc w:val="start"/>
              <w:rPr/>
            </w:pPr>
            <w:r>
              <w:rPr/>
              <w:t>No comparative evidence exists for Sri Lankan legislative/procedural text specifically</w:t>
            </w:r>
          </w:p>
        </w:tc>
        <w:tc>
          <w:tcPr>
            <w:tcW w:w="1377" w:type="dxa"/>
            <w:tcBorders>
              <w:start w:val="single" w:sz="4" w:space="0" w:color="000000"/>
              <w:bottom w:val="single" w:sz="4" w:space="0" w:color="000000"/>
            </w:tcBorders>
          </w:tcPr>
          <w:p>
            <w:pPr>
              <w:pStyle w:val="TableContents"/>
              <w:bidi w:val="0"/>
              <w:jc w:val="start"/>
              <w:rPr/>
            </w:pPr>
            <w:r>
              <w:rPr/>
              <w:t>Controlled comparison of BM25/TF-IDF vs dense vs hybrid on the curated corpus</w:t>
            </w:r>
          </w:p>
        </w:tc>
        <w:tc>
          <w:tcPr>
            <w:tcW w:w="1377" w:type="dxa"/>
            <w:tcBorders>
              <w:start w:val="single" w:sz="4" w:space="0" w:color="000000"/>
              <w:bottom w:val="single" w:sz="4" w:space="0" w:color="000000"/>
            </w:tcBorders>
          </w:tcPr>
          <w:p>
            <w:pPr>
              <w:pStyle w:val="TableContents"/>
              <w:bidi w:val="0"/>
              <w:jc w:val="start"/>
              <w:rPr/>
            </w:pPr>
            <w:r>
              <w:rPr/>
              <w:t>RQ1, RQ2</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RO4–RO6</w:t>
            </w:r>
          </w:p>
        </w:tc>
      </w:tr>
      <w:tr>
        <w:trPr/>
        <w:tc>
          <w:tcPr>
            <w:tcW w:w="1376" w:type="dxa"/>
            <w:tcBorders>
              <w:start w:val="single" w:sz="4" w:space="0" w:color="000000"/>
              <w:bottom w:val="single" w:sz="4" w:space="0" w:color="000000"/>
            </w:tcBorders>
          </w:tcPr>
          <w:p>
            <w:pPr>
              <w:pStyle w:val="TableContents"/>
              <w:bidi w:val="0"/>
              <w:jc w:val="start"/>
              <w:rPr/>
            </w:pPr>
            <w:r>
              <w:rPr/>
              <w:t>G4</w:t>
            </w:r>
          </w:p>
        </w:tc>
        <w:tc>
          <w:tcPr>
            <w:tcW w:w="1377" w:type="dxa"/>
            <w:tcBorders>
              <w:start w:val="single" w:sz="4" w:space="0" w:color="000000"/>
              <w:bottom w:val="single" w:sz="4" w:space="0" w:color="000000"/>
            </w:tcBorders>
          </w:tcPr>
          <w:p>
            <w:pPr>
              <w:pStyle w:val="TableContents"/>
              <w:bidi w:val="0"/>
              <w:jc w:val="start"/>
              <w:rPr/>
            </w:pPr>
            <w:r>
              <w:rPr/>
              <w:t xml:space="preserve">Temporal/consolidated-legislation tracking exists for some jurisdictions (e.g. EUR-Lex) </w:t>
            </w:r>
            <w:r>
              <w:rPr>
                <w:rFonts w:ascii="Liberation Mono" w:hAnsi="Liberation Mono"/>
              </w:rPr>
              <w:t>[REFERENCE VERIFICATION REQUIRED]</w:t>
            </w:r>
          </w:p>
        </w:tc>
        <w:tc>
          <w:tcPr>
            <w:tcW w:w="1377" w:type="dxa"/>
            <w:tcBorders>
              <w:start w:val="single" w:sz="4" w:space="0" w:color="000000"/>
              <w:bottom w:val="single" w:sz="4" w:space="0" w:color="000000"/>
            </w:tcBorders>
          </w:tcPr>
          <w:p>
            <w:pPr>
              <w:pStyle w:val="TableContents"/>
              <w:bidi w:val="0"/>
              <w:jc w:val="start"/>
              <w:rPr/>
            </w:pPr>
            <w:r>
              <w:rPr>
                <w:rFonts w:ascii="Liberation Mono" w:hAnsi="Liberation Mono"/>
              </w:rPr>
              <w:t>[to be identified]</w:t>
            </w:r>
          </w:p>
        </w:tc>
        <w:tc>
          <w:tcPr>
            <w:tcW w:w="1377" w:type="dxa"/>
            <w:tcBorders>
              <w:start w:val="single" w:sz="4" w:space="0" w:color="000000"/>
              <w:bottom w:val="single" w:sz="4" w:space="0" w:color="000000"/>
            </w:tcBorders>
          </w:tcPr>
          <w:p>
            <w:pPr>
              <w:pStyle w:val="TableContents"/>
              <w:bidi w:val="0"/>
              <w:jc w:val="start"/>
              <w:rPr/>
            </w:pPr>
            <w:r>
              <w:rPr/>
              <w:t>No equivalent mechanism or evaluation exists for Sri Lankan procedural rules, despite explicit revocation/coming-into-force text in the source documents (evidenced in the BASL Supreme Court Rules compilation)</w:t>
            </w:r>
          </w:p>
        </w:tc>
        <w:tc>
          <w:tcPr>
            <w:tcW w:w="1377" w:type="dxa"/>
            <w:tcBorders>
              <w:start w:val="single" w:sz="4" w:space="0" w:color="000000"/>
              <w:bottom w:val="single" w:sz="4" w:space="0" w:color="000000"/>
            </w:tcBorders>
          </w:tcPr>
          <w:p>
            <w:pPr>
              <w:pStyle w:val="TableContents"/>
              <w:bidi w:val="0"/>
              <w:jc w:val="start"/>
              <w:rPr/>
            </w:pPr>
            <w:r>
              <w:rPr/>
              <w:t>Rule-based validity-flag extraction and accuracy evaluation</w:t>
            </w:r>
          </w:p>
        </w:tc>
        <w:tc>
          <w:tcPr>
            <w:tcW w:w="1377" w:type="dxa"/>
            <w:tcBorders>
              <w:start w:val="single" w:sz="4" w:space="0" w:color="000000"/>
              <w:bottom w:val="single" w:sz="4" w:space="0" w:color="000000"/>
            </w:tcBorders>
          </w:tcPr>
          <w:p>
            <w:pPr>
              <w:pStyle w:val="TableContents"/>
              <w:bidi w:val="0"/>
              <w:jc w:val="start"/>
              <w:rPr/>
            </w:pPr>
            <w:r>
              <w:rPr/>
              <w:t>RQ4</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RO2, RO5, RO6</w:t>
            </w:r>
          </w:p>
        </w:tc>
      </w:tr>
    </w:tbl>
    <w:p>
      <w:pPr>
        <w:pStyle w:val="BodyText"/>
        <w:bidi w:val="0"/>
        <w:jc w:val="start"/>
        <w:rPr/>
      </w:pPr>
      <w:r>
        <w:rPr/>
      </w:r>
    </w:p>
    <w:p>
      <w:pPr>
        <w:pStyle w:val="BodyText"/>
        <w:bidi w:val="0"/>
        <w:jc w:val="start"/>
        <w:rPr/>
      </w:pPr>
      <w:r>
        <w:rPr/>
        <w:t>A full literature-survey and gap matrix should be maintained in Appendix C/D and only summarised here.</w:t>
      </w:r>
    </w:p>
    <w:p>
      <w:pPr>
        <w:pStyle w:val="Heading3"/>
        <w:bidi w:val="0"/>
        <w:ind w:hanging="0" w:start="0"/>
        <w:jc w:val="start"/>
        <w:rPr/>
      </w:pPr>
      <w:r>
        <w:rPr/>
        <w:t>1.6 Contribution to the body of knowledge</w:t>
      </w:r>
    </w:p>
    <w:p>
      <w:pPr>
        <w:pStyle w:val="Heading4"/>
        <w:bidi w:val="0"/>
        <w:ind w:hanging="0" w:start="0"/>
        <w:jc w:val="start"/>
        <w:rPr/>
      </w:pPr>
      <w:r>
        <w:rPr/>
        <w:t>1.6.1 Research-domain contribution</w:t>
      </w:r>
    </w:p>
    <w:p>
      <w:pPr>
        <w:pStyle w:val="BodyText"/>
        <w:bidi w:val="0"/>
        <w:jc w:val="start"/>
        <w:rPr/>
      </w:pPr>
      <w:r>
        <w:rPr/>
        <w:t>Comparative, reproducible evidence on keyword, dense-semantic and hybrid retrieval effectiveness for Sri Lankan legislative/procedural text — a document domain and jurisdiction not previously evaluated in the reviewed literature — together with a manually curated, documented query-relevance benchmark that can be reused by future Sri Lankan legal-NLP work.</w:t>
      </w:r>
    </w:p>
    <w:p>
      <w:pPr>
        <w:pStyle w:val="Heading4"/>
        <w:bidi w:val="0"/>
        <w:ind w:hanging="0" w:start="0"/>
        <w:jc w:val="start"/>
        <w:rPr/>
      </w:pPr>
      <w:r>
        <w:rPr/>
        <w:t>1.6.2 Problem-domain contribution</w:t>
      </w:r>
    </w:p>
    <w:p>
      <w:pPr>
        <w:pStyle w:val="BodyText"/>
        <w:bidi w:val="0"/>
        <w:jc w:val="start"/>
        <w:rPr/>
      </w:pPr>
      <w:r>
        <w:rPr/>
        <w:t>A research-prototype tool that returns cited, verifiable evidence (source document, provision/rule number, and highlighted matching text) for a natural-language procedural query, with an explicit flag distinguishing provisions recorded as currently in force from those recorded as amended or revoked, framed throughout as a decision-support aid requiring human verification, not a substitute for legal advice.</w:t>
      </w:r>
    </w:p>
    <w:p>
      <w:pPr>
        <w:pStyle w:val="Heading3"/>
        <w:bidi w:val="0"/>
        <w:ind w:hanging="0" w:start="0"/>
        <w:jc w:val="start"/>
        <w:rPr/>
      </w:pPr>
      <w:r>
        <w:rPr/>
        <w:t>1.7 Research challenges</w:t>
      </w:r>
    </w:p>
    <w:p>
      <w:pPr>
        <w:pStyle w:val="BodyText"/>
        <w:numPr>
          <w:ilvl w:val="0"/>
          <w:numId w:val="3"/>
        </w:numPr>
        <w:tabs>
          <w:tab w:val="clear" w:pos="709"/>
          <w:tab w:val="left" w:pos="709" w:leader="none"/>
        </w:tabs>
        <w:bidi w:val="0"/>
        <w:ind w:hanging="283" w:start="709"/>
        <w:jc w:val="start"/>
        <w:rPr/>
      </w:pPr>
      <w:r>
        <w:rPr>
          <w:b/>
        </w:rPr>
        <w:t>Uneven data completeness:</w:t>
      </w:r>
      <w:r>
        <w:rPr/>
        <w:t xml:space="preserve"> only 100% of Acts but as low as ~28% of 2020s Gazette entries currently have extracted text </w:t>
      </w:r>
      <w:r>
        <w:rPr>
          <w:rFonts w:ascii="Liberation Mono" w:hAnsi="Liberation Mono"/>
        </w:rPr>
        <w:t>[DATASET VERIFICATION REQUIRED — re-check the live percentage at the time of data acquisition]</w:t>
      </w:r>
      <w:r>
        <w:rPr/>
        <w:t>; the project must be designed to work robustly on the available subset rather than assuming full corpus access.</w:t>
      </w:r>
    </w:p>
    <w:p>
      <w:pPr>
        <w:pStyle w:val="BodyText"/>
        <w:numPr>
          <w:ilvl w:val="0"/>
          <w:numId w:val="3"/>
        </w:numPr>
        <w:tabs>
          <w:tab w:val="clear" w:pos="709"/>
          <w:tab w:val="left" w:pos="709" w:leader="none"/>
        </w:tabs>
        <w:bidi w:val="0"/>
        <w:ind w:hanging="283" w:start="709"/>
        <w:jc w:val="start"/>
        <w:rPr/>
      </w:pPr>
      <w:r>
        <w:rPr>
          <w:b/>
        </w:rPr>
        <w:t>Filtering "procedure" from general legislation:</w:t>
      </w:r>
      <w:r>
        <w:rPr/>
        <w:t xml:space="preserve"> most Acts and Gazette notices are not procedural (e.g., tax schedules, appointments); a defensible, documented filtering method is required rather than manual guesswork alone.</w:t>
      </w:r>
    </w:p>
    <w:p>
      <w:pPr>
        <w:pStyle w:val="BodyText"/>
        <w:numPr>
          <w:ilvl w:val="0"/>
          <w:numId w:val="3"/>
        </w:numPr>
        <w:tabs>
          <w:tab w:val="clear" w:pos="709"/>
          <w:tab w:val="left" w:pos="709" w:leader="none"/>
        </w:tabs>
        <w:bidi w:val="0"/>
        <w:ind w:hanging="283" w:start="709"/>
        <w:jc w:val="start"/>
        <w:rPr/>
      </w:pPr>
      <w:r>
        <w:rPr>
          <w:b/>
        </w:rPr>
        <w:t>Building a defensible relevance benchmark without professional legal training:</w:t>
      </w:r>
      <w:r>
        <w:rPr/>
        <w:t xml:space="preserve"> annotation criteria must be explicit, conservative, and cross-checked against the source text (and, where consistent, against the BASL Supreme Court Rules compilation) rather than relying on the student's unqualified legal judgement.</w:t>
      </w:r>
    </w:p>
    <w:p>
      <w:pPr>
        <w:pStyle w:val="BodyText"/>
        <w:numPr>
          <w:ilvl w:val="0"/>
          <w:numId w:val="3"/>
        </w:numPr>
        <w:tabs>
          <w:tab w:val="clear" w:pos="709"/>
          <w:tab w:val="left" w:pos="709" w:leader="none"/>
        </w:tabs>
        <w:bidi w:val="0"/>
        <w:ind w:hanging="283" w:start="709"/>
        <w:jc w:val="start"/>
        <w:rPr/>
      </w:pPr>
      <w:r>
        <w:rPr>
          <w:b/>
        </w:rPr>
        <w:t>Avoiding overclaiming legal correctness:</w:t>
      </w:r>
      <w:r>
        <w:rPr/>
        <w:t xml:space="preserve"> the system must never be presented as verifying that a provision is legally correct or currently applicable in a formal sense — only that it has been retrieved and that available textual evidence about its status is shown.</w:t>
      </w:r>
    </w:p>
    <w:p>
      <w:pPr>
        <w:pStyle w:val="BodyText"/>
        <w:numPr>
          <w:ilvl w:val="0"/>
          <w:numId w:val="3"/>
        </w:numPr>
        <w:tabs>
          <w:tab w:val="clear" w:pos="709"/>
          <w:tab w:val="left" w:pos="709" w:leader="none"/>
        </w:tabs>
        <w:bidi w:val="0"/>
        <w:ind w:hanging="283" w:start="709"/>
        <w:jc w:val="start"/>
        <w:rPr/>
      </w:pPr>
      <w:r>
        <w:rPr>
          <w:b/>
        </w:rPr>
        <w:t>Compute/time constraints:</w:t>
      </w:r>
      <w:r>
        <w:rPr/>
        <w:t xml:space="preserve"> dense retrieval and evaluation must be feasible on typical student hardware within the project timeframe (see Chapter 3, resources).</w:t>
      </w:r>
    </w:p>
    <w:p>
      <w:pPr>
        <w:pStyle w:val="Heading3"/>
        <w:numPr>
          <w:ilvl w:val="0"/>
          <w:numId w:val="0"/>
        </w:numPr>
        <w:bidi w:val="0"/>
        <w:ind w:hanging="0" w:start="0"/>
        <w:jc w:val="start"/>
        <w:rPr/>
      </w:pPr>
      <w:r>
        <w:rPr/>
        <w:t>1.8 Research questions</w:t>
      </w:r>
    </w:p>
    <w:p>
      <w:pPr>
        <w:pStyle w:val="BodyText"/>
        <w:bidi w:val="0"/>
        <w:jc w:val="start"/>
        <w:rPr/>
      </w:pPr>
      <w:r>
        <w:rPr/>
        <w:t>RQ1–RQ5 as listed in the chat response (Stage 3) above; reproduced here for completeness:</w:t>
      </w:r>
    </w:p>
    <w:p>
      <w:pPr>
        <w:pStyle w:val="BodyText"/>
        <w:numPr>
          <w:ilvl w:val="0"/>
          <w:numId w:val="4"/>
        </w:numPr>
        <w:tabs>
          <w:tab w:val="clear" w:pos="709"/>
          <w:tab w:val="left" w:pos="709" w:leader="none"/>
        </w:tabs>
        <w:bidi w:val="0"/>
        <w:ind w:hanging="283" w:start="709"/>
        <w:jc w:val="start"/>
        <w:rPr/>
      </w:pPr>
      <w:r>
        <w:rPr/>
        <w:t>To what extent does dense semantic retrieval improve Recall@K and nDCG@K over a BM25 keyword baseline for locating relevant procedural provisions in the curated Acts/Gazette corpus?</w:t>
      </w:r>
    </w:p>
    <w:p>
      <w:pPr>
        <w:pStyle w:val="BodyText"/>
        <w:numPr>
          <w:ilvl w:val="0"/>
          <w:numId w:val="4"/>
        </w:numPr>
        <w:tabs>
          <w:tab w:val="clear" w:pos="709"/>
          <w:tab w:val="left" w:pos="709" w:leader="none"/>
        </w:tabs>
        <w:bidi w:val="0"/>
        <w:ind w:hanging="283" w:start="709"/>
        <w:jc w:val="start"/>
        <w:rPr/>
      </w:pPr>
      <w:r>
        <w:rPr/>
        <w:t>Does hybrid (keyword + semantic) retrieval outperform either individual approach on the same benchmark?</w:t>
      </w:r>
    </w:p>
    <w:p>
      <w:pPr>
        <w:pStyle w:val="BodyText"/>
        <w:numPr>
          <w:ilvl w:val="0"/>
          <w:numId w:val="4"/>
        </w:numPr>
        <w:tabs>
          <w:tab w:val="clear" w:pos="709"/>
          <w:tab w:val="left" w:pos="709" w:leader="none"/>
        </w:tabs>
        <w:bidi w:val="0"/>
        <w:ind w:hanging="283" w:start="709"/>
        <w:jc w:val="start"/>
        <w:rPr/>
      </w:pPr>
      <w:r>
        <w:rPr/>
        <w:t>How faithfully do the system's cited source passages support the retrieved answer, as judged by manual verification against the source document?</w:t>
      </w:r>
    </w:p>
    <w:p>
      <w:pPr>
        <w:pStyle w:val="BodyText"/>
        <w:numPr>
          <w:ilvl w:val="0"/>
          <w:numId w:val="4"/>
        </w:numPr>
        <w:tabs>
          <w:tab w:val="clear" w:pos="709"/>
          <w:tab w:val="left" w:pos="709" w:leader="none"/>
        </w:tabs>
        <w:bidi w:val="0"/>
        <w:ind w:hanging="283" w:start="709"/>
        <w:jc w:val="start"/>
        <w:rPr/>
      </w:pPr>
      <w:r>
        <w:rPr/>
        <w:t>Does a rule-based temporal-validity flag reduce the retrieval of superseded/revoked provisions compared with a validity-unaware baseline?</w:t>
      </w:r>
    </w:p>
    <w:p>
      <w:pPr>
        <w:pStyle w:val="BodyText"/>
        <w:numPr>
          <w:ilvl w:val="0"/>
          <w:numId w:val="4"/>
        </w:numPr>
        <w:tabs>
          <w:tab w:val="clear" w:pos="709"/>
          <w:tab w:val="left" w:pos="709" w:leader="none"/>
        </w:tabs>
        <w:bidi w:val="0"/>
        <w:ind w:hanging="283" w:start="709"/>
        <w:jc w:val="start"/>
        <w:rPr/>
      </w:pPr>
      <w:r>
        <w:rPr>
          <w:i/>
        </w:rPr>
        <w:t xml:space="preserve">(Optional/stretch, </w:t>
      </w:r>
      <w:r>
        <w:rPr>
          <w:rFonts w:ascii="Liberation Mono" w:hAnsi="Liberation Mono"/>
          <w:i/>
        </w:rPr>
        <w:t>[DECISION REQUIRED]</w:t>
      </w:r>
      <w:r>
        <w:rPr>
          <w:i/>
        </w:rPr>
        <w:t>)</w:t>
      </w:r>
      <w:r>
        <w:rPr/>
        <w:t xml:space="preserve"> How does retrieval effectiveness differ between English-only and multilingual-embedding retrieval on a small matched Sinhala query subset?</w:t>
      </w:r>
    </w:p>
    <w:p>
      <w:pPr>
        <w:pStyle w:val="Heading3"/>
        <w:numPr>
          <w:ilvl w:val="0"/>
          <w:numId w:val="0"/>
        </w:numPr>
        <w:bidi w:val="0"/>
        <w:ind w:hanging="0" w:start="0"/>
        <w:jc w:val="start"/>
        <w:rPr/>
      </w:pPr>
      <w:r>
        <w:rPr/>
        <w:t>1.9 Research aim</w:t>
      </w:r>
    </w:p>
    <w:p>
      <w:pPr>
        <w:pStyle w:val="BodyText"/>
        <w:bidi w:val="0"/>
        <w:jc w:val="start"/>
        <w:rPr/>
      </w:pPr>
      <w:r>
        <w:rPr/>
        <w:t>"The aim of this research is to design, develop and evaluate an explainable, evidence-grounded retrieval framework that helps identify relevant and currently valid procedural provisions from Sri Lankan Acts and Extraordinary Gazettes in response to natural-language legal-procedure queries."</w:t>
      </w:r>
    </w:p>
    <w:p>
      <w:pPr>
        <w:pStyle w:val="Heading3"/>
        <w:bidi w:val="0"/>
        <w:ind w:hanging="0" w:start="0"/>
        <w:jc w:val="start"/>
        <w:rPr/>
      </w:pPr>
      <w:r>
        <w:rPr/>
        <w:t>1.10 Research objectives</w:t>
      </w:r>
    </w:p>
    <w:p>
      <w:pPr>
        <w:pStyle w:val="BodyText"/>
        <w:numPr>
          <w:ilvl w:val="0"/>
          <w:numId w:val="5"/>
        </w:numPr>
        <w:tabs>
          <w:tab w:val="clear" w:pos="709"/>
          <w:tab w:val="left" w:pos="709" w:leader="none"/>
        </w:tabs>
        <w:bidi w:val="0"/>
        <w:ind w:hanging="283" w:start="709"/>
        <w:jc w:val="start"/>
        <w:rPr/>
      </w:pPr>
      <w:r>
        <w:rPr>
          <w:b/>
        </w:rPr>
        <w:t>RO1:</w:t>
      </w:r>
      <w:r>
        <w:rPr/>
        <w:t xml:space="preserve"> Critically analyse literature on legal information retrieval, explainable AI for legal decision support, and existing Sri Lankan legal-document resources to identify defensible research gaps.</w:t>
      </w:r>
    </w:p>
    <w:p>
      <w:pPr>
        <w:pStyle w:val="BodyText"/>
        <w:numPr>
          <w:ilvl w:val="0"/>
          <w:numId w:val="5"/>
        </w:numPr>
        <w:tabs>
          <w:tab w:val="clear" w:pos="709"/>
          <w:tab w:val="left" w:pos="709" w:leader="none"/>
        </w:tabs>
        <w:bidi w:val="0"/>
        <w:ind w:hanging="283" w:start="709"/>
        <w:jc w:val="start"/>
        <w:rPr/>
      </w:pPr>
      <w:r>
        <w:rPr>
          <w:b/>
        </w:rPr>
        <w:t>RO2:</w:t>
      </w:r>
      <w:r>
        <w:rPr/>
        <w:t xml:space="preserve"> Acquire, filter, and curate a scoped corpus of Sri Lankan Acts and text-available Extraordinary Gazette notifications, with provenance and validity-related metadata.</w:t>
      </w:r>
    </w:p>
    <w:p>
      <w:pPr>
        <w:pStyle w:val="BodyText"/>
        <w:numPr>
          <w:ilvl w:val="0"/>
          <w:numId w:val="5"/>
        </w:numPr>
        <w:tabs>
          <w:tab w:val="clear" w:pos="709"/>
          <w:tab w:val="left" w:pos="709" w:leader="none"/>
        </w:tabs>
        <w:bidi w:val="0"/>
        <w:ind w:hanging="283" w:start="709"/>
        <w:jc w:val="start"/>
        <w:rPr/>
      </w:pPr>
      <w:r>
        <w:rPr>
          <w:b/>
        </w:rPr>
        <w:t>RO3:</w:t>
      </w:r>
      <w:r>
        <w:rPr/>
        <w:t xml:space="preserve"> Construct and document a manually annotated benchmark of natural-language procedural queries with relevance and validity judgments.</w:t>
      </w:r>
    </w:p>
    <w:p>
      <w:pPr>
        <w:pStyle w:val="BodyText"/>
        <w:numPr>
          <w:ilvl w:val="0"/>
          <w:numId w:val="5"/>
        </w:numPr>
        <w:tabs>
          <w:tab w:val="clear" w:pos="709"/>
          <w:tab w:val="left" w:pos="709" w:leader="none"/>
        </w:tabs>
        <w:bidi w:val="0"/>
        <w:ind w:hanging="283" w:start="709"/>
        <w:jc w:val="start"/>
        <w:rPr/>
      </w:pPr>
      <w:r>
        <w:rPr>
          <w:b/>
        </w:rPr>
        <w:t>RO4:</w:t>
      </w:r>
      <w:r>
        <w:rPr/>
        <w:t xml:space="preserve"> Design and implement baseline retrieval pipelines (TF-IDF and BM25).</w:t>
      </w:r>
    </w:p>
    <w:p>
      <w:pPr>
        <w:pStyle w:val="BodyText"/>
        <w:numPr>
          <w:ilvl w:val="0"/>
          <w:numId w:val="5"/>
        </w:numPr>
        <w:tabs>
          <w:tab w:val="clear" w:pos="709"/>
          <w:tab w:val="left" w:pos="709" w:leader="none"/>
        </w:tabs>
        <w:bidi w:val="0"/>
        <w:ind w:hanging="283" w:start="709"/>
        <w:jc w:val="start"/>
        <w:rPr/>
      </w:pPr>
      <w:r>
        <w:rPr>
          <w:b/>
        </w:rPr>
        <w:t>RO5:</w:t>
      </w:r>
      <w:r>
        <w:rPr/>
        <w:t xml:space="preserve"> Design and implement the proposed dense/hybrid retrieval pipeline with citation output and a rule-based temporal-validity flag.</w:t>
      </w:r>
    </w:p>
    <w:p>
      <w:pPr>
        <w:pStyle w:val="BodyText"/>
        <w:numPr>
          <w:ilvl w:val="0"/>
          <w:numId w:val="5"/>
        </w:numPr>
        <w:tabs>
          <w:tab w:val="clear" w:pos="709"/>
          <w:tab w:val="left" w:pos="709" w:leader="none"/>
        </w:tabs>
        <w:bidi w:val="0"/>
        <w:ind w:hanging="283" w:start="709"/>
        <w:jc w:val="start"/>
        <w:rPr/>
      </w:pPr>
      <w:r>
        <w:rPr>
          <w:b/>
        </w:rPr>
        <w:t>RO6:</w:t>
      </w:r>
      <w:r>
        <w:rPr/>
        <w:t xml:space="preserve"> Evaluate all approaches using standard IR metrics, citation-faithfulness review, and validity-flag accuracy, and conduct ablation analysis.</w:t>
      </w:r>
    </w:p>
    <w:p>
      <w:pPr>
        <w:pStyle w:val="BodyText"/>
        <w:numPr>
          <w:ilvl w:val="0"/>
          <w:numId w:val="5"/>
        </w:numPr>
        <w:tabs>
          <w:tab w:val="clear" w:pos="709"/>
          <w:tab w:val="left" w:pos="709" w:leader="none"/>
        </w:tabs>
        <w:bidi w:val="0"/>
        <w:ind w:hanging="283" w:start="709"/>
        <w:jc w:val="start"/>
        <w:rPr/>
      </w:pPr>
      <w:r>
        <w:rPr>
          <w:b/>
        </w:rPr>
        <w:t>RO7:</w:t>
      </w:r>
      <w:r>
        <w:rPr/>
        <w:t xml:space="preserve"> Critically analyse legal, ethical, social and professional implications, and document responsible Generative AI use throughout the project.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RQ</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Objective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Dataset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Evaluation</w:t>
            </w:r>
          </w:p>
        </w:tc>
      </w:tr>
      <w:tr>
        <w:trPr/>
        <w:tc>
          <w:tcPr>
            <w:tcW w:w="1927" w:type="dxa"/>
            <w:tcBorders>
              <w:start w:val="single" w:sz="4" w:space="0" w:color="000000"/>
              <w:bottom w:val="single" w:sz="4" w:space="0" w:color="000000"/>
            </w:tcBorders>
          </w:tcPr>
          <w:p>
            <w:pPr>
              <w:pStyle w:val="TableContents"/>
              <w:bidi w:val="0"/>
              <w:jc w:val="start"/>
              <w:rPr/>
            </w:pPr>
            <w:r>
              <w:rPr/>
              <w:t>RQ1</w:t>
            </w:r>
          </w:p>
        </w:tc>
        <w:tc>
          <w:tcPr>
            <w:tcW w:w="1928" w:type="dxa"/>
            <w:tcBorders>
              <w:start w:val="single" w:sz="4" w:space="0" w:color="000000"/>
              <w:bottom w:val="single" w:sz="4" w:space="0" w:color="000000"/>
            </w:tcBorders>
          </w:tcPr>
          <w:p>
            <w:pPr>
              <w:pStyle w:val="TableContents"/>
              <w:bidi w:val="0"/>
              <w:jc w:val="start"/>
              <w:rPr/>
            </w:pPr>
            <w:r>
              <w:rPr/>
              <w:t>RO4, RO6</w:t>
            </w:r>
          </w:p>
        </w:tc>
        <w:tc>
          <w:tcPr>
            <w:tcW w:w="1927" w:type="dxa"/>
            <w:tcBorders>
              <w:start w:val="single" w:sz="4" w:space="0" w:color="000000"/>
              <w:bottom w:val="single" w:sz="4" w:space="0" w:color="000000"/>
            </w:tcBorders>
          </w:tcPr>
          <w:p>
            <w:pPr>
              <w:pStyle w:val="TableContents"/>
              <w:bidi w:val="0"/>
              <w:jc w:val="start"/>
              <w:rPr/>
            </w:pPr>
            <w:r>
              <w:rPr/>
              <w:t>BM25 vs dense embeddings</w:t>
            </w:r>
          </w:p>
        </w:tc>
        <w:tc>
          <w:tcPr>
            <w:tcW w:w="1928" w:type="dxa"/>
            <w:tcBorders>
              <w:start w:val="single" w:sz="4" w:space="0" w:color="000000"/>
              <w:bottom w:val="single" w:sz="4" w:space="0" w:color="000000"/>
            </w:tcBorders>
          </w:tcPr>
          <w:p>
            <w:pPr>
              <w:pStyle w:val="TableContents"/>
              <w:bidi w:val="0"/>
              <w:jc w:val="start"/>
              <w:rPr/>
            </w:pPr>
            <w:r>
              <w:rPr/>
              <w:t>Acts + filtered Gazettes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Recall@K, nDCG@K</w:t>
            </w:r>
          </w:p>
        </w:tc>
      </w:tr>
      <w:tr>
        <w:trPr/>
        <w:tc>
          <w:tcPr>
            <w:tcW w:w="1927" w:type="dxa"/>
            <w:tcBorders>
              <w:start w:val="single" w:sz="4" w:space="0" w:color="000000"/>
              <w:bottom w:val="single" w:sz="4" w:space="0" w:color="000000"/>
            </w:tcBorders>
          </w:tcPr>
          <w:p>
            <w:pPr>
              <w:pStyle w:val="TableContents"/>
              <w:bidi w:val="0"/>
              <w:jc w:val="start"/>
              <w:rPr/>
            </w:pPr>
            <w:r>
              <w:rPr/>
              <w:t>RQ2</w:t>
            </w:r>
          </w:p>
        </w:tc>
        <w:tc>
          <w:tcPr>
            <w:tcW w:w="1928" w:type="dxa"/>
            <w:tcBorders>
              <w:start w:val="single" w:sz="4" w:space="0" w:color="000000"/>
              <w:bottom w:val="single" w:sz="4" w:space="0" w:color="000000"/>
            </w:tcBorders>
          </w:tcPr>
          <w:p>
            <w:pPr>
              <w:pStyle w:val="TableContents"/>
              <w:bidi w:val="0"/>
              <w:jc w:val="start"/>
              <w:rPr/>
            </w:pPr>
            <w:r>
              <w:rPr/>
              <w:t>RO5, RO6</w:t>
            </w:r>
          </w:p>
        </w:tc>
        <w:tc>
          <w:tcPr>
            <w:tcW w:w="1927" w:type="dxa"/>
            <w:tcBorders>
              <w:start w:val="single" w:sz="4" w:space="0" w:color="000000"/>
              <w:bottom w:val="single" w:sz="4" w:space="0" w:color="000000"/>
            </w:tcBorders>
          </w:tcPr>
          <w:p>
            <w:pPr>
              <w:pStyle w:val="TableContents"/>
              <w:bidi w:val="0"/>
              <w:jc w:val="start"/>
              <w:rPr/>
            </w:pPr>
            <w:r>
              <w:rPr/>
              <w:t>Hybrid fusion</w:t>
            </w:r>
          </w:p>
        </w:tc>
        <w:tc>
          <w:tcPr>
            <w:tcW w:w="1928" w:type="dxa"/>
            <w:tcBorders>
              <w:start w:val="single" w:sz="4" w:space="0" w:color="000000"/>
              <w:bottom w:val="single" w:sz="4" w:space="0" w:color="000000"/>
            </w:tcBorders>
          </w:tcPr>
          <w:p>
            <w:pPr>
              <w:pStyle w:val="TableContents"/>
              <w:bidi w:val="0"/>
              <w:jc w:val="start"/>
              <w:rPr/>
            </w:pPr>
            <w:r>
              <w:rPr/>
              <w:t>Same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MRR, Precision@K</w:t>
            </w:r>
          </w:p>
        </w:tc>
      </w:tr>
      <w:tr>
        <w:trPr/>
        <w:tc>
          <w:tcPr>
            <w:tcW w:w="1927" w:type="dxa"/>
            <w:tcBorders>
              <w:start w:val="single" w:sz="4" w:space="0" w:color="000000"/>
              <w:bottom w:val="single" w:sz="4" w:space="0" w:color="000000"/>
            </w:tcBorders>
          </w:tcPr>
          <w:p>
            <w:pPr>
              <w:pStyle w:val="TableContents"/>
              <w:bidi w:val="0"/>
              <w:jc w:val="start"/>
              <w:rPr/>
            </w:pPr>
            <w:r>
              <w:rPr/>
              <w:t>RQ3</w:t>
            </w:r>
          </w:p>
        </w:tc>
        <w:tc>
          <w:tcPr>
            <w:tcW w:w="1928" w:type="dxa"/>
            <w:tcBorders>
              <w:start w:val="single" w:sz="4" w:space="0" w:color="000000"/>
              <w:bottom w:val="single" w:sz="4" w:space="0" w:color="000000"/>
            </w:tcBorders>
          </w:tcPr>
          <w:p>
            <w:pPr>
              <w:pStyle w:val="TableContents"/>
              <w:bidi w:val="0"/>
              <w:jc w:val="start"/>
              <w:rPr/>
            </w:pPr>
            <w:r>
              <w:rPr/>
              <w:t>RO5, RO6</w:t>
            </w:r>
          </w:p>
        </w:tc>
        <w:tc>
          <w:tcPr>
            <w:tcW w:w="1927" w:type="dxa"/>
            <w:tcBorders>
              <w:start w:val="single" w:sz="4" w:space="0" w:color="000000"/>
              <w:bottom w:val="single" w:sz="4" w:space="0" w:color="000000"/>
            </w:tcBorders>
          </w:tcPr>
          <w:p>
            <w:pPr>
              <w:pStyle w:val="TableContents"/>
              <w:bidi w:val="0"/>
              <w:jc w:val="start"/>
              <w:rPr/>
            </w:pPr>
            <w:r>
              <w:rPr/>
              <w:t>Manual faithfulness review</w:t>
            </w:r>
          </w:p>
        </w:tc>
        <w:tc>
          <w:tcPr>
            <w:tcW w:w="1928" w:type="dxa"/>
            <w:tcBorders>
              <w:start w:val="single" w:sz="4" w:space="0" w:color="000000"/>
              <w:bottom w:val="single" w:sz="4" w:space="0" w:color="000000"/>
            </w:tcBorders>
          </w:tcPr>
          <w:p>
            <w:pPr>
              <w:pStyle w:val="TableContents"/>
              <w:bidi w:val="0"/>
              <w:jc w:val="start"/>
              <w:rPr/>
            </w:pPr>
            <w:r>
              <w:rPr/>
              <w:t>Benchmark subset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faithful citations</w:t>
            </w:r>
          </w:p>
        </w:tc>
      </w:tr>
      <w:tr>
        <w:trPr/>
        <w:tc>
          <w:tcPr>
            <w:tcW w:w="1927" w:type="dxa"/>
            <w:tcBorders>
              <w:start w:val="single" w:sz="4" w:space="0" w:color="000000"/>
              <w:bottom w:val="single" w:sz="4" w:space="0" w:color="000000"/>
            </w:tcBorders>
          </w:tcPr>
          <w:p>
            <w:pPr>
              <w:pStyle w:val="TableContents"/>
              <w:bidi w:val="0"/>
              <w:jc w:val="start"/>
              <w:rPr/>
            </w:pPr>
            <w:r>
              <w:rPr/>
              <w:t>RQ4</w:t>
            </w:r>
          </w:p>
        </w:tc>
        <w:tc>
          <w:tcPr>
            <w:tcW w:w="1928" w:type="dxa"/>
            <w:tcBorders>
              <w:start w:val="single" w:sz="4" w:space="0" w:color="000000"/>
              <w:bottom w:val="single" w:sz="4" w:space="0" w:color="000000"/>
            </w:tcBorders>
          </w:tcPr>
          <w:p>
            <w:pPr>
              <w:pStyle w:val="TableContents"/>
              <w:bidi w:val="0"/>
              <w:jc w:val="start"/>
              <w:rPr/>
            </w:pPr>
            <w:r>
              <w:rPr/>
              <w:t>RO2, RO5, RO6</w:t>
            </w:r>
          </w:p>
        </w:tc>
        <w:tc>
          <w:tcPr>
            <w:tcW w:w="1927" w:type="dxa"/>
            <w:tcBorders>
              <w:start w:val="single" w:sz="4" w:space="0" w:color="000000"/>
              <w:bottom w:val="single" w:sz="4" w:space="0" w:color="000000"/>
            </w:tcBorders>
          </w:tcPr>
          <w:p>
            <w:pPr>
              <w:pStyle w:val="TableContents"/>
              <w:bidi w:val="0"/>
              <w:jc w:val="start"/>
              <w:rPr/>
            </w:pPr>
            <w:r>
              <w:rPr/>
              <w:t>Rule-based validity extraction</w:t>
            </w:r>
          </w:p>
        </w:tc>
        <w:tc>
          <w:tcPr>
            <w:tcW w:w="1928" w:type="dxa"/>
            <w:tcBorders>
              <w:start w:val="single" w:sz="4" w:space="0" w:color="000000"/>
              <w:bottom w:val="single" w:sz="4" w:space="0" w:color="000000"/>
            </w:tcBorders>
          </w:tcPr>
          <w:p>
            <w:pPr>
              <w:pStyle w:val="TableContents"/>
              <w:bidi w:val="0"/>
              <w:jc w:val="start"/>
              <w:rPr/>
            </w:pPr>
            <w:r>
              <w:rPr/>
              <w:t>Acts/Gazettes with explicit revocation text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Validity-flag accuracy</w:t>
            </w:r>
          </w:p>
        </w:tc>
      </w:tr>
      <w:tr>
        <w:trPr/>
        <w:tc>
          <w:tcPr>
            <w:tcW w:w="1927" w:type="dxa"/>
            <w:tcBorders>
              <w:start w:val="single" w:sz="4" w:space="0" w:color="000000"/>
              <w:bottom w:val="single" w:sz="4" w:space="0" w:color="000000"/>
            </w:tcBorders>
          </w:tcPr>
          <w:p>
            <w:pPr>
              <w:pStyle w:val="TableContents"/>
              <w:bidi w:val="0"/>
              <w:jc w:val="start"/>
              <w:rPr/>
            </w:pPr>
            <w:r>
              <w:rPr/>
              <w:t>RQ5 (optional)</w:t>
            </w:r>
          </w:p>
        </w:tc>
        <w:tc>
          <w:tcPr>
            <w:tcW w:w="1928" w:type="dxa"/>
            <w:tcBorders>
              <w:start w:val="single" w:sz="4" w:space="0" w:color="000000"/>
              <w:bottom w:val="single" w:sz="4" w:space="0" w:color="000000"/>
            </w:tcBorders>
          </w:tcPr>
          <w:p>
            <w:pPr>
              <w:pStyle w:val="TableContents"/>
              <w:bidi w:val="0"/>
              <w:jc w:val="start"/>
              <w:rPr/>
            </w:pPr>
            <w:r>
              <w:rPr/>
              <w:t>RO6</w:t>
            </w:r>
          </w:p>
        </w:tc>
        <w:tc>
          <w:tcPr>
            <w:tcW w:w="1927" w:type="dxa"/>
            <w:tcBorders>
              <w:start w:val="single" w:sz="4" w:space="0" w:color="000000"/>
              <w:bottom w:val="single" w:sz="4" w:space="0" w:color="000000"/>
            </w:tcBorders>
          </w:tcPr>
          <w:p>
            <w:pPr>
              <w:pStyle w:val="TableContents"/>
              <w:bidi w:val="0"/>
              <w:jc w:val="start"/>
              <w:rPr/>
            </w:pPr>
            <w:r>
              <w:rPr/>
              <w:t>Multilingual embeddings</w:t>
            </w:r>
          </w:p>
        </w:tc>
        <w:tc>
          <w:tcPr>
            <w:tcW w:w="1928" w:type="dxa"/>
            <w:tcBorders>
              <w:start w:val="single" w:sz="4" w:space="0" w:color="000000"/>
              <w:bottom w:val="single" w:sz="4" w:space="0" w:color="000000"/>
            </w:tcBorders>
          </w:tcPr>
          <w:p>
            <w:pPr>
              <w:pStyle w:val="TableContents"/>
              <w:bidi w:val="0"/>
              <w:jc w:val="start"/>
              <w:rPr/>
            </w:pPr>
            <w:r>
              <w:rPr/>
              <w:t>Small Sinhala query subset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Recall@K (Sinhala)</w:t>
            </w:r>
          </w:p>
        </w:tc>
      </w:tr>
    </w:tbl>
    <w:p>
      <w:pPr>
        <w:pStyle w:val="BodyText"/>
        <w:bidi w:val="0"/>
        <w:jc w:val="start"/>
        <w:rPr/>
      </w:pPr>
      <w:r>
        <w:rPr/>
      </w:r>
    </w:p>
    <w:p>
      <w:pPr>
        <w:pStyle w:val="Heading3"/>
        <w:bidi w:val="0"/>
        <w:ind w:hanging="0" w:start="0"/>
        <w:jc w:val="start"/>
        <w:rPr/>
      </w:pPr>
      <w:r>
        <w:rPr/>
        <w:t>1.11 Scope, delimitations and assumptions</w:t>
      </w:r>
    </w:p>
    <w:p>
      <w:pPr>
        <w:pStyle w:val="BodyText"/>
        <w:bidi w:val="0"/>
        <w:jc w:val="start"/>
        <w:rPr/>
      </w:pPr>
      <w:r>
        <w:rPr>
          <w:b/>
        </w:rPr>
        <w:t>In scope:</w:t>
      </w:r>
      <w:r>
        <w:rPr/>
        <w:t xml:space="preserve"> English-language Acts and a filtered, text-available subset of Extraordinary Gazettes; retrieval and extractive citation of provisions; a small manually curated evaluation benchmark; comparative baseline/proposed-method evaluation; a minimal demonstrator interface. </w:t>
      </w:r>
      <w:r>
        <w:rPr>
          <w:b/>
        </w:rPr>
        <w:t>Out of scope:</w:t>
      </w:r>
      <w:r>
        <w:rPr/>
        <w:t xml:space="preserve"> free-text legal advice generation as a primary deliverable; full point-in-time legal reasoning across arbitrary historical dates; Sinhala/Tamil as a primary language (optional stretch only, </w:t>
      </w:r>
      <w:r>
        <w:rPr>
          <w:rFonts w:ascii="Liberation Mono" w:hAnsi="Liberation Mono"/>
        </w:rPr>
        <w:t>[DECISION REQUIRED]</w:t>
      </w:r>
      <w:r>
        <w:rPr/>
        <w:t>); Bills and court judgments (future work); professional/expert user validation (unless ethics-cleared informal feedback becomes feasible); production deployment. </w:t>
      </w:r>
      <w:r>
        <w:rPr>
          <w:b/>
        </w:rPr>
        <w:t>Assumptions:</w:t>
      </w:r>
      <w:r>
        <w:rPr/>
        <w:t xml:space="preserve"> the MIT licence terms of </w:t>
      </w:r>
      <w:r>
        <w:rPr>
          <w:rFonts w:ascii="Liberation Mono" w:hAnsi="Liberation Mono"/>
        </w:rPr>
        <w:t>lk_legal_docs</w:t>
      </w:r>
      <w:r>
        <w:rPr/>
        <w:t xml:space="preserve"> permit academic reuse and redistribution of derived, filtered subsets for research purposes </w:t>
      </w:r>
      <w:r>
        <w:rPr>
          <w:rFonts w:ascii="Liberation Mono" w:hAnsi="Liberation Mono"/>
        </w:rPr>
        <w:t>[DATASET VERIFICATION REQUIRED — re-confirm the exact licence file at the time of use]</w:t>
      </w:r>
      <w:r>
        <w:rPr/>
        <w:t>; sufficient text-available Gazette entries exist within the procedural filter to build a non-trivial secondary corpus; the student's own legal-domain judgement, cross-checked against source text, is sufficient for a research-grade (not professionally certified) relevance benchmark.</w:t>
      </w:r>
    </w:p>
    <w:p>
      <w:pPr>
        <w:pStyle w:val="Heading3"/>
        <w:bidi w:val="0"/>
        <w:ind w:hanging="0" w:start="0"/>
        <w:jc w:val="start"/>
        <w:rPr/>
      </w:pPr>
      <w:r>
        <w:rPr/>
        <w:t>1.12 Expected outcomes and deliverables</w:t>
      </w:r>
    </w:p>
    <w:p>
      <w:pPr>
        <w:pStyle w:val="BodyText"/>
        <w:numPr>
          <w:ilvl w:val="0"/>
          <w:numId w:val="6"/>
        </w:numPr>
        <w:tabs>
          <w:tab w:val="clear" w:pos="709"/>
          <w:tab w:val="left" w:pos="709" w:leader="none"/>
        </w:tabs>
        <w:bidi w:val="0"/>
        <w:ind w:hanging="283" w:start="709"/>
        <w:jc w:val="start"/>
        <w:rPr/>
      </w:pPr>
      <w:r>
        <w:rPr/>
        <w:t>Curated corpus with provenance/data manifest (Acts + filtered Gazettes).</w:t>
      </w:r>
    </w:p>
    <w:p>
      <w:pPr>
        <w:pStyle w:val="BodyText"/>
        <w:numPr>
          <w:ilvl w:val="0"/>
          <w:numId w:val="6"/>
        </w:numPr>
        <w:tabs>
          <w:tab w:val="clear" w:pos="709"/>
          <w:tab w:val="left" w:pos="709" w:leader="none"/>
        </w:tabs>
        <w:bidi w:val="0"/>
        <w:ind w:hanging="283" w:start="709"/>
        <w:jc w:val="start"/>
        <w:rPr/>
      </w:pPr>
      <w:r>
        <w:rPr/>
        <w:t>Documented, manually annotated retrieval benchmark (queries, relevance judgments, validity labels).</w:t>
      </w:r>
    </w:p>
    <w:p>
      <w:pPr>
        <w:pStyle w:val="BodyText"/>
        <w:numPr>
          <w:ilvl w:val="0"/>
          <w:numId w:val="6"/>
        </w:numPr>
        <w:tabs>
          <w:tab w:val="clear" w:pos="709"/>
          <w:tab w:val="left" w:pos="709" w:leader="none"/>
        </w:tabs>
        <w:bidi w:val="0"/>
        <w:ind w:hanging="283" w:start="709"/>
        <w:jc w:val="start"/>
        <w:rPr/>
      </w:pPr>
      <w:r>
        <w:rPr/>
        <w:t>Baseline (TF-IDF, BM25) and proposed (dense, hybrid, validity-aware) retrieval implementations.</w:t>
      </w:r>
    </w:p>
    <w:p>
      <w:pPr>
        <w:pStyle w:val="BodyText"/>
        <w:numPr>
          <w:ilvl w:val="0"/>
          <w:numId w:val="6"/>
        </w:numPr>
        <w:tabs>
          <w:tab w:val="clear" w:pos="709"/>
          <w:tab w:val="left" w:pos="709" w:leader="none"/>
        </w:tabs>
        <w:bidi w:val="0"/>
        <w:ind w:hanging="283" w:start="709"/>
        <w:jc w:val="start"/>
        <w:rPr/>
      </w:pPr>
      <w:r>
        <w:rPr/>
        <w:t>Evaluation report: IR metrics, ablations, faithfulness and validity-accuracy analysis.</w:t>
      </w:r>
    </w:p>
    <w:p>
      <w:pPr>
        <w:pStyle w:val="BodyText"/>
        <w:numPr>
          <w:ilvl w:val="0"/>
          <w:numId w:val="6"/>
        </w:numPr>
        <w:tabs>
          <w:tab w:val="clear" w:pos="709"/>
          <w:tab w:val="left" w:pos="709" w:leader="none"/>
        </w:tabs>
        <w:bidi w:val="0"/>
        <w:ind w:hanging="283" w:start="709"/>
        <w:jc w:val="start"/>
        <w:rPr/>
      </w:pPr>
      <w:r>
        <w:rPr/>
        <w:t>Minimal demonstrator interface.</w:t>
      </w:r>
    </w:p>
    <w:p>
      <w:pPr>
        <w:pStyle w:val="BodyText"/>
        <w:numPr>
          <w:ilvl w:val="0"/>
          <w:numId w:val="6"/>
        </w:numPr>
        <w:tabs>
          <w:tab w:val="clear" w:pos="709"/>
          <w:tab w:val="left" w:pos="709" w:leader="none"/>
        </w:tabs>
        <w:bidi w:val="0"/>
        <w:ind w:hanging="283" w:start="709"/>
        <w:jc w:val="start"/>
        <w:rPr/>
      </w:pPr>
      <w:r>
        <w:rPr/>
        <w:t>Dissertation and Generative-AI-use register.</w:t>
      </w:r>
    </w:p>
    <w:p>
      <w:pPr>
        <w:pStyle w:val="Heading3"/>
        <w:numPr>
          <w:ilvl w:val="0"/>
          <w:numId w:val="0"/>
        </w:numPr>
        <w:bidi w:val="0"/>
        <w:ind w:hanging="0" w:start="0"/>
        <w:jc w:val="start"/>
        <w:rPr/>
      </w:pPr>
      <w:r>
        <w:rPr/>
        <w:t>1.13 Chapter summary</w:t>
      </w:r>
    </w:p>
    <w:p>
      <w:pPr>
        <w:pStyle w:val="BodyText"/>
        <w:bidi w:val="0"/>
        <w:jc w:val="start"/>
        <w:rPr/>
      </w:pPr>
      <w:r>
        <w:rPr/>
        <w:t>This chapter established that Sri Lankan procedural law is dispersed across long, partially processed Acts and Gazette text with no evaluated retrieval or explainability mechanism, and that the only comparable Sri Lankan resource (Senaratna, 2026) is a dataset description rather than a retrieval system. Four gaps were identified and translated into five research questions (one optional), a design-develop-evaluate aim, and seven objectives. Chapter 2 now critically reviews the problem domain, the retrieval-technology pipeline, comparable datasets, and evaluation practice that justify the proposed architecture.</w:t>
      </w:r>
    </w:p>
    <w:p>
      <w:pPr>
        <w:pStyle w:val="HorizontalLine"/>
        <w:bidi w:val="0"/>
        <w:jc w:val="start"/>
        <w:rPr/>
      </w:pPr>
      <w:r>
        <w:rPr/>
      </w:r>
    </w:p>
    <w:p>
      <w:pPr>
        <w:pStyle w:val="Heading2"/>
        <w:bidi w:val="0"/>
        <w:ind w:hanging="0" w:start="0"/>
        <w:jc w:val="start"/>
        <w:rPr/>
      </w:pPr>
      <w:r>
        <w:rPr/>
        <w:t>CHAPTER 2: LITERATURE REVIEW</w:t>
      </w:r>
    </w:p>
    <w:p>
      <w:pPr>
        <w:pStyle w:val="BodyText"/>
        <w:bidi w:val="0"/>
        <w:jc w:val="start"/>
        <w:rPr/>
      </w:pPr>
      <w:r>
        <w:rPr>
          <w:i/>
        </w:rPr>
        <w:t>(Target ≈13–14 pages; this draft is a condensed scaffold. You must add more verified sources, particularly for legal-IR benchmarks and Sinhala/low-resource NLP, before this is submission-ready.)</w:t>
      </w:r>
    </w:p>
    <w:p>
      <w:pPr>
        <w:pStyle w:val="Heading3"/>
        <w:bidi w:val="0"/>
        <w:ind w:hanging="0" w:start="0"/>
        <w:jc w:val="start"/>
        <w:rPr/>
      </w:pPr>
      <w:r>
        <w:rPr/>
        <w:t>2.1 Chapter overview</w:t>
      </w:r>
    </w:p>
    <w:p>
      <w:pPr>
        <w:pStyle w:val="BodyText"/>
        <w:bidi w:val="0"/>
        <w:jc w:val="start"/>
        <w:rPr/>
      </w:pPr>
      <w:r>
        <w:rPr/>
        <w:t>This chapter reviews the domain requirements of Sri Lankan legal-procedure retrieval, then examines the retrieval-technology pipeline stage by stage (data curation, pre-processing, keyword retrieval, dense retrieval, hybrid fusion, explainability, evaluation), before comparing candidate datasets and evaluation practices and synthesising a final research position and conceptual architecture.</w:t>
      </w:r>
    </w:p>
    <w:p>
      <w:pPr>
        <w:pStyle w:val="Heading3"/>
        <w:bidi w:val="0"/>
        <w:ind w:hanging="0" w:start="0"/>
        <w:jc w:val="start"/>
        <w:rPr/>
      </w:pPr>
      <w:r>
        <w:rPr/>
        <w:t>2.2 Review strategy and concept map</w:t>
      </w:r>
    </w:p>
    <w:p>
      <w:pPr>
        <w:pStyle w:val="Heading4"/>
        <w:bidi w:val="0"/>
        <w:ind w:hanging="0" w:start="0"/>
        <w:jc w:val="start"/>
        <w:rPr/>
      </w:pPr>
      <w:r>
        <w:rPr/>
        <w:t>2.2.1 Literature search and selection strategy</w:t>
      </w:r>
    </w:p>
    <w:p>
      <w:pPr>
        <w:pStyle w:val="BodyText"/>
        <w:bidi w:val="0"/>
        <w:jc w:val="start"/>
        <w:rPr/>
      </w:pPr>
      <w:r>
        <w:rPr>
          <w:rFonts w:ascii="Liberation Mono" w:hAnsi="Liberation Mono"/>
        </w:rPr>
        <w:t>[Student to complete fully]</w:t>
      </w:r>
      <w:r>
        <w:rPr/>
        <w:t>. Draft strategy: search Google Scholar, ACM Digital Library, arXiv (cs.CL/cs.IR), and Semantic Scholar using combinations of {"legal information retrieval", "statute retrieval", "BM25", "dense retrieval", "legal NLP", "Sri Lanka", "low-resource NLP", "explainable AI law"}. Include studies presenting a retrieval method, dataset, or evaluation protocol with sufficient methodological detail; exclude opinion pieces and studies unrelated to retrieval or legal-document NLP. Maintain a search log in Appendix A.</w:t>
      </w:r>
    </w:p>
    <w:p>
      <w:pPr>
        <w:pStyle w:val="Heading4"/>
        <w:bidi w:val="0"/>
        <w:ind w:hanging="0" w:start="0"/>
        <w:jc w:val="start"/>
        <w:rPr/>
      </w:pPr>
      <w:r>
        <w:rPr/>
        <w:t>2.2.2 Concept map</w:t>
      </w:r>
    </w:p>
    <w:p>
      <w:pPr>
        <w:pStyle w:val="BodyText"/>
        <w:bidi w:val="0"/>
        <w:jc w:val="start"/>
        <w:rPr/>
      </w:pPr>
      <w:r>
        <w:rPr>
          <w:rFonts w:ascii="Liberation Mono" w:hAnsi="Liberation Mono"/>
        </w:rPr>
        <w:t>[Insert Figure 2 here: an original concept map with "Sri Lankan legal-procedure retrieval" at the centre; branches for (a) legal-IR methods, (b) explainability/XAI-for-law, (c) Sri Lankan legal-document resources, (d) evaluation practice, converging on the proposed contribution.]</w:t>
      </w:r>
    </w:p>
    <w:p>
      <w:pPr>
        <w:pStyle w:val="Heading3"/>
        <w:bidi w:val="0"/>
        <w:ind w:hanging="0" w:start="0"/>
        <w:jc w:val="start"/>
        <w:rPr/>
      </w:pPr>
      <w:r>
        <w:rPr/>
        <w:t>2.3 Problem-domain review</w:t>
      </w:r>
    </w:p>
    <w:p>
      <w:pPr>
        <w:pStyle w:val="Heading4"/>
        <w:bidi w:val="0"/>
        <w:ind w:hanging="0" w:start="0"/>
        <w:jc w:val="start"/>
        <w:rPr/>
      </w:pPr>
      <w:r>
        <w:rPr/>
        <w:t>2.3.1 Domain task and decision context</w:t>
      </w:r>
    </w:p>
    <w:p>
      <w:pPr>
        <w:pStyle w:val="BodyText"/>
        <w:bidi w:val="0"/>
        <w:jc w:val="start"/>
        <w:rPr/>
      </w:pPr>
      <w:r>
        <w:rPr/>
        <w:t>The task is framed as retrieving the specific rule/section that answers a procedural query, then presenting it with its source citation for human review — not as issuing a legal conclusion. Consequences of retrieval error differ: a missed relevant provision (false negative) may leave a user unaware of an applicable deadline, while an irrelevant but confidently ranked provision (false positive) may mislead; both must therefore be reported, rather than collapsing to a single aggregate score.</w:t>
      </w:r>
    </w:p>
    <w:p>
      <w:pPr>
        <w:pStyle w:val="Heading4"/>
        <w:bidi w:val="0"/>
        <w:ind w:hanging="0" w:start="0"/>
        <w:jc w:val="start"/>
        <w:rPr/>
      </w:pPr>
      <w:r>
        <w:rPr/>
        <w:t>2.3.2 Data and operational challenges</w:t>
      </w:r>
    </w:p>
    <w:p>
      <w:pPr>
        <w:pStyle w:val="BodyText"/>
        <w:bidi w:val="0"/>
        <w:jc w:val="start"/>
        <w:rPr/>
      </w:pPr>
      <w:r>
        <w:rPr/>
        <w:t xml:space="preserve">The corpus is heterogeneous in completeness: Acts are fully text-extracted, while Gazette entries are only partially processed (28–69% depending on decade, per the dataset's own reported statistics </w:t>
      </w:r>
      <w:r>
        <w:rPr>
          <w:rFonts w:ascii="Liberation Mono" w:hAnsi="Liberation Mono"/>
        </w:rPr>
        <w:t>[DATASET VERIFICATION REQUIRED]</w:t>
      </w:r>
      <w:r>
        <w:rPr/>
        <w:t>). Documents mix Sinhala, Tamil and English content at the collection level, but the Option 2 material available to this project does not establish sentence-aligned parallel translation (Option_2_Sri_Lankan_Legal_Datasets.md explicitly cautions against this claim). Long statutory documents require segmentation into retrievable units; naive whole-document retrieval would be too coarse for a specific-rule query.</w:t>
      </w:r>
    </w:p>
    <w:p>
      <w:pPr>
        <w:pStyle w:val="Heading4"/>
        <w:bidi w:val="0"/>
        <w:ind w:hanging="0" w:start="0"/>
        <w:jc w:val="start"/>
        <w:rPr/>
      </w:pPr>
      <w:r>
        <w:rPr/>
        <w:t>2.3.3 Standards, regulations and professional expectations</w:t>
      </w:r>
    </w:p>
    <w:p>
      <w:pPr>
        <w:pStyle w:val="BodyText"/>
        <w:bidi w:val="0"/>
        <w:jc w:val="start"/>
        <w:rPr/>
      </w:pPr>
      <w:r>
        <w:rPr/>
        <w:t xml:space="preserve">Because the outputs relate to legal procedure, the system must avoid presenting itself as a source of legal advice, must cite sources transparently, and must respect the data licence terms of the source repositories (MIT, per the dataset READMEs). </w:t>
      </w:r>
      <w:r>
        <w:rPr>
          <w:rFonts w:ascii="Liberation Mono" w:hAnsi="Liberation Mono"/>
        </w:rPr>
        <w:t>[REFERENCE VERIFICATION REQUIRED: re-check the exact licence terms and any attribution requirement at time of use.]</w:t>
      </w:r>
    </w:p>
    <w:p>
      <w:pPr>
        <w:pStyle w:val="Heading3"/>
        <w:bidi w:val="0"/>
        <w:ind w:hanging="0" w:start="0"/>
        <w:jc w:val="start"/>
        <w:rPr/>
      </w:pPr>
      <w:r>
        <w:rPr/>
        <w:t>2.4 Technological review by implementation stage</w:t>
      </w:r>
    </w:p>
    <w:p>
      <w:pPr>
        <w:pStyle w:val="Heading4"/>
        <w:bidi w:val="0"/>
        <w:ind w:hanging="0" w:start="0"/>
        <w:jc w:val="start"/>
        <w:rPr/>
      </w:pPr>
      <w:r>
        <w:rPr/>
        <w:t>2.4.1 Data acquisition and curation</w:t>
      </w:r>
    </w:p>
    <w:p>
      <w:pPr>
        <w:pStyle w:val="BodyText"/>
        <w:bidi w:val="0"/>
        <w:jc w:val="start"/>
        <w:rPr/>
      </w:pPr>
      <w:r>
        <w:rPr/>
        <w:t>Public, MIT-licensed data (</w:t>
      </w:r>
      <w:r>
        <w:rPr>
          <w:rFonts w:ascii="Liberation Mono" w:hAnsi="Liberation Mono"/>
        </w:rPr>
        <w:t>lk_legal_docs</w:t>
      </w:r>
      <w:r>
        <w:rPr/>
        <w:t>, GitHub/Hugging Face) is compared against the alternative of scraping documents.gov.lk directly; the former is selected because it is already collected, versioned, and (for Acts) fully text-extracted, avoiding duplicate effort and respecting the original collector's pipeline (Senaratna, 2026).</w:t>
      </w:r>
    </w:p>
    <w:p>
      <w:pPr>
        <w:pStyle w:val="Heading4"/>
        <w:bidi w:val="0"/>
        <w:ind w:hanging="0" w:start="0"/>
        <w:jc w:val="start"/>
        <w:rPr/>
      </w:pPr>
      <w:r>
        <w:rPr/>
        <w:t>2.4.2 Pre-processing</w:t>
      </w:r>
    </w:p>
    <w:p>
      <w:pPr>
        <w:pStyle w:val="BodyText"/>
        <w:bidi w:val="0"/>
        <w:jc w:val="start"/>
        <w:rPr/>
      </w:pPr>
      <w:r>
        <w:rPr/>
        <w:t>Options considered: naive whole-document indexing vs rule/section-level chunking using structural cues (numbered rules, headings, as seen throughout the BASL Supreme Court Rules text and typical Act structure). Section-level chunking is selected because procedural queries typically map to a single rule or sub-rule, not an entire Act.</w:t>
      </w:r>
    </w:p>
    <w:p>
      <w:pPr>
        <w:pStyle w:val="Heading4"/>
        <w:bidi w:val="0"/>
        <w:ind w:hanging="0" w:start="0"/>
        <w:jc w:val="start"/>
        <w:rPr/>
      </w:pPr>
      <w:r>
        <w:rPr/>
        <w:t>2.4.3 Keyword retrieval</w:t>
      </w:r>
    </w:p>
    <w:p>
      <w:pPr>
        <w:pStyle w:val="BodyText"/>
        <w:bidi w:val="0"/>
        <w:jc w:val="start"/>
        <w:rPr/>
      </w:pPr>
      <w:r>
        <w:rPr/>
        <w:t>TF-IDF and BM25 (Robertson and Zaragoza, 2009) are compared as baselines; BM25 is preferred as the primary keyword baseline because of its established robustness over TF-IDF for variable document length, while TF-IDF is retained as a simpler secondary baseline for ablation.</w:t>
      </w:r>
    </w:p>
    <w:p>
      <w:pPr>
        <w:pStyle w:val="Heading4"/>
        <w:bidi w:val="0"/>
        <w:ind w:hanging="0" w:start="0"/>
        <w:jc w:val="start"/>
        <w:rPr/>
      </w:pPr>
      <w:r>
        <w:rPr/>
        <w:t>2.4.4 Dense/semantic retrieval</w:t>
      </w:r>
    </w:p>
    <w:p>
      <w:pPr>
        <w:pStyle w:val="BodyText"/>
        <w:bidi w:val="0"/>
        <w:jc w:val="start"/>
        <w:rPr/>
      </w:pPr>
      <w:r>
        <w:rPr/>
        <w:t>Sentence-embedding approaches (Reimers and Gurevych, 2019) are compared with keyword methods; dense retrieval is expected to help with vocabulary mismatch (e.g., a query phrased informally vs. formal statutory wording) but may underperform on precise numeric/rule-number queries, motivating the hybrid design (RQ2). For the optional bilingual stretch, multilingual sentence embeddings (Feng et al., 2022) are the candidate approach, compared against maintaining English-only scope.</w:t>
      </w:r>
    </w:p>
    <w:p>
      <w:pPr>
        <w:pStyle w:val="Heading4"/>
        <w:bidi w:val="0"/>
        <w:ind w:hanging="0" w:start="0"/>
        <w:jc w:val="start"/>
        <w:rPr/>
      </w:pPr>
      <w:r>
        <w:rPr/>
        <w:t>2.4.5 Hybrid retrieval and fusion</w:t>
      </w:r>
    </w:p>
    <w:p>
      <w:pPr>
        <w:pStyle w:val="BodyText"/>
        <w:bidi w:val="0"/>
        <w:jc w:val="start"/>
        <w:rPr/>
      </w:pPr>
      <w:r>
        <w:rPr/>
        <w:t>Reciprocal rank fusion or weighted score combination of BM25 and dense results is reviewed as the standard low-complexity hybrid approach, selected for its implementation simplicity relative to learned re-ranking, which would require more labelled training data than this project's small benchmark can support.</w:t>
      </w:r>
    </w:p>
    <w:p>
      <w:pPr>
        <w:pStyle w:val="Heading4"/>
        <w:bidi w:val="0"/>
        <w:ind w:hanging="0" w:start="0"/>
        <w:jc w:val="start"/>
        <w:rPr/>
      </w:pPr>
      <w:r>
        <w:rPr/>
        <w:t>2.4.6 Explainability / evidence presentation</w:t>
      </w:r>
    </w:p>
    <w:p>
      <w:pPr>
        <w:pStyle w:val="BodyText"/>
        <w:bidi w:val="0"/>
        <w:jc w:val="start"/>
        <w:rPr/>
      </w:pPr>
      <w:r>
        <w:rPr/>
        <w:t>Extractive citation (returning the exact matched passage, section number, and source document identifier) is selected as the core explanation mechanism, consistent with the legal-XAI argument that professional and legal contexts require traceable evidence rather than opaque confidence scores (Hacker et al., 2020; Prajescu and Confalonieri, 2025). Constrained RAG-style summarisation (Lewis et al., 2020), grounded only in top-k retrieved passages, is considered as an optional extension, evaluated for faithfulness rather than assumed reliable.</w:t>
      </w:r>
    </w:p>
    <w:p>
      <w:pPr>
        <w:pStyle w:val="Heading4"/>
        <w:bidi w:val="0"/>
        <w:ind w:hanging="0" w:start="0"/>
        <w:jc w:val="start"/>
        <w:rPr/>
      </w:pPr>
      <w:r>
        <w:rPr/>
        <w:t>2.4.7 Evaluation and benchmarking</w:t>
      </w:r>
    </w:p>
    <w:p>
      <w:pPr>
        <w:pStyle w:val="BodyText"/>
        <w:bidi w:val="0"/>
        <w:jc w:val="start"/>
        <w:rPr/>
      </w:pPr>
      <w:r>
        <w:rPr/>
        <w:t>Standard IR metrics (Recall@K, Precision@K, MRR, nDCG@K) are reviewed as the appropriate evaluation family for ranked retrieval tasks; qualitative-only evaluation is rejected as insufficiently rigorous for comparative claims.</w:t>
      </w:r>
    </w:p>
    <w:p>
      <w:pPr>
        <w:pStyle w:val="Heading3"/>
        <w:bidi w:val="0"/>
        <w:ind w:hanging="0" w:start="0"/>
        <w:jc w:val="start"/>
        <w:rPr/>
      </w:pPr>
      <w:r>
        <w:rPr/>
        <w:t>2.5 Existing work: thematic analysis</w:t>
      </w:r>
    </w:p>
    <w:p>
      <w:pPr>
        <w:pStyle w:val="BodyText"/>
        <w:bidi w:val="0"/>
        <w:jc w:val="start"/>
        <w:rPr/>
      </w:pPr>
      <w:r>
        <w:rPr>
          <w:b/>
        </w:rPr>
        <w:t>Theme 1 — Explainability in legal AI:</w:t>
      </w:r>
      <w:r>
        <w:rPr/>
        <w:t xml:space="preserve"> Hacker et al. (2020) establish that explainability matters for professional liability under contract and tort law, not only GDPR; Saeed and Omlin (2021) synthesise general XAI challenges across the ML lifecycle; Prajescu and Confalonieri (2025) argue for argumentation-based explanation in legal reasoning specifically; Kostopoulos et al. (2024) review explainable decision-support systems broadly. None of these evaluate retrieval-citation faithfulness empirically, and none address a Sri Lankan or comparably low-resource legal corpus — this motivates RQ3.</w:t>
      </w:r>
    </w:p>
    <w:p>
      <w:pPr>
        <w:pStyle w:val="BodyText"/>
        <w:bidi w:val="0"/>
        <w:jc w:val="start"/>
        <w:rPr/>
      </w:pPr>
      <w:r>
        <w:rPr>
          <w:b/>
        </w:rPr>
        <w:t>Theme 2 — Legal and general-purpose retrieval methods:</w:t>
      </w:r>
      <w:r>
        <w:rPr/>
        <w:t xml:space="preserve"> BM25 (Robertson and Zaragoza, 2009), Sentence-BERT-style dense retrieval (Reimers and Gurevych, 2019), multilingual embeddings (Feng et al., 2022), and RAG (Lewis et al., 2020) form the established technical toolkit; </w:t>
      </w:r>
      <w:r>
        <w:rPr>
          <w:rFonts w:ascii="Liberation Mono" w:hAnsi="Liberation Mono"/>
        </w:rPr>
        <w:t>[REFERENCE VERIFICATION REQUIRED: add at least 2–3 papers specifically on legal-domain retrieval or legal-domain LLM/RAG evaluation, e.g. statute/case-law retrieval benchmarks, once located and read]</w:t>
      </w:r>
      <w:r>
        <w:rPr/>
        <w:t>.</w:t>
      </w:r>
    </w:p>
    <w:p>
      <w:pPr>
        <w:pStyle w:val="BodyText"/>
        <w:bidi w:val="0"/>
        <w:jc w:val="start"/>
        <w:rPr/>
      </w:pPr>
      <w:r>
        <w:rPr>
          <w:b/>
        </w:rPr>
        <w:t>Theme 3 — Sri Lankan and low-resource legal/language resources:</w:t>
      </w:r>
      <w:r>
        <w:rPr/>
        <w:t xml:space="preserve"> the only large-scale, verifiable Sri Lankan legal-document resource identified is Senaratna (2026), which is explicitly a data-collection paper describing 26 datasets (278,621 documents, 80.7GB as of the version reviewed) with no retrieval evaluation. </w:t>
      </w:r>
      <w:r>
        <w:rPr>
          <w:rFonts w:ascii="Liberation Mono" w:hAnsi="Liberation Mono"/>
        </w:rPr>
        <w:t>[REFERENCE VERIFICATION REQUIRED: search specifically for Sinhala/Tamil NLP resource papers — e.g. Sinhala sentence embeddings, Sinhala legal corpora — and add any found, or explicitly state that none were found after a documented search.]</w:t>
      </w:r>
    </w:p>
    <w:p>
      <w:pPr>
        <w:pStyle w:val="BodyText"/>
        <w:bidi w:val="0"/>
        <w:jc w:val="start"/>
        <w:rPr/>
      </w:pPr>
      <w:r>
        <w:rPr>
          <w:b/>
        </w:rPr>
        <w:t>Theme 4 — AI-in-contract-analysis literature (background/legacy from the original project idea):</w:t>
      </w:r>
      <w:r>
        <w:rPr/>
        <w:t xml:space="preserve"> Gangadhar et al. (2026), Bhanu Prakash et al. (n.d.), Al-Dahammsheh et al. (2026) describe applied contract-analysis systems with reported accuracy figures but limited peer-review verifiability and no Sri Lankan legal-procedure relevance. </w:t>
      </w:r>
      <w:r>
        <w:rPr>
          <w:rFonts w:ascii="Liberation Mono" w:hAnsi="Liberation Mono"/>
        </w:rPr>
        <w:t>[REFERENCE VERIFICATION REQUIRED: verify the publication venue and peer-review status of each of these three sources before citing them in a submitted proposal — some venues/years appear unusual and should be checked carefully.]</w:t>
      </w:r>
      <w:r>
        <w:rPr/>
        <w:t xml:space="preserve"> These are retained here only to show the project's intellectual lineage from the original contract-XAI idea, not as core technical justification for the retrieval system.</w:t>
      </w:r>
    </w:p>
    <w:p>
      <w:pPr>
        <w:pStyle w:val="Heading3"/>
        <w:bidi w:val="0"/>
        <w:ind w:hanging="0" w:start="0"/>
        <w:jc w:val="start"/>
        <w:rPr/>
      </w:pPr>
      <w:r>
        <w:rPr/>
        <w:t>2.6 Dataset review and comparison</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Dataset</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Access</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Scale (current)</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Text availability</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Languages</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Licence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Planned role</w:t>
            </w:r>
          </w:p>
        </w:tc>
      </w:tr>
      <w:tr>
        <w:trPr/>
        <w:tc>
          <w:tcPr>
            <w:tcW w:w="1376" w:type="dxa"/>
            <w:tcBorders>
              <w:start w:val="single" w:sz="4" w:space="0" w:color="000000"/>
              <w:bottom w:val="single" w:sz="4" w:space="0" w:color="000000"/>
            </w:tcBorders>
          </w:tcPr>
          <w:p>
            <w:pPr>
              <w:pStyle w:val="TableContents"/>
              <w:bidi w:val="0"/>
              <w:jc w:val="start"/>
              <w:rPr/>
            </w:pPr>
            <w:r>
              <w:rPr/>
              <w:t>Acts (</w:t>
            </w:r>
            <w:r>
              <w:rPr>
                <w:rFonts w:ascii="Liberation Mono" w:hAnsi="Liberation Mono"/>
              </w:rPr>
              <w:t>lk_acts</w:t>
            </w:r>
            <w:r>
              <w:rPr/>
              <w:t>)</w:t>
            </w:r>
          </w:p>
        </w:tc>
        <w:tc>
          <w:tcPr>
            <w:tcW w:w="1377" w:type="dxa"/>
            <w:tcBorders>
              <w:start w:val="single" w:sz="4" w:space="0" w:color="000000"/>
              <w:bottom w:val="single" w:sz="4" w:space="0" w:color="000000"/>
            </w:tcBorders>
          </w:tcPr>
          <w:p>
            <w:pPr>
              <w:pStyle w:val="TableContents"/>
              <w:bidi w:val="0"/>
              <w:jc w:val="start"/>
              <w:rPr/>
            </w:pPr>
            <w:r>
              <w:rPr/>
              <w:t>GitHub/HF</w:t>
            </w:r>
          </w:p>
        </w:tc>
        <w:tc>
          <w:tcPr>
            <w:tcW w:w="1377" w:type="dxa"/>
            <w:tcBorders>
              <w:start w:val="single" w:sz="4" w:space="0" w:color="000000"/>
              <w:bottom w:val="single" w:sz="4" w:space="0" w:color="000000"/>
            </w:tcBorders>
          </w:tcPr>
          <w:p>
            <w:pPr>
              <w:pStyle w:val="TableContents"/>
              <w:bidi w:val="0"/>
              <w:jc w:val="start"/>
              <w:rPr/>
            </w:pPr>
            <w:r>
              <w:rPr/>
              <w:t>~3,979–4,000 docs, 6.8GB, 1981–2026</w:t>
            </w:r>
          </w:p>
        </w:tc>
        <w:tc>
          <w:tcPr>
            <w:tcW w:w="1377" w:type="dxa"/>
            <w:tcBorders>
              <w:start w:val="single" w:sz="4" w:space="0" w:color="000000"/>
              <w:bottom w:val="single" w:sz="4" w:space="0" w:color="000000"/>
            </w:tcBorders>
          </w:tcPr>
          <w:p>
            <w:pPr>
              <w:pStyle w:val="TableContents"/>
              <w:bidi w:val="0"/>
              <w:jc w:val="start"/>
              <w:rPr/>
            </w:pPr>
            <w:r>
              <w:rPr/>
              <w:t>100% PDF/TXT</w:t>
            </w:r>
          </w:p>
        </w:tc>
        <w:tc>
          <w:tcPr>
            <w:tcW w:w="1377" w:type="dxa"/>
            <w:tcBorders>
              <w:start w:val="single" w:sz="4" w:space="0" w:color="000000"/>
              <w:bottom w:val="single" w:sz="4" w:space="0" w:color="000000"/>
            </w:tcBorders>
          </w:tcPr>
          <w:p>
            <w:pPr>
              <w:pStyle w:val="TableContents"/>
              <w:bidi w:val="0"/>
              <w:jc w:val="start"/>
              <w:rPr/>
            </w:pPr>
            <w:r>
              <w:rPr/>
              <w:t>Si/Ta/En (mixed collection)</w:t>
            </w:r>
          </w:p>
        </w:tc>
        <w:tc>
          <w:tcPr>
            <w:tcW w:w="1377" w:type="dxa"/>
            <w:tcBorders>
              <w:start w:val="single" w:sz="4" w:space="0" w:color="000000"/>
              <w:bottom w:val="single" w:sz="4" w:space="0" w:color="000000"/>
            </w:tcBorders>
          </w:tcPr>
          <w:p>
            <w:pPr>
              <w:pStyle w:val="TableContents"/>
              <w:bidi w:val="0"/>
              <w:jc w:val="start"/>
              <w:rPr/>
            </w:pPr>
            <w:r>
              <w:rPr/>
              <w:t>MIT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Primary corpus</w:t>
            </w:r>
          </w:p>
        </w:tc>
      </w:tr>
      <w:tr>
        <w:trPr/>
        <w:tc>
          <w:tcPr>
            <w:tcW w:w="1376" w:type="dxa"/>
            <w:tcBorders>
              <w:start w:val="single" w:sz="4" w:space="0" w:color="000000"/>
              <w:bottom w:val="single" w:sz="4" w:space="0" w:color="000000"/>
            </w:tcBorders>
          </w:tcPr>
          <w:p>
            <w:pPr>
              <w:pStyle w:val="TableContents"/>
              <w:bidi w:val="0"/>
              <w:jc w:val="start"/>
              <w:rPr/>
            </w:pPr>
            <w:r>
              <w:rPr/>
              <w:t>Extraordinary Gazettes 2020s</w:t>
            </w:r>
          </w:p>
        </w:tc>
        <w:tc>
          <w:tcPr>
            <w:tcW w:w="1377" w:type="dxa"/>
            <w:tcBorders>
              <w:start w:val="single" w:sz="4" w:space="0" w:color="000000"/>
              <w:bottom w:val="single" w:sz="4" w:space="0" w:color="000000"/>
            </w:tcBorders>
          </w:tcPr>
          <w:p>
            <w:pPr>
              <w:pStyle w:val="TableContents"/>
              <w:bidi w:val="0"/>
              <w:jc w:val="start"/>
              <w:rPr/>
            </w:pPr>
            <w:r>
              <w:rPr/>
              <w:t>GitHub/HF</w:t>
            </w:r>
          </w:p>
        </w:tc>
        <w:tc>
          <w:tcPr>
            <w:tcW w:w="1377" w:type="dxa"/>
            <w:tcBorders>
              <w:start w:val="single" w:sz="4" w:space="0" w:color="000000"/>
              <w:bottom w:val="single" w:sz="4" w:space="0" w:color="000000"/>
            </w:tcBorders>
          </w:tcPr>
          <w:p>
            <w:pPr>
              <w:pStyle w:val="TableContents"/>
              <w:bidi w:val="0"/>
              <w:jc w:val="start"/>
              <w:rPr/>
            </w:pPr>
            <w:r>
              <w:rPr/>
              <w:t>~49,513 docs, 11.6GB, 2020–2026</w:t>
            </w:r>
          </w:p>
        </w:tc>
        <w:tc>
          <w:tcPr>
            <w:tcW w:w="1377" w:type="dxa"/>
            <w:tcBorders>
              <w:start w:val="single" w:sz="4" w:space="0" w:color="000000"/>
              <w:bottom w:val="single" w:sz="4" w:space="0" w:color="000000"/>
            </w:tcBorders>
          </w:tcPr>
          <w:p>
            <w:pPr>
              <w:pStyle w:val="TableContents"/>
              <w:bidi w:val="0"/>
              <w:jc w:val="start"/>
              <w:rPr/>
            </w:pPr>
            <w:r>
              <w:rPr/>
              <w:t xml:space="preserve">~28% PDF/TXT </w:t>
            </w:r>
            <w:r>
              <w:rPr>
                <w:rFonts w:ascii="Liberation Mono" w:hAnsi="Liberation Mono"/>
              </w:rPr>
              <w:t>[DATASET VERIFICATION REQUIRED]</w:t>
            </w:r>
          </w:p>
        </w:tc>
        <w:tc>
          <w:tcPr>
            <w:tcW w:w="1377" w:type="dxa"/>
            <w:tcBorders>
              <w:start w:val="single" w:sz="4" w:space="0" w:color="000000"/>
              <w:bottom w:val="single" w:sz="4" w:space="0" w:color="000000"/>
            </w:tcBorders>
          </w:tcPr>
          <w:p>
            <w:pPr>
              <w:pStyle w:val="TableContents"/>
              <w:bidi w:val="0"/>
              <w:jc w:val="start"/>
              <w:rPr/>
            </w:pPr>
            <w:r>
              <w:rPr/>
              <w:t>Si/Ta/En</w:t>
            </w:r>
          </w:p>
        </w:tc>
        <w:tc>
          <w:tcPr>
            <w:tcW w:w="1377" w:type="dxa"/>
            <w:tcBorders>
              <w:start w:val="single" w:sz="4" w:space="0" w:color="000000"/>
              <w:bottom w:val="single" w:sz="4" w:space="0" w:color="000000"/>
            </w:tcBorders>
          </w:tcPr>
          <w:p>
            <w:pPr>
              <w:pStyle w:val="TableContents"/>
              <w:bidi w:val="0"/>
              <w:jc w:val="start"/>
              <w:rPr/>
            </w:pPr>
            <w:r>
              <w:rPr/>
              <w:t>MIT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Secondary corpus (available-text subset only)</w:t>
            </w:r>
          </w:p>
        </w:tc>
      </w:tr>
      <w:tr>
        <w:trPr/>
        <w:tc>
          <w:tcPr>
            <w:tcW w:w="1376" w:type="dxa"/>
            <w:tcBorders>
              <w:start w:val="single" w:sz="4" w:space="0" w:color="000000"/>
              <w:bottom w:val="single" w:sz="4" w:space="0" w:color="000000"/>
            </w:tcBorders>
          </w:tcPr>
          <w:p>
            <w:pPr>
              <w:pStyle w:val="TableContents"/>
              <w:bidi w:val="0"/>
              <w:jc w:val="start"/>
              <w:rPr/>
            </w:pPr>
            <w:r>
              <w:rPr/>
              <w:t>Extraordinary Gazettes 2010s</w:t>
            </w:r>
          </w:p>
        </w:tc>
        <w:tc>
          <w:tcPr>
            <w:tcW w:w="1377" w:type="dxa"/>
            <w:tcBorders>
              <w:start w:val="single" w:sz="4" w:space="0" w:color="000000"/>
              <w:bottom w:val="single" w:sz="4" w:space="0" w:color="000000"/>
            </w:tcBorders>
          </w:tcPr>
          <w:p>
            <w:pPr>
              <w:pStyle w:val="TableContents"/>
              <w:bidi w:val="0"/>
              <w:jc w:val="start"/>
              <w:rPr/>
            </w:pPr>
            <w:r>
              <w:rPr/>
              <w:t>GitHub/HF</w:t>
            </w:r>
          </w:p>
        </w:tc>
        <w:tc>
          <w:tcPr>
            <w:tcW w:w="1377" w:type="dxa"/>
            <w:tcBorders>
              <w:start w:val="single" w:sz="4" w:space="0" w:color="000000"/>
              <w:bottom w:val="single" w:sz="4" w:space="0" w:color="000000"/>
            </w:tcBorders>
          </w:tcPr>
          <w:p>
            <w:pPr>
              <w:pStyle w:val="TableContents"/>
              <w:bidi w:val="0"/>
              <w:jc w:val="start"/>
              <w:rPr/>
            </w:pPr>
            <w:r>
              <w:rPr/>
              <w:t>~56,379 docs, 17.4GB, 2010–2019</w:t>
            </w:r>
          </w:p>
        </w:tc>
        <w:tc>
          <w:tcPr>
            <w:tcW w:w="1377" w:type="dxa"/>
            <w:tcBorders>
              <w:start w:val="single" w:sz="4" w:space="0" w:color="000000"/>
              <w:bottom w:val="single" w:sz="4" w:space="0" w:color="000000"/>
            </w:tcBorders>
          </w:tcPr>
          <w:p>
            <w:pPr>
              <w:pStyle w:val="TableContents"/>
              <w:bidi w:val="0"/>
              <w:jc w:val="start"/>
              <w:rPr/>
            </w:pPr>
            <w:r>
              <w:rPr/>
              <w:t xml:space="preserve">~69% PDF/TXT </w:t>
            </w:r>
            <w:r>
              <w:rPr>
                <w:rFonts w:ascii="Liberation Mono" w:hAnsi="Liberation Mono"/>
              </w:rPr>
              <w:t>[DATASET VERIFICATION REQUIRED]</w:t>
            </w:r>
          </w:p>
        </w:tc>
        <w:tc>
          <w:tcPr>
            <w:tcW w:w="1377" w:type="dxa"/>
            <w:tcBorders>
              <w:start w:val="single" w:sz="4" w:space="0" w:color="000000"/>
              <w:bottom w:val="single" w:sz="4" w:space="0" w:color="000000"/>
            </w:tcBorders>
          </w:tcPr>
          <w:p>
            <w:pPr>
              <w:pStyle w:val="TableContents"/>
              <w:bidi w:val="0"/>
              <w:jc w:val="start"/>
              <w:rPr/>
            </w:pPr>
            <w:r>
              <w:rPr/>
              <w:t>Si/Ta/En</w:t>
            </w:r>
          </w:p>
        </w:tc>
        <w:tc>
          <w:tcPr>
            <w:tcW w:w="1377" w:type="dxa"/>
            <w:tcBorders>
              <w:start w:val="single" w:sz="4" w:space="0" w:color="000000"/>
              <w:bottom w:val="single" w:sz="4" w:space="0" w:color="000000"/>
            </w:tcBorders>
          </w:tcPr>
          <w:p>
            <w:pPr>
              <w:pStyle w:val="TableContents"/>
              <w:bidi w:val="0"/>
              <w:jc w:val="start"/>
              <w:rPr/>
            </w:pPr>
            <w:r>
              <w:rPr/>
              <w:t>MIT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Optional secondary corpus</w:t>
            </w:r>
          </w:p>
        </w:tc>
      </w:tr>
      <w:tr>
        <w:trPr/>
        <w:tc>
          <w:tcPr>
            <w:tcW w:w="1376" w:type="dxa"/>
            <w:tcBorders>
              <w:start w:val="single" w:sz="4" w:space="0" w:color="000000"/>
              <w:bottom w:val="single" w:sz="4" w:space="0" w:color="000000"/>
            </w:tcBorders>
          </w:tcPr>
          <w:p>
            <w:pPr>
              <w:pStyle w:val="TableContents"/>
              <w:bidi w:val="0"/>
              <w:jc w:val="start"/>
              <w:rPr/>
            </w:pPr>
            <w:r>
              <w:rPr/>
              <w:t>Bills</w:t>
            </w:r>
          </w:p>
        </w:tc>
        <w:tc>
          <w:tcPr>
            <w:tcW w:w="1377" w:type="dxa"/>
            <w:tcBorders>
              <w:start w:val="single" w:sz="4" w:space="0" w:color="000000"/>
              <w:bottom w:val="single" w:sz="4" w:space="0" w:color="000000"/>
            </w:tcBorders>
          </w:tcPr>
          <w:p>
            <w:pPr>
              <w:pStyle w:val="TableContents"/>
              <w:bidi w:val="0"/>
              <w:jc w:val="start"/>
              <w:rPr/>
            </w:pPr>
            <w:r>
              <w:rPr/>
              <w:t>GitHub/HF</w:t>
            </w:r>
          </w:p>
        </w:tc>
        <w:tc>
          <w:tcPr>
            <w:tcW w:w="1377" w:type="dxa"/>
            <w:tcBorders>
              <w:start w:val="single" w:sz="4" w:space="0" w:color="000000"/>
              <w:bottom w:val="single" w:sz="4" w:space="0" w:color="000000"/>
            </w:tcBorders>
          </w:tcPr>
          <w:p>
            <w:pPr>
              <w:pStyle w:val="TableContents"/>
              <w:bidi w:val="0"/>
              <w:jc w:val="start"/>
              <w:rPr/>
            </w:pPr>
            <w:r>
              <w:rPr/>
              <w:t>~4,236 docs, 2.0GB, 2010–2026</w:t>
            </w:r>
          </w:p>
        </w:tc>
        <w:tc>
          <w:tcPr>
            <w:tcW w:w="1377" w:type="dxa"/>
            <w:tcBorders>
              <w:start w:val="single" w:sz="4" w:space="0" w:color="000000"/>
              <w:bottom w:val="single" w:sz="4" w:space="0" w:color="000000"/>
            </w:tcBorders>
          </w:tcPr>
          <w:p>
            <w:pPr>
              <w:pStyle w:val="TableContents"/>
              <w:bidi w:val="0"/>
              <w:jc w:val="start"/>
              <w:rPr/>
            </w:pPr>
            <w:r>
              <w:rPr/>
              <w:t>100% PDF/TXT</w:t>
            </w:r>
          </w:p>
        </w:tc>
        <w:tc>
          <w:tcPr>
            <w:tcW w:w="1377" w:type="dxa"/>
            <w:tcBorders>
              <w:start w:val="single" w:sz="4" w:space="0" w:color="000000"/>
              <w:bottom w:val="single" w:sz="4" w:space="0" w:color="000000"/>
            </w:tcBorders>
          </w:tcPr>
          <w:p>
            <w:pPr>
              <w:pStyle w:val="TableContents"/>
              <w:bidi w:val="0"/>
              <w:jc w:val="start"/>
              <w:rPr/>
            </w:pPr>
            <w:r>
              <w:rPr/>
              <w:t>Si/Ta/En</w:t>
            </w:r>
          </w:p>
        </w:tc>
        <w:tc>
          <w:tcPr>
            <w:tcW w:w="1377" w:type="dxa"/>
            <w:tcBorders>
              <w:start w:val="single" w:sz="4" w:space="0" w:color="000000"/>
              <w:bottom w:val="single" w:sz="4" w:space="0" w:color="000000"/>
            </w:tcBorders>
          </w:tcPr>
          <w:p>
            <w:pPr>
              <w:pStyle w:val="TableContents"/>
              <w:bidi w:val="0"/>
              <w:jc w:val="start"/>
              <w:rPr/>
            </w:pPr>
            <w:r>
              <w:rPr/>
              <w:t>MIT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Excluded (future work)</w:t>
            </w:r>
          </w:p>
        </w:tc>
      </w:tr>
      <w:tr>
        <w:trPr/>
        <w:tc>
          <w:tcPr>
            <w:tcW w:w="1376" w:type="dxa"/>
            <w:tcBorders>
              <w:start w:val="single" w:sz="4" w:space="0" w:color="000000"/>
              <w:bottom w:val="single" w:sz="4" w:space="0" w:color="000000"/>
            </w:tcBorders>
          </w:tcPr>
          <w:p>
            <w:pPr>
              <w:pStyle w:val="TableContents"/>
              <w:bidi w:val="0"/>
              <w:jc w:val="start"/>
              <w:rPr/>
            </w:pPr>
            <w:r>
              <w:rPr/>
              <w:t>BASL Supreme Court Rules compilation</w:t>
            </w:r>
          </w:p>
        </w:tc>
        <w:tc>
          <w:tcPr>
            <w:tcW w:w="1377" w:type="dxa"/>
            <w:tcBorders>
              <w:start w:val="single" w:sz="4" w:space="0" w:color="000000"/>
              <w:bottom w:val="single" w:sz="4" w:space="0" w:color="000000"/>
            </w:tcBorders>
          </w:tcPr>
          <w:p>
            <w:pPr>
              <w:pStyle w:val="TableContents"/>
              <w:bidi w:val="0"/>
              <w:jc w:val="start"/>
              <w:rPr/>
            </w:pPr>
            <w:r>
              <w:rPr/>
              <w:t>Local PDF, not part of licensed dataset</w:t>
            </w:r>
          </w:p>
        </w:tc>
        <w:tc>
          <w:tcPr>
            <w:tcW w:w="1377" w:type="dxa"/>
            <w:tcBorders>
              <w:start w:val="single" w:sz="4" w:space="0" w:color="000000"/>
              <w:bottom w:val="single" w:sz="4" w:space="0" w:color="000000"/>
            </w:tcBorders>
          </w:tcPr>
          <w:p>
            <w:pPr>
              <w:pStyle w:val="TableContents"/>
              <w:bidi w:val="0"/>
              <w:jc w:val="start"/>
              <w:rPr/>
            </w:pPr>
            <w:r>
              <w:rPr/>
              <w:t>Single compiled document</w:t>
            </w:r>
          </w:p>
        </w:tc>
        <w:tc>
          <w:tcPr>
            <w:tcW w:w="1377" w:type="dxa"/>
            <w:tcBorders>
              <w:start w:val="single" w:sz="4" w:space="0" w:color="000000"/>
              <w:bottom w:val="single" w:sz="4" w:space="0" w:color="000000"/>
            </w:tcBorders>
          </w:tcPr>
          <w:p>
            <w:pPr>
              <w:pStyle w:val="TableContents"/>
              <w:bidi w:val="0"/>
              <w:jc w:val="start"/>
              <w:rPr/>
            </w:pPr>
            <w:r>
              <w:rPr/>
              <w:t>N/A</w:t>
            </w:r>
          </w:p>
        </w:tc>
        <w:tc>
          <w:tcPr>
            <w:tcW w:w="1377" w:type="dxa"/>
            <w:tcBorders>
              <w:start w:val="single" w:sz="4" w:space="0" w:color="000000"/>
              <w:bottom w:val="single" w:sz="4" w:space="0" w:color="000000"/>
            </w:tcBorders>
          </w:tcPr>
          <w:p>
            <w:pPr>
              <w:pStyle w:val="TableContents"/>
              <w:bidi w:val="0"/>
              <w:jc w:val="start"/>
              <w:rPr/>
            </w:pPr>
            <w:r>
              <w:rPr/>
              <w:t>English</w:t>
            </w:r>
          </w:p>
        </w:tc>
        <w:tc>
          <w:tcPr>
            <w:tcW w:w="1377" w:type="dxa"/>
            <w:tcBorders>
              <w:start w:val="single" w:sz="4" w:space="0" w:color="000000"/>
              <w:bottom w:val="single" w:sz="4" w:space="0" w:color="000000"/>
            </w:tcBorders>
          </w:tcPr>
          <w:p>
            <w:pPr>
              <w:pStyle w:val="TableContents"/>
              <w:bidi w:val="0"/>
              <w:jc w:val="start"/>
              <w:rPr/>
            </w:pPr>
            <w:r>
              <w:rPr/>
              <w:t xml:space="preserve">Unclear — BASL publication </w:t>
            </w:r>
            <w:r>
              <w:rPr>
                <w:rFonts w:ascii="Liberation Mono" w:hAnsi="Liberation Mono"/>
              </w:rPr>
              <w:t>[DECISION REQUIRED]</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 xml:space="preserve">Reference only, for understanding rule structure and drafting benchmark queries; </w:t>
            </w:r>
            <w:r>
              <w:rPr>
                <w:b/>
              </w:rPr>
              <w:t>not</w:t>
            </w:r>
            <w:r>
              <w:rPr/>
              <w:t xml:space="preserve"> used as licensed corpus content</w:t>
            </w:r>
          </w:p>
        </w:tc>
      </w:tr>
    </w:tbl>
    <w:p>
      <w:pPr>
        <w:pStyle w:val="BodyText"/>
        <w:bidi w:val="0"/>
        <w:jc w:val="start"/>
        <w:rPr/>
      </w:pPr>
      <w:r>
        <w:rPr/>
      </w:r>
    </w:p>
    <w:p>
      <w:pPr>
        <w:pStyle w:val="BodyText"/>
        <w:bidi w:val="0"/>
        <w:jc w:val="start"/>
        <w:rPr/>
      </w:pPr>
      <w:r>
        <w:rPr/>
        <w:t xml:space="preserve">Note the important source discrepancy: </w:t>
      </w:r>
      <w:hyperlink r:id="rId2">
        <w:r>
          <w:rPr>
            <w:rStyle w:val="Hyperlink"/>
          </w:rPr>
          <w:t>deep-research-report.md</w:t>
        </w:r>
      </w:hyperlink>
      <w:r>
        <w:rPr/>
        <w:t xml:space="preserve"> reports paper-snapshot Option 2 totals of 113,653 documents (April 2026 snapshot per Senaratna, 2026), while the live </w:t>
      </w:r>
      <w:r>
        <w:rPr>
          <w:rFonts w:ascii="Liberation Mono" w:hAnsi="Liberation Mono"/>
        </w:rPr>
        <w:t>lk_legal_docs-main</w:t>
      </w:r>
      <w:r>
        <w:rPr/>
        <w:t xml:space="preserve"> README (accessed for this proposal, dated 2026-08-30) reports 114,107 across the same four datasets. </w:t>
      </w:r>
      <w:r>
        <w:rPr>
          <w:b/>
        </w:rPr>
        <w:t>The live repository README should be treated as more current</w:t>
      </w:r>
      <w:r>
        <w:rPr/>
        <w:t xml:space="preserve"> since the underlying GitHub data is updated daily; the paper snapshot should be cited only when referring specifically to the academic publication's reported figures. </w:t>
      </w:r>
      <w:r>
        <w:rPr>
          <w:rFonts w:ascii="Liberation Mono" w:hAnsi="Liberation Mono"/>
        </w:rPr>
        <w:t>[DATASET VERIFICATION REQUIRED — re-confirm both figures at time of writing/submission.]</w:t>
      </w:r>
    </w:p>
    <w:p>
      <w:pPr>
        <w:pStyle w:val="Heading3"/>
        <w:bidi w:val="0"/>
        <w:ind w:hanging="0" w:start="0"/>
        <w:jc w:val="start"/>
        <w:rPr/>
      </w:pPr>
      <w:r>
        <w:rPr/>
        <w:t>2.7 Evaluation and benchmarking review</w:t>
      </w:r>
    </w:p>
    <w:p>
      <w:pPr>
        <w:pStyle w:val="BodyText"/>
        <w:bidi w:val="0"/>
        <w:jc w:val="start"/>
        <w:rPr/>
      </w:pPr>
      <w:r>
        <w:rPr/>
        <w:t>Recall@K and Precision@K measure whether relevant provisions are retrieved within the top K results; MRR measures how early the first relevant result appears; nDCG@K accounts for graded relevance and rank position. No existing benchmark provides relevance judgments for Sri Lankan legal-procedure queries, so this project must construct one; annotation will therefore be treated as a limitation (small scale, single-annotator) rather than a gold-standard resource, and this will be stated explicitly rather than implied to be authoritative.</w:t>
      </w:r>
    </w:p>
    <w:p>
      <w:pPr>
        <w:pStyle w:val="Heading3"/>
        <w:bidi w:val="0"/>
        <w:ind w:hanging="0" w:start="0"/>
        <w:jc w:val="start"/>
        <w:rPr/>
      </w:pPr>
      <w:r>
        <w:rPr/>
        <w:t>2.8 Synthesis and final research positioning</w:t>
      </w:r>
    </w:p>
    <w:p>
      <w:pPr>
        <w:pStyle w:val="BodyText"/>
        <w:bidi w:val="0"/>
        <w:jc w:val="start"/>
        <w:rPr/>
      </w:pPr>
      <w:r>
        <w:rPr/>
        <w:t xml:space="preserve">The review indicates that (a) legal-XAI literature motivates evidence-grounded explanation but has not been tested for retrieval-citation faithfulness in this setting; (b) the only comparable Sri Lankan resource is a dataset paper without an evaluated retrieval system; and (c) standard retrieval methods are well understood in general but untested on this specific, partially-processed, multilingual-collection-but-English-scoped corpus. The proposed contribution is therefore not a new algorithm, but </w:t>
      </w:r>
      <w:r>
        <w:rPr>
          <w:b/>
        </w:rPr>
        <w:t>controlled comparative evidence and a reusable benchmark</w:t>
      </w:r>
      <w:r>
        <w:rPr/>
        <w:t xml:space="preserve"> for a genuinely unaddressed corpus/task combination, plus a first evaluation of a lightweight temporal-validity signal that is explicitly present in the source text but currently unused by any existing tool.</w:t>
      </w:r>
    </w:p>
    <w:p>
      <w:pPr>
        <w:pStyle w:val="Heading3"/>
        <w:bidi w:val="0"/>
        <w:ind w:hanging="0" w:start="0"/>
        <w:jc w:val="start"/>
        <w:rPr/>
      </w:pPr>
      <w:r>
        <w:rPr/>
        <w:t>2.9 Proposed conceptual architecture</w:t>
      </w:r>
    </w:p>
    <w:p>
      <w:pPr>
        <w:pStyle w:val="BodyText"/>
        <w:bidi w:val="0"/>
        <w:jc w:val="start"/>
        <w:rPr/>
      </w:pPr>
      <w:r>
        <w:rPr>
          <w:rFonts w:ascii="Liberation Mono" w:hAnsi="Liberation Mono"/>
        </w:rPr>
        <w:t>[Insert Figure 3 here: Query → language/scope check → BM25 retrieval branch + dense retrieval branch → hybrid fusion → temporal-validity filter/flag → top-k evidence with source citation and highlighted passage → (optional) constrained summarisation → evaluation/logging layer.]</w:t>
      </w:r>
      <w:r>
        <w:rPr/>
        <w:t xml:space="preserve"> The architecture deliberately keeps the keyword and semantic branches separable so that RQ1/RQ2 ablations (baseline vs semantic vs hybrid) can be run without re-engineering the pipeline.</w:t>
      </w:r>
    </w:p>
    <w:p>
      <w:pPr>
        <w:pStyle w:val="Heading3"/>
        <w:bidi w:val="0"/>
        <w:ind w:hanging="0" w:start="0"/>
        <w:jc w:val="start"/>
        <w:rPr/>
      </w:pPr>
      <w:r>
        <w:rPr/>
        <w:t>2.10 Chapter summary</w:t>
      </w:r>
    </w:p>
    <w:p>
      <w:pPr>
        <w:pStyle w:val="BodyText"/>
        <w:bidi w:val="0"/>
        <w:jc w:val="start"/>
        <w:rPr/>
      </w:pPr>
      <w:r>
        <w:rPr/>
        <w:t>This chapter established that explainability, retrieval methodology and Sri Lankan legal-document resources have each been studied separately, but not together for this corpus and task. It justified a section-level, hybrid-retrieval, citation-explained architecture with an added temporal-validity signal, evaluated using standard IR metrics plus manual faithfulness review. Chapter 3 now translates this into the research design, technical pipeline, requirements, evaluation protocol and project plan.</w:t>
      </w:r>
    </w:p>
    <w:p>
      <w:pPr>
        <w:pStyle w:val="HorizontalLine"/>
        <w:bidi w:val="0"/>
        <w:jc w:val="start"/>
        <w:rPr/>
      </w:pPr>
      <w:r>
        <w:rPr/>
      </w:r>
    </w:p>
    <w:p>
      <w:pPr>
        <w:pStyle w:val="Heading2"/>
        <w:bidi w:val="0"/>
        <w:ind w:hanging="0" w:start="0"/>
        <w:jc w:val="start"/>
        <w:rPr/>
      </w:pPr>
      <w:r>
        <w:rPr/>
        <w:t>CHAPTER 3: RESEARCH, TECHNICAL AND PROJECT METHODOLOGY</w:t>
      </w:r>
    </w:p>
    <w:p>
      <w:pPr>
        <w:pStyle w:val="BodyText"/>
        <w:bidi w:val="0"/>
        <w:jc w:val="start"/>
        <w:rPr/>
      </w:pPr>
      <w:r>
        <w:rPr>
          <w:i/>
        </w:rPr>
        <w:t>(Target ≈9–10 pages.)</w:t>
      </w:r>
    </w:p>
    <w:p>
      <w:pPr>
        <w:pStyle w:val="Heading3"/>
        <w:bidi w:val="0"/>
        <w:ind w:hanging="0" w:start="0"/>
        <w:jc w:val="start"/>
        <w:rPr/>
      </w:pPr>
      <w:r>
        <w:rPr/>
        <w:t>3.1 Chapter overview</w:t>
      </w:r>
    </w:p>
    <w:p>
      <w:pPr>
        <w:pStyle w:val="BodyText"/>
        <w:bidi w:val="0"/>
        <w:jc w:val="start"/>
        <w:rPr/>
      </w:pPr>
      <w:r>
        <w:rPr/>
        <w:t>This chapter defines the research design used to answer the research questions, the end-to-end technical pipeline, requirements and architecture, the development approach, the evaluation protocol, and the schedule, resources and risk controls.</w:t>
      </w:r>
    </w:p>
    <w:p>
      <w:pPr>
        <w:pStyle w:val="Heading3"/>
        <w:bidi w:val="0"/>
        <w:ind w:hanging="0" w:start="0"/>
        <w:jc w:val="start"/>
        <w:rPr/>
      </w:pPr>
      <w:r>
        <w:rPr/>
        <w:t>3.2 Research methodology using Saunders' Research Onion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Selected choice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Project-specific justification</w:t>
            </w:r>
          </w:p>
        </w:tc>
      </w:tr>
      <w:tr>
        <w:trPr/>
        <w:tc>
          <w:tcPr>
            <w:tcW w:w="3212" w:type="dxa"/>
            <w:tcBorders>
              <w:start w:val="single" w:sz="4" w:space="0" w:color="000000"/>
              <w:bottom w:val="single" w:sz="4" w:space="0" w:color="000000"/>
            </w:tcBorders>
          </w:tcPr>
          <w:p>
            <w:pPr>
              <w:pStyle w:val="TableContents"/>
              <w:bidi w:val="0"/>
              <w:jc w:val="start"/>
              <w:rPr/>
            </w:pPr>
            <w:r>
              <w:rPr/>
              <w:t>Philosophy</w:t>
            </w:r>
          </w:p>
        </w:tc>
        <w:tc>
          <w:tcPr>
            <w:tcW w:w="3213" w:type="dxa"/>
            <w:tcBorders>
              <w:start w:val="single" w:sz="4" w:space="0" w:color="000000"/>
              <w:bottom w:val="single" w:sz="4" w:space="0" w:color="000000"/>
            </w:tcBorders>
          </w:tcPr>
          <w:p>
            <w:pPr>
              <w:pStyle w:val="TableContents"/>
              <w:bidi w:val="0"/>
              <w:jc w:val="start"/>
              <w:rPr/>
            </w:pPr>
            <w:r>
              <w:rPr/>
              <w:t>Pragmatism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project builds and evaluates a retrieval artefact against practical and measurable IR criteria, not a purely theoretical claim</w:t>
            </w:r>
          </w:p>
        </w:tc>
      </w:tr>
      <w:tr>
        <w:trPr/>
        <w:tc>
          <w:tcPr>
            <w:tcW w:w="3212" w:type="dxa"/>
            <w:tcBorders>
              <w:start w:val="single" w:sz="4" w:space="0" w:color="000000"/>
              <w:bottom w:val="single" w:sz="4" w:space="0" w:color="000000"/>
            </w:tcBorders>
          </w:tcPr>
          <w:p>
            <w:pPr>
              <w:pStyle w:val="TableContents"/>
              <w:bidi w:val="0"/>
              <w:jc w:val="start"/>
              <w:rPr/>
            </w:pPr>
            <w:r>
              <w:rPr/>
              <w:t>Approach</w:t>
            </w:r>
          </w:p>
        </w:tc>
        <w:tc>
          <w:tcPr>
            <w:tcW w:w="3213" w:type="dxa"/>
            <w:tcBorders>
              <w:start w:val="single" w:sz="4" w:space="0" w:color="000000"/>
              <w:bottom w:val="single" w:sz="4" w:space="0" w:color="000000"/>
            </w:tcBorders>
          </w:tcPr>
          <w:p>
            <w:pPr>
              <w:pStyle w:val="TableContents"/>
              <w:bidi w:val="0"/>
              <w:jc w:val="start"/>
              <w:rPr/>
            </w:pPr>
            <w:r>
              <w:rPr/>
              <w:t>Deductive, with iterative refinement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Hypotheses about retrieval-method performance are drawn from the literature (Section 2.5) and tested experimentally; the benchmark and filters are refined iteratively during data preparation</w:t>
            </w:r>
          </w:p>
        </w:tc>
      </w:tr>
      <w:tr>
        <w:trPr/>
        <w:tc>
          <w:tcPr>
            <w:tcW w:w="3212" w:type="dxa"/>
            <w:tcBorders>
              <w:start w:val="single" w:sz="4" w:space="0" w:color="000000"/>
              <w:bottom w:val="single" w:sz="4" w:space="0" w:color="000000"/>
            </w:tcBorders>
          </w:tcPr>
          <w:p>
            <w:pPr>
              <w:pStyle w:val="TableContents"/>
              <w:bidi w:val="0"/>
              <w:jc w:val="start"/>
              <w:rPr/>
            </w:pPr>
            <w:r>
              <w:rPr/>
              <w:t>Methodological choice</w:t>
            </w:r>
          </w:p>
        </w:tc>
        <w:tc>
          <w:tcPr>
            <w:tcW w:w="3213" w:type="dxa"/>
            <w:tcBorders>
              <w:start w:val="single" w:sz="4" w:space="0" w:color="000000"/>
              <w:bottom w:val="single" w:sz="4" w:space="0" w:color="000000"/>
            </w:tcBorders>
          </w:tcPr>
          <w:p>
            <w:pPr>
              <w:pStyle w:val="TableContents"/>
              <w:bidi w:val="0"/>
              <w:jc w:val="start"/>
              <w:rPr/>
            </w:pPr>
            <w:r>
              <w:rPr/>
              <w:t>Quantitative (mono-method), with a small qualitative faithfulness-review component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Primary evidence is IR metrics from controlled experiments; faithfulness review is a structured manual qualitative check, not a full mixed-methods study</w:t>
            </w:r>
          </w:p>
        </w:tc>
      </w:tr>
      <w:tr>
        <w:trPr/>
        <w:tc>
          <w:tcPr>
            <w:tcW w:w="3212" w:type="dxa"/>
            <w:tcBorders>
              <w:start w:val="single" w:sz="4" w:space="0" w:color="000000"/>
              <w:bottom w:val="single" w:sz="4" w:space="0" w:color="000000"/>
            </w:tcBorders>
          </w:tcPr>
          <w:p>
            <w:pPr>
              <w:pStyle w:val="TableContents"/>
              <w:bidi w:val="0"/>
              <w:jc w:val="start"/>
              <w:rPr/>
            </w:pPr>
            <w:r>
              <w:rPr/>
              <w:t>Strategy</w:t>
            </w:r>
          </w:p>
        </w:tc>
        <w:tc>
          <w:tcPr>
            <w:tcW w:w="3213" w:type="dxa"/>
            <w:tcBorders>
              <w:start w:val="single" w:sz="4" w:space="0" w:color="000000"/>
              <w:bottom w:val="single" w:sz="4" w:space="0" w:color="000000"/>
            </w:tcBorders>
          </w:tcPr>
          <w:p>
            <w:pPr>
              <w:pStyle w:val="TableContents"/>
              <w:bidi w:val="0"/>
              <w:jc w:val="start"/>
              <w:rPr/>
            </w:pPr>
            <w:r>
              <w:rPr/>
              <w:t>Design-science / experimental evaluation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An artefact (retrieval system) is built and its utility is evaluated against baselines</w:t>
            </w:r>
          </w:p>
        </w:tc>
      </w:tr>
      <w:tr>
        <w:trPr/>
        <w:tc>
          <w:tcPr>
            <w:tcW w:w="3212" w:type="dxa"/>
            <w:tcBorders>
              <w:start w:val="single" w:sz="4" w:space="0" w:color="000000"/>
              <w:bottom w:val="single" w:sz="4" w:space="0" w:color="000000"/>
            </w:tcBorders>
          </w:tcPr>
          <w:p>
            <w:pPr>
              <w:pStyle w:val="TableContents"/>
              <w:bidi w:val="0"/>
              <w:jc w:val="start"/>
              <w:rPr/>
            </w:pPr>
            <w:r>
              <w:rPr/>
              <w:t>Time horizon</w:t>
            </w:r>
          </w:p>
        </w:tc>
        <w:tc>
          <w:tcPr>
            <w:tcW w:w="3213" w:type="dxa"/>
            <w:tcBorders>
              <w:start w:val="single" w:sz="4" w:space="0" w:color="000000"/>
              <w:bottom w:val="single" w:sz="4" w:space="0" w:color="000000"/>
            </w:tcBorders>
          </w:tcPr>
          <w:p>
            <w:pPr>
              <w:pStyle w:val="TableContents"/>
              <w:bidi w:val="0"/>
              <w:jc w:val="start"/>
              <w:rPr/>
            </w:pPr>
            <w:r>
              <w:rPr/>
              <w:t>Cross-sectional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 experiments run on the fixed, already-published retrospective corpus during the project period</w:t>
            </w:r>
          </w:p>
        </w:tc>
      </w:tr>
      <w:tr>
        <w:trPr/>
        <w:tc>
          <w:tcPr>
            <w:tcW w:w="3212" w:type="dxa"/>
            <w:tcBorders>
              <w:start w:val="single" w:sz="4" w:space="0" w:color="000000"/>
              <w:bottom w:val="single" w:sz="4" w:space="0" w:color="000000"/>
            </w:tcBorders>
          </w:tcPr>
          <w:p>
            <w:pPr>
              <w:pStyle w:val="TableContents"/>
              <w:bidi w:val="0"/>
              <w:jc w:val="start"/>
              <w:rPr/>
            </w:pPr>
            <w:r>
              <w:rPr/>
              <w:t>Techniques</w:t>
            </w:r>
          </w:p>
        </w:tc>
        <w:tc>
          <w:tcPr>
            <w:tcW w:w="3213" w:type="dxa"/>
            <w:tcBorders>
              <w:start w:val="single" w:sz="4" w:space="0" w:color="000000"/>
              <w:bottom w:val="single" w:sz="4" w:space="0" w:color="000000"/>
            </w:tcBorders>
          </w:tcPr>
          <w:p>
            <w:pPr>
              <w:pStyle w:val="TableContents"/>
              <w:bidi w:val="0"/>
              <w:jc w:val="start"/>
              <w:rPr/>
            </w:pPr>
            <w:r>
              <w:rPr/>
              <w:t>Corpus curation, benchmark annotation, retrieval experiments, ablations, manual review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Directly answer RQ1–RQ4 (and RQ5 if pursued)</w:t>
            </w:r>
          </w:p>
        </w:tc>
      </w:tr>
    </w:tbl>
    <w:p>
      <w:pPr>
        <w:pStyle w:val="BodyText"/>
        <w:bidi w:val="0"/>
        <w:jc w:val="start"/>
        <w:rPr/>
      </w:pPr>
      <w:r>
        <w:rPr/>
      </w:r>
    </w:p>
    <w:p>
      <w:pPr>
        <w:pStyle w:val="Heading3"/>
        <w:bidi w:val="0"/>
        <w:ind w:hanging="0" w:start="0"/>
        <w:jc w:val="start"/>
        <w:rPr/>
      </w:pPr>
      <w:r>
        <w:rPr/>
        <w:t>3.3 Research design and hypotheses</w:t>
      </w:r>
    </w:p>
    <w:p>
      <w:pPr>
        <w:pStyle w:val="BodyText"/>
        <w:numPr>
          <w:ilvl w:val="0"/>
          <w:numId w:val="7"/>
        </w:numPr>
        <w:tabs>
          <w:tab w:val="clear" w:pos="709"/>
          <w:tab w:val="left" w:pos="709" w:leader="none"/>
        </w:tabs>
        <w:bidi w:val="0"/>
        <w:ind w:hanging="283" w:start="709"/>
        <w:jc w:val="start"/>
        <w:rPr/>
      </w:pPr>
      <w:r>
        <w:rPr>
          <w:b/>
        </w:rPr>
        <w:t>RQ1:</w:t>
      </w:r>
      <w:r>
        <w:rPr/>
        <w:t xml:space="preserve"> Independent variable = retrieval method (BM25 vs dense). Dependent variables = Recall@K, nDCG@K. H1: dense retrieval will outperform BM25 on queries with vocabulary mismatch but may underperform on queries containing exact rule numbers.</w:t>
      </w:r>
    </w:p>
    <w:p>
      <w:pPr>
        <w:pStyle w:val="BodyText"/>
        <w:numPr>
          <w:ilvl w:val="0"/>
          <w:numId w:val="7"/>
        </w:numPr>
        <w:tabs>
          <w:tab w:val="clear" w:pos="709"/>
          <w:tab w:val="left" w:pos="709" w:leader="none"/>
        </w:tabs>
        <w:bidi w:val="0"/>
        <w:ind w:hanging="283" w:start="709"/>
        <w:jc w:val="start"/>
        <w:rPr/>
      </w:pPr>
      <w:r>
        <w:rPr>
          <w:b/>
        </w:rPr>
        <w:t>RQ2:</w:t>
      </w:r>
      <w:r>
        <w:rPr/>
        <w:t xml:space="preserve"> Independent variable = fusion vs single-method. H2: hybrid retrieval will match or exceed the better of the two individual methods.</w:t>
      </w:r>
    </w:p>
    <w:p>
      <w:pPr>
        <w:pStyle w:val="BodyText"/>
        <w:numPr>
          <w:ilvl w:val="0"/>
          <w:numId w:val="7"/>
        </w:numPr>
        <w:tabs>
          <w:tab w:val="clear" w:pos="709"/>
          <w:tab w:val="left" w:pos="709" w:leader="none"/>
        </w:tabs>
        <w:bidi w:val="0"/>
        <w:ind w:hanging="283" w:start="709"/>
        <w:jc w:val="start"/>
        <w:rPr/>
      </w:pPr>
      <w:r>
        <w:rPr>
          <w:b/>
        </w:rPr>
        <w:t>RQ4:</w:t>
      </w:r>
      <w:r>
        <w:rPr/>
        <w:t xml:space="preserve"> Independent variable = validity-flag on/off. H4: enabling the flag will reduce the proportion of top-k results that are manually confirmed superseded/revoked.</w:t>
      </w:r>
    </w:p>
    <w:p>
      <w:pPr>
        <w:pStyle w:val="BodyText"/>
        <w:bidi w:val="0"/>
        <w:jc w:val="start"/>
        <w:rPr/>
      </w:pPr>
      <w:r>
        <w:rPr/>
        <w:t>All comparisons will use the same fixed benchmark, the same top-k cut-offs, and the same corpus snapshot to avoid unfair comparison.</w:t>
      </w:r>
    </w:p>
    <w:p>
      <w:pPr>
        <w:pStyle w:val="Heading3"/>
        <w:bidi w:val="0"/>
        <w:ind w:hanging="0" w:start="0"/>
        <w:jc w:val="start"/>
        <w:rPr/>
      </w:pPr>
      <w:r>
        <w:rPr/>
        <w:t>3.4 Proposed technical methodology and implementation pipeline</w:t>
      </w:r>
    </w:p>
    <w:p>
      <w:pPr>
        <w:pStyle w:val="Heading4"/>
        <w:bidi w:val="0"/>
        <w:ind w:hanging="0" w:start="0"/>
        <w:jc w:val="start"/>
        <w:rPr/>
      </w:pPr>
      <w:r>
        <w:rPr/>
        <w:t>3.4.1 Data ingestion and governance</w:t>
      </w:r>
    </w:p>
    <w:p>
      <w:pPr>
        <w:pStyle w:val="BodyText"/>
        <w:bidi w:val="0"/>
        <w:jc w:val="start"/>
        <w:rPr/>
      </w:pPr>
      <w:r>
        <w:rPr/>
        <w:t xml:space="preserve">Inputs: MIT-licensed </w:t>
      </w:r>
      <w:r>
        <w:rPr>
          <w:rFonts w:ascii="Liberation Mono" w:hAnsi="Liberation Mono"/>
        </w:rPr>
        <w:t>lk_legal_docs</w:t>
      </w:r>
      <w:r>
        <w:rPr/>
        <w:t xml:space="preserve"> data branches (Acts; Extraordinary Gazettes 2020s, optionally 2010s). Output: a versioned local manifest recording document ID, source URL, licence, date, and text-availability flag. Fallback: if live cloning is unavailable at execution time, use the Hugging Face mirror datasets referenced in Option_2_Sri_Lankan_Legal_Datasets.md.</w:t>
      </w:r>
    </w:p>
    <w:p>
      <w:pPr>
        <w:pStyle w:val="Heading4"/>
        <w:bidi w:val="0"/>
        <w:ind w:hanging="0" w:start="0"/>
        <w:jc w:val="start"/>
        <w:rPr/>
      </w:pPr>
      <w:r>
        <w:rPr/>
        <w:t>3.4.2 Filtering and scoping</w:t>
      </w:r>
    </w:p>
    <w:p>
      <w:pPr>
        <w:pStyle w:val="BodyText"/>
        <w:bidi w:val="0"/>
        <w:jc w:val="start"/>
        <w:rPr/>
      </w:pPr>
      <w:r>
        <w:rPr/>
        <w:t>Selected approach: keyword/metadata filtering (titles/content containing terms such as "rule", "procedure", "regulation", "appeal", "application", cross-checked manually against a sample) to identify procedure-bearing Acts/Gazette entries, compared against the alternative of using the full unfiltered corpus (rejected as infeasible in scope and precision for an undergraduate project).</w:t>
      </w:r>
    </w:p>
    <w:p>
      <w:pPr>
        <w:pStyle w:val="Heading4"/>
        <w:bidi w:val="0"/>
        <w:ind w:hanging="0" w:start="0"/>
        <w:jc w:val="start"/>
        <w:rPr/>
      </w:pPr>
      <w:r>
        <w:rPr/>
        <w:t>3.4.3 Pre-processing and chunking</w:t>
      </w:r>
    </w:p>
    <w:p>
      <w:pPr>
        <w:pStyle w:val="BodyText"/>
        <w:bidi w:val="0"/>
        <w:jc w:val="start"/>
        <w:rPr/>
      </w:pPr>
      <w:r>
        <w:rPr/>
        <w:t>Section/rule-level chunking using structural markers (numbered rules/sections, headings), compared against whole-document indexing (rejected — too coarse for specific-rule queries) and fixed-length sliding-window chunking (considered as a fallback where structural markers are unreliable, e.g. some Gazette OCR text).</w:t>
      </w:r>
    </w:p>
    <w:p>
      <w:pPr>
        <w:pStyle w:val="Heading4"/>
        <w:bidi w:val="0"/>
        <w:ind w:hanging="0" w:start="0"/>
        <w:jc w:val="start"/>
        <w:rPr/>
      </w:pPr>
      <w:r>
        <w:rPr/>
        <w:t>3.4.4 Metadata and validity extraction</w:t>
      </w:r>
    </w:p>
    <w:p>
      <w:pPr>
        <w:pStyle w:val="BodyText"/>
        <w:bidi w:val="0"/>
        <w:jc w:val="start"/>
        <w:rPr/>
      </w:pPr>
      <w:r>
        <w:rPr/>
        <w:t>Rule-based extraction of explicit validity language (e.g., "revoked with effect from...", "shall come into force on...") to populate a validity field; compared against full temporal legal reasoning (rejected as infeasible — this project extracts explicit textual signals only, it does not model point-in-time law).</w:t>
      </w:r>
    </w:p>
    <w:p>
      <w:pPr>
        <w:pStyle w:val="Heading4"/>
        <w:bidi w:val="0"/>
        <w:ind w:hanging="0" w:start="0"/>
        <w:jc w:val="start"/>
        <w:rPr/>
      </w:pPr>
      <w:r>
        <w:rPr/>
        <w:t>3.4.5 Benchmark construction</w:t>
      </w:r>
    </w:p>
    <w:p>
      <w:pPr>
        <w:pStyle w:val="BodyText"/>
        <w:bidi w:val="0"/>
        <w:jc w:val="start"/>
        <w:rPr/>
      </w:pPr>
      <w:r>
        <w:rPr/>
        <w:t>A documented annotation protocol will define what counts as "relevant" (the passage that directly answers the query) vs "partially relevant" vs "not relevant"; ~50–100 queries will be manually written by the student, informed by the structure of real procedural questions (e.g. drawing question types from the BASL Supreme Court Rules compilation's own rule cross-references, without copying its compiled text into the corpus itself), with relevance judged against the licensed corpus text.</w:t>
      </w:r>
    </w:p>
    <w:p>
      <w:pPr>
        <w:pStyle w:val="Heading4"/>
        <w:bidi w:val="0"/>
        <w:ind w:hanging="0" w:start="0"/>
        <w:jc w:val="start"/>
        <w:rPr/>
      </w:pPr>
      <w:r>
        <w:rPr/>
        <w:t>3.4.6 Baseline retrieval</w:t>
      </w:r>
    </w:p>
    <w:p>
      <w:pPr>
        <w:pStyle w:val="BodyText"/>
        <w:bidi w:val="0"/>
        <w:jc w:val="start"/>
        <w:rPr/>
      </w:pPr>
      <w:r>
        <w:rPr/>
        <w:t>TF-IDF and BM25 implementations (e.g., via an established IR library) over the chunked corpus.</w:t>
      </w:r>
    </w:p>
    <w:p>
      <w:pPr>
        <w:pStyle w:val="Heading4"/>
        <w:bidi w:val="0"/>
        <w:ind w:hanging="0" w:start="0"/>
        <w:jc w:val="start"/>
        <w:rPr/>
      </w:pPr>
      <w:r>
        <w:rPr/>
        <w:t>3.4.7 Dense/hybrid retrieval</w:t>
      </w:r>
    </w:p>
    <w:p>
      <w:pPr>
        <w:pStyle w:val="BodyText"/>
        <w:bidi w:val="0"/>
        <w:jc w:val="start"/>
        <w:rPr/>
      </w:pPr>
      <w:r>
        <w:rPr/>
        <w:t>Sentence-embedding retrieval using a pretrained model, with a simple vector index; hybrid fusion (e.g., reciprocal rank fusion) combining BM25 and dense scores.</w:t>
      </w:r>
    </w:p>
    <w:p>
      <w:pPr>
        <w:pStyle w:val="Heading4"/>
        <w:bidi w:val="0"/>
        <w:ind w:hanging="0" w:start="0"/>
        <w:jc w:val="start"/>
        <w:rPr/>
      </w:pPr>
      <w:r>
        <w:rPr/>
        <w:t>3.4.8 Explanation and citation output</w:t>
      </w:r>
    </w:p>
    <w:p>
      <w:pPr>
        <w:pStyle w:val="BodyText"/>
        <w:bidi w:val="0"/>
        <w:jc w:val="start"/>
        <w:rPr/>
      </w:pPr>
      <w:r>
        <w:rPr/>
        <w:t>Each result returns the matched passage, highlighted terms/sentences, source document identifier, section/rule number, and (if available) the validity flag.</w:t>
      </w:r>
    </w:p>
    <w:p>
      <w:pPr>
        <w:pStyle w:val="Heading4"/>
        <w:bidi w:val="0"/>
        <w:ind w:hanging="0" w:start="0"/>
        <w:jc w:val="start"/>
        <w:rPr/>
      </w:pPr>
      <w:r>
        <w:rPr/>
        <w:t>3.4.9 Reproducibility</w:t>
      </w:r>
    </w:p>
    <w:p>
      <w:pPr>
        <w:pStyle w:val="BodyText"/>
        <w:bidi w:val="0"/>
        <w:jc w:val="start"/>
        <w:rPr/>
      </w:pPr>
      <w:r>
        <w:rPr/>
        <w:t>All experiment configurations, corpus snapshots, and benchmark versions will be recorded so that results can be regenerated.</w:t>
      </w:r>
    </w:p>
    <w:p>
      <w:pPr>
        <w:pStyle w:val="Heading3"/>
        <w:bidi w:val="0"/>
        <w:ind w:hanging="0" w:start="0"/>
        <w:jc w:val="start"/>
        <w:rPr/>
      </w:pPr>
      <w:r>
        <w:rPr/>
        <w:t>3.5 Requirements engineering</w:t>
      </w:r>
    </w:p>
    <w:p>
      <w:pPr>
        <w:pStyle w:val="Heading4"/>
        <w:bidi w:val="0"/>
        <w:ind w:hanging="0" w:start="0"/>
        <w:jc w:val="start"/>
        <w:rPr/>
      </w:pPr>
      <w:r>
        <w:rPr/>
        <w:t>3.5.1 Stakeholder analysis</w:t>
      </w:r>
    </w:p>
    <w:p>
      <w:pPr>
        <w:pStyle w:val="BodyText"/>
        <w:bidi w:val="0"/>
        <w:jc w:val="start"/>
        <w:rPr/>
      </w:pPr>
      <w:r>
        <w:rPr/>
        <w:t>Primary: the researcher/user querying for procedural information. Secondary: dataset maintainers (attribution/licence compliance), the academic supervisor/examiner, and indirectly, members of the public who might one day use a matured version of such a tool (not evaluated directly in this project).</w:t>
      </w:r>
    </w:p>
    <w:p>
      <w:pPr>
        <w:pStyle w:val="Heading4"/>
        <w:bidi w:val="0"/>
        <w:ind w:hanging="0" w:start="0"/>
        <w:jc w:val="start"/>
        <w:rPr/>
      </w:pPr>
      <w:r>
        <w:rPr/>
        <w:t>3.5.2 Requirement elicitation and evidence</w:t>
      </w:r>
    </w:p>
    <w:p>
      <w:pPr>
        <w:pStyle w:val="BodyText"/>
        <w:bidi w:val="0"/>
        <w:jc w:val="start"/>
        <w:rPr/>
      </w:pPr>
      <w:r>
        <w:rPr/>
        <w:t>Requirements are derived from the literature review, the dataset's own documented limitations, and the student's own analysis of the BASL Supreme Court Rules structure; no human-subject interviews are planned, so no ethics application for participant research is required unless this changes.</w:t>
      </w:r>
    </w:p>
    <w:p>
      <w:pPr>
        <w:pStyle w:val="Heading4"/>
        <w:bidi w:val="0"/>
        <w:ind w:hanging="0" w:start="0"/>
        <w:jc w:val="start"/>
        <w:rPr/>
      </w:pPr>
      <w:r>
        <w:rPr/>
        <w:t>3.5.3 Functional and non-functional requirements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Priority</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Requirement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Verification</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Traceability</w:t>
            </w:r>
          </w:p>
        </w:tc>
      </w:tr>
      <w:tr>
        <w:trPr/>
        <w:tc>
          <w:tcPr>
            <w:tcW w:w="1927" w:type="dxa"/>
            <w:tcBorders>
              <w:start w:val="single" w:sz="4" w:space="0" w:color="000000"/>
              <w:bottom w:val="single" w:sz="4" w:space="0" w:color="000000"/>
            </w:tcBorders>
          </w:tcPr>
          <w:p>
            <w:pPr>
              <w:pStyle w:val="TableContents"/>
              <w:bidi w:val="0"/>
              <w:jc w:val="start"/>
              <w:rPr/>
            </w:pPr>
            <w:r>
              <w:rPr/>
              <w:t>FR-M1</w:t>
            </w:r>
          </w:p>
        </w:tc>
        <w:tc>
          <w:tcPr>
            <w:tcW w:w="1928" w:type="dxa"/>
            <w:tcBorders>
              <w:start w:val="single" w:sz="4" w:space="0" w:color="000000"/>
              <w:bottom w:val="single" w:sz="4" w:space="0" w:color="000000"/>
            </w:tcBorders>
          </w:tcPr>
          <w:p>
            <w:pPr>
              <w:pStyle w:val="TableContents"/>
              <w:bidi w:val="0"/>
              <w:jc w:val="start"/>
              <w:rPr/>
            </w:pPr>
            <w:r>
              <w:rPr/>
              <w:t>Must</w:t>
            </w:r>
          </w:p>
        </w:tc>
        <w:tc>
          <w:tcPr>
            <w:tcW w:w="1927" w:type="dxa"/>
            <w:tcBorders>
              <w:start w:val="single" w:sz="4" w:space="0" w:color="000000"/>
              <w:bottom w:val="single" w:sz="4" w:space="0" w:color="000000"/>
            </w:tcBorders>
          </w:tcPr>
          <w:p>
            <w:pPr>
              <w:pStyle w:val="TableContents"/>
              <w:bidi w:val="0"/>
              <w:jc w:val="start"/>
              <w:rPr/>
            </w:pPr>
            <w:r>
              <w:rPr/>
              <w:t>Ingest and chunk Acts/Gazette text into rule/section-level units</w:t>
            </w:r>
          </w:p>
        </w:tc>
        <w:tc>
          <w:tcPr>
            <w:tcW w:w="1928" w:type="dxa"/>
            <w:tcBorders>
              <w:start w:val="single" w:sz="4" w:space="0" w:color="000000"/>
              <w:bottom w:val="single" w:sz="4" w:space="0" w:color="000000"/>
            </w:tcBorders>
          </w:tcPr>
          <w:p>
            <w:pPr>
              <w:pStyle w:val="TableContents"/>
              <w:bidi w:val="0"/>
              <w:jc w:val="start"/>
              <w:rPr/>
            </w:pPr>
            <w:r>
              <w:rPr/>
              <w:t>Pipeline test on sample documents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RO2</w:t>
            </w:r>
          </w:p>
        </w:tc>
      </w:tr>
      <w:tr>
        <w:trPr/>
        <w:tc>
          <w:tcPr>
            <w:tcW w:w="1927" w:type="dxa"/>
            <w:tcBorders>
              <w:start w:val="single" w:sz="4" w:space="0" w:color="000000"/>
              <w:bottom w:val="single" w:sz="4" w:space="0" w:color="000000"/>
            </w:tcBorders>
          </w:tcPr>
          <w:p>
            <w:pPr>
              <w:pStyle w:val="TableContents"/>
              <w:bidi w:val="0"/>
              <w:jc w:val="start"/>
              <w:rPr/>
            </w:pPr>
            <w:r>
              <w:rPr/>
              <w:t>FR-M2</w:t>
            </w:r>
          </w:p>
        </w:tc>
        <w:tc>
          <w:tcPr>
            <w:tcW w:w="1928" w:type="dxa"/>
            <w:tcBorders>
              <w:start w:val="single" w:sz="4" w:space="0" w:color="000000"/>
              <w:bottom w:val="single" w:sz="4" w:space="0" w:color="000000"/>
            </w:tcBorders>
          </w:tcPr>
          <w:p>
            <w:pPr>
              <w:pStyle w:val="TableContents"/>
              <w:bidi w:val="0"/>
              <w:jc w:val="start"/>
              <w:rPr/>
            </w:pPr>
            <w:r>
              <w:rPr/>
              <w:t>Must</w:t>
            </w:r>
          </w:p>
        </w:tc>
        <w:tc>
          <w:tcPr>
            <w:tcW w:w="1927" w:type="dxa"/>
            <w:tcBorders>
              <w:start w:val="single" w:sz="4" w:space="0" w:color="000000"/>
              <w:bottom w:val="single" w:sz="4" w:space="0" w:color="000000"/>
            </w:tcBorders>
          </w:tcPr>
          <w:p>
            <w:pPr>
              <w:pStyle w:val="TableContents"/>
              <w:bidi w:val="0"/>
              <w:jc w:val="start"/>
              <w:rPr/>
            </w:pPr>
            <w:r>
              <w:rPr/>
              <w:t>Return top-k ranked results with source citation for BM25, dense and hybrid methods</w:t>
            </w:r>
          </w:p>
        </w:tc>
        <w:tc>
          <w:tcPr>
            <w:tcW w:w="1928" w:type="dxa"/>
            <w:tcBorders>
              <w:start w:val="single" w:sz="4" w:space="0" w:color="000000"/>
              <w:bottom w:val="single" w:sz="4" w:space="0" w:color="000000"/>
            </w:tcBorders>
          </w:tcPr>
          <w:p>
            <w:pPr>
              <w:pStyle w:val="TableContents"/>
              <w:bidi w:val="0"/>
              <w:jc w:val="start"/>
              <w:rPr/>
            </w:pPr>
            <w:r>
              <w:rPr/>
              <w:t>Automated output-schema test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RQ1/RQ2/RO5</w:t>
            </w:r>
          </w:p>
        </w:tc>
      </w:tr>
      <w:tr>
        <w:trPr/>
        <w:tc>
          <w:tcPr>
            <w:tcW w:w="1927" w:type="dxa"/>
            <w:tcBorders>
              <w:start w:val="single" w:sz="4" w:space="0" w:color="000000"/>
              <w:bottom w:val="single" w:sz="4" w:space="0" w:color="000000"/>
            </w:tcBorders>
          </w:tcPr>
          <w:p>
            <w:pPr>
              <w:pStyle w:val="TableContents"/>
              <w:bidi w:val="0"/>
              <w:jc w:val="start"/>
              <w:rPr/>
            </w:pPr>
            <w:r>
              <w:rPr/>
              <w:t>FR-M3</w:t>
            </w:r>
          </w:p>
        </w:tc>
        <w:tc>
          <w:tcPr>
            <w:tcW w:w="1928" w:type="dxa"/>
            <w:tcBorders>
              <w:start w:val="single" w:sz="4" w:space="0" w:color="000000"/>
              <w:bottom w:val="single" w:sz="4" w:space="0" w:color="000000"/>
            </w:tcBorders>
          </w:tcPr>
          <w:p>
            <w:pPr>
              <w:pStyle w:val="TableContents"/>
              <w:bidi w:val="0"/>
              <w:jc w:val="start"/>
              <w:rPr/>
            </w:pPr>
            <w:r>
              <w:rPr/>
              <w:t>Must</w:t>
            </w:r>
          </w:p>
        </w:tc>
        <w:tc>
          <w:tcPr>
            <w:tcW w:w="1927" w:type="dxa"/>
            <w:tcBorders>
              <w:start w:val="single" w:sz="4" w:space="0" w:color="000000"/>
              <w:bottom w:val="single" w:sz="4" w:space="0" w:color="000000"/>
            </w:tcBorders>
          </w:tcPr>
          <w:p>
            <w:pPr>
              <w:pStyle w:val="TableContents"/>
              <w:bidi w:val="0"/>
              <w:jc w:val="start"/>
              <w:rPr/>
            </w:pPr>
            <w:r>
              <w:rPr/>
              <w:t>Flag retrieved provisions with a validity status where explicit text supports it</w:t>
            </w:r>
          </w:p>
        </w:tc>
        <w:tc>
          <w:tcPr>
            <w:tcW w:w="1928" w:type="dxa"/>
            <w:tcBorders>
              <w:start w:val="single" w:sz="4" w:space="0" w:color="000000"/>
              <w:bottom w:val="single" w:sz="4" w:space="0" w:color="000000"/>
            </w:tcBorders>
          </w:tcPr>
          <w:p>
            <w:pPr>
              <w:pStyle w:val="TableContents"/>
              <w:bidi w:val="0"/>
              <w:jc w:val="start"/>
              <w:rPr/>
            </w:pPr>
            <w:r>
              <w:rPr/>
              <w:t>Manual spot-check against source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RQ4/RO5</w:t>
            </w:r>
          </w:p>
        </w:tc>
      </w:tr>
      <w:tr>
        <w:trPr/>
        <w:tc>
          <w:tcPr>
            <w:tcW w:w="1927" w:type="dxa"/>
            <w:tcBorders>
              <w:start w:val="single" w:sz="4" w:space="0" w:color="000000"/>
              <w:bottom w:val="single" w:sz="4" w:space="0" w:color="000000"/>
            </w:tcBorders>
          </w:tcPr>
          <w:p>
            <w:pPr>
              <w:pStyle w:val="TableContents"/>
              <w:bidi w:val="0"/>
              <w:jc w:val="start"/>
              <w:rPr/>
            </w:pPr>
            <w:r>
              <w:rPr/>
              <w:t>FR-S1</w:t>
            </w:r>
          </w:p>
        </w:tc>
        <w:tc>
          <w:tcPr>
            <w:tcW w:w="1928" w:type="dxa"/>
            <w:tcBorders>
              <w:start w:val="single" w:sz="4" w:space="0" w:color="000000"/>
              <w:bottom w:val="single" w:sz="4" w:space="0" w:color="000000"/>
            </w:tcBorders>
          </w:tcPr>
          <w:p>
            <w:pPr>
              <w:pStyle w:val="TableContents"/>
              <w:bidi w:val="0"/>
              <w:jc w:val="start"/>
              <w:rPr/>
            </w:pPr>
            <w:r>
              <w:rPr/>
              <w:t>Should</w:t>
            </w:r>
          </w:p>
        </w:tc>
        <w:tc>
          <w:tcPr>
            <w:tcW w:w="1927" w:type="dxa"/>
            <w:tcBorders>
              <w:start w:val="single" w:sz="4" w:space="0" w:color="000000"/>
              <w:bottom w:val="single" w:sz="4" w:space="0" w:color="000000"/>
            </w:tcBorders>
          </w:tcPr>
          <w:p>
            <w:pPr>
              <w:pStyle w:val="TableContents"/>
              <w:bidi w:val="0"/>
              <w:jc w:val="start"/>
              <w:rPr/>
            </w:pPr>
            <w:r>
              <w:rPr/>
              <w:t>Provide a minimal query interface for demonstration</w:t>
            </w:r>
          </w:p>
        </w:tc>
        <w:tc>
          <w:tcPr>
            <w:tcW w:w="1928" w:type="dxa"/>
            <w:tcBorders>
              <w:start w:val="single" w:sz="4" w:space="0" w:color="000000"/>
              <w:bottom w:val="single" w:sz="4" w:space="0" w:color="000000"/>
            </w:tcBorders>
          </w:tcPr>
          <w:p>
            <w:pPr>
              <w:pStyle w:val="TableContents"/>
              <w:bidi w:val="0"/>
              <w:jc w:val="start"/>
              <w:rPr/>
            </w:pPr>
            <w:r>
              <w:rPr/>
              <w:t>Manual usability check</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RO...</w:t>
            </w:r>
          </w:p>
        </w:tc>
      </w:tr>
      <w:tr>
        <w:trPr/>
        <w:tc>
          <w:tcPr>
            <w:tcW w:w="1927" w:type="dxa"/>
            <w:tcBorders>
              <w:start w:val="single" w:sz="4" w:space="0" w:color="000000"/>
              <w:bottom w:val="single" w:sz="4" w:space="0" w:color="000000"/>
            </w:tcBorders>
          </w:tcPr>
          <w:p>
            <w:pPr>
              <w:pStyle w:val="TableContents"/>
              <w:bidi w:val="0"/>
              <w:jc w:val="start"/>
              <w:rPr/>
            </w:pPr>
            <w:r>
              <w:rPr/>
              <w:t>NFR-R1</w:t>
            </w:r>
          </w:p>
        </w:tc>
        <w:tc>
          <w:tcPr>
            <w:tcW w:w="1928" w:type="dxa"/>
            <w:tcBorders>
              <w:start w:val="single" w:sz="4" w:space="0" w:color="000000"/>
              <w:bottom w:val="single" w:sz="4" w:space="0" w:color="000000"/>
            </w:tcBorders>
          </w:tcPr>
          <w:p>
            <w:pPr>
              <w:pStyle w:val="TableContents"/>
              <w:bidi w:val="0"/>
              <w:jc w:val="start"/>
              <w:rPr/>
            </w:pPr>
            <w:r>
              <w:rPr/>
              <w:t>Must</w:t>
            </w:r>
          </w:p>
        </w:tc>
        <w:tc>
          <w:tcPr>
            <w:tcW w:w="1927" w:type="dxa"/>
            <w:tcBorders>
              <w:start w:val="single" w:sz="4" w:space="0" w:color="000000"/>
              <w:bottom w:val="single" w:sz="4" w:space="0" w:color="000000"/>
            </w:tcBorders>
          </w:tcPr>
          <w:p>
            <w:pPr>
              <w:pStyle w:val="TableContents"/>
              <w:bidi w:val="0"/>
              <w:jc w:val="start"/>
              <w:rPr/>
            </w:pPr>
            <w:r>
              <w:rPr/>
              <w:t>Reproduce an evaluation run from a saved corpus snapshot and configuration</w:t>
            </w:r>
          </w:p>
        </w:tc>
        <w:tc>
          <w:tcPr>
            <w:tcW w:w="1928" w:type="dxa"/>
            <w:tcBorders>
              <w:start w:val="single" w:sz="4" w:space="0" w:color="000000"/>
              <w:bottom w:val="single" w:sz="4" w:space="0" w:color="000000"/>
            </w:tcBorders>
          </w:tcPr>
          <w:p>
            <w:pPr>
              <w:pStyle w:val="TableContents"/>
              <w:bidi w:val="0"/>
              <w:jc w:val="start"/>
              <w:rPr/>
            </w:pPr>
            <w:r>
              <w:rPr/>
              <w:t>Repeat-run comparison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RO6</w:t>
            </w:r>
          </w:p>
        </w:tc>
      </w:tr>
      <w:tr>
        <w:trPr/>
        <w:tc>
          <w:tcPr>
            <w:tcW w:w="1927" w:type="dxa"/>
            <w:tcBorders>
              <w:start w:val="single" w:sz="4" w:space="0" w:color="000000"/>
              <w:bottom w:val="single" w:sz="4" w:space="0" w:color="000000"/>
            </w:tcBorders>
          </w:tcPr>
          <w:p>
            <w:pPr>
              <w:pStyle w:val="TableContents"/>
              <w:bidi w:val="0"/>
              <w:jc w:val="start"/>
              <w:rPr/>
            </w:pPr>
            <w:r>
              <w:rPr/>
              <w:t>NFR-P1</w:t>
            </w:r>
          </w:p>
        </w:tc>
        <w:tc>
          <w:tcPr>
            <w:tcW w:w="1928" w:type="dxa"/>
            <w:tcBorders>
              <w:start w:val="single" w:sz="4" w:space="0" w:color="000000"/>
              <w:bottom w:val="single" w:sz="4" w:space="0" w:color="000000"/>
            </w:tcBorders>
          </w:tcPr>
          <w:p>
            <w:pPr>
              <w:pStyle w:val="TableContents"/>
              <w:bidi w:val="0"/>
              <w:jc w:val="start"/>
              <w:rPr/>
            </w:pPr>
            <w:r>
              <w:rPr/>
              <w:t>Must</w:t>
            </w:r>
          </w:p>
        </w:tc>
        <w:tc>
          <w:tcPr>
            <w:tcW w:w="1927" w:type="dxa"/>
            <w:tcBorders>
              <w:start w:val="single" w:sz="4" w:space="0" w:color="000000"/>
              <w:bottom w:val="single" w:sz="4" w:space="0" w:color="000000"/>
            </w:tcBorders>
          </w:tcPr>
          <w:p>
            <w:pPr>
              <w:pStyle w:val="TableContents"/>
              <w:bidi w:val="0"/>
              <w:jc w:val="start"/>
              <w:rPr/>
            </w:pPr>
            <w:r>
              <w:rPr/>
              <w:t>Preserve dataset licence attribution and provenance metadata</w:t>
            </w:r>
          </w:p>
        </w:tc>
        <w:tc>
          <w:tcPr>
            <w:tcW w:w="1928" w:type="dxa"/>
            <w:tcBorders>
              <w:start w:val="single" w:sz="4" w:space="0" w:color="000000"/>
              <w:bottom w:val="single" w:sz="4" w:space="0" w:color="000000"/>
            </w:tcBorders>
          </w:tcPr>
          <w:p>
            <w:pPr>
              <w:pStyle w:val="TableContents"/>
              <w:bidi w:val="0"/>
              <w:jc w:val="start"/>
              <w:rPr/>
            </w:pPr>
            <w:r>
              <w:rPr/>
              <w:t>Manifest review</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LESP</w:t>
            </w:r>
          </w:p>
        </w:tc>
      </w:tr>
    </w:tbl>
    <w:p>
      <w:pPr>
        <w:pStyle w:val="BodyText"/>
        <w:bidi w:val="0"/>
        <w:jc w:val="start"/>
        <w:rPr/>
      </w:pPr>
      <w:r>
        <w:rPr/>
      </w:r>
    </w:p>
    <w:p>
      <w:pPr>
        <w:pStyle w:val="BodyText"/>
        <w:bidi w:val="0"/>
        <w:jc w:val="start"/>
        <w:rPr/>
      </w:pPr>
      <w:r>
        <w:rPr/>
        <w:t>Full requirement specification belongs in Appendix G.</w:t>
      </w:r>
    </w:p>
    <w:p>
      <w:pPr>
        <w:pStyle w:val="Heading3"/>
        <w:bidi w:val="0"/>
        <w:ind w:hanging="0" w:start="0"/>
        <w:jc w:val="start"/>
        <w:rPr/>
      </w:pPr>
      <w:r>
        <w:rPr/>
        <w:t>3.6 System and software design</w:t>
      </w:r>
    </w:p>
    <w:p>
      <w:pPr>
        <w:pStyle w:val="BodyText"/>
        <w:bidi w:val="0"/>
        <w:jc w:val="start"/>
        <w:rPr/>
      </w:pPr>
      <w:r>
        <w:rPr>
          <w:rFonts w:ascii="Liberation Mono" w:hAnsi="Liberation Mono"/>
        </w:rPr>
        <w:t>[Insert Figure 4/5: context diagram; use-case diagram (Query, Review Evidence, Export Benchmark Result); component diagram — Corpus Manager, Retrieval Service (BM25/Dense/Hybrid), Validity Extractor, Explanation/Citation Service, Evaluation Harness.]</w:t>
      </w:r>
      <w:r>
        <w:rPr/>
        <w:t xml:space="preserve"> Components are kept modular so each retrieval method can be swapped for ablation without altering the rest of the pipeline.</w:t>
      </w:r>
    </w:p>
    <w:p>
      <w:pPr>
        <w:pStyle w:val="Heading3"/>
        <w:bidi w:val="0"/>
        <w:ind w:hanging="0" w:start="0"/>
        <w:jc w:val="start"/>
        <w:rPr/>
      </w:pPr>
      <w:r>
        <w:rPr/>
        <w:t>3.7 Data requirements and management plan</w:t>
      </w:r>
    </w:p>
    <w:p>
      <w:pPr>
        <w:pStyle w:val="BodyText"/>
        <w:bidi w:val="0"/>
        <w:jc w:val="start"/>
        <w:rPr/>
      </w:pPr>
      <w:r>
        <w:rPr/>
        <w:t>Acts (primary) and text-available Extraordinary Gazette entries (secondary) will be stored locally with a data dictionary (document ID, source URL, date, licence, chunk ID, validity flag). Since this is retrospective, publicly licensed textual data (no personal data), a formal train/validation/test split in the supervised-ML sense is not the primary concern; instead, the benchmark queries will be partitioned into a development set (for tuning any thresholds, e.g., fusion weights) and a held-out set (for final reported metrics), to avoid tuning on the reported evaluation set.</w:t>
      </w:r>
    </w:p>
    <w:p>
      <w:pPr>
        <w:pStyle w:val="Heading3"/>
        <w:bidi w:val="0"/>
        <w:ind w:hanging="0" w:start="0"/>
        <w:jc w:val="start"/>
        <w:rPr/>
      </w:pPr>
      <w:r>
        <w:rPr/>
        <w:t>3.8 Development methodology</w:t>
      </w:r>
    </w:p>
    <w:p>
      <w:pPr>
        <w:pStyle w:val="BodyText"/>
        <w:bidi w:val="0"/>
        <w:jc w:val="start"/>
        <w:rPr/>
      </w:pPr>
      <w:r>
        <w:rPr/>
        <w:t>An iterative approach (short, weekly milestones rather than formal Scrum ceremonies, appropriate for a one-person project) is selected over Waterfall, because corpus filtering, chunking rules and benchmark design are expected to be refined once real data quality issues are encountered (e.g., the Gazette text-availability gap).</w:t>
      </w:r>
    </w:p>
    <w:p>
      <w:pPr>
        <w:pStyle w:val="Heading3"/>
        <w:bidi w:val="0"/>
        <w:ind w:hanging="0" w:start="0"/>
        <w:jc w:val="start"/>
        <w:rPr/>
      </w:pPr>
      <w:r>
        <w:rPr/>
        <w:t>3.9 Evaluation methodology</w:t>
      </w:r>
    </w:p>
    <w:p>
      <w:pPr>
        <w:pStyle w:val="Heading4"/>
        <w:bidi w:val="0"/>
        <w:ind w:hanging="0" w:start="0"/>
        <w:jc w:val="start"/>
        <w:rPr/>
      </w:pPr>
      <w:r>
        <w:rPr/>
        <w:t>3.9.1 Dataset splits and validation protocol</w:t>
      </w:r>
    </w:p>
    <w:p>
      <w:pPr>
        <w:pStyle w:val="BodyText"/>
        <w:bidi w:val="0"/>
        <w:jc w:val="start"/>
        <w:rPr/>
      </w:pPr>
      <w:r>
        <w:rPr/>
        <w:t>A fixed corpus snapshot will be used throughout; the benchmark will be split into a development subset (for any threshold tuning) and a held-out subset (final reporting), with no tuning performed on the held-out subset.</w:t>
      </w:r>
    </w:p>
    <w:p>
      <w:pPr>
        <w:pStyle w:val="Heading4"/>
        <w:bidi w:val="0"/>
        <w:ind w:hanging="0" w:start="0"/>
        <w:jc w:val="start"/>
        <w:rPr/>
      </w:pPr>
      <w:r>
        <w:rPr/>
        <w:t>3.9.2 Baselines and ablation studies</w:t>
      </w:r>
    </w:p>
    <w:p>
      <w:pPr>
        <w:pStyle w:val="BodyText"/>
        <w:bidi w:val="0"/>
        <w:jc w:val="start"/>
        <w:rPr/>
      </w:pPr>
      <w:r>
        <w:rPr/>
        <w:t>Baselines: TF-IDF, BM25. Proposed: dense retrieval alone; hybrid (BM25+dense); hybrid with validity flag. Ablations isolate the contribution of semantic retrieval, fusion, and the validity flag respectively.</w:t>
      </w:r>
    </w:p>
    <w:p>
      <w:pPr>
        <w:pStyle w:val="Heading4"/>
        <w:bidi w:val="0"/>
        <w:ind w:hanging="0" w:start="0"/>
        <w:jc w:val="start"/>
        <w:rPr/>
      </w:pPr>
      <w:r>
        <w:rPr/>
        <w:t>3.9.3 Metrics and analysis</w:t>
      </w:r>
    </w:p>
    <w:p>
      <w:pPr>
        <w:pStyle w:val="BodyText"/>
        <w:bidi w:val="0"/>
        <w:jc w:val="start"/>
        <w:rPr/>
      </w:pPr>
      <w:r>
        <w:rPr/>
        <w:t>Recall@5/@10, Precision@5/@10, MRR, nDCG@10 for RQ1/RQ2; manual binary/ternary faithfulness judgment (faithful/partially faithful/unfaithful) for RQ3; validity-flag accuracy (against manually verified ground truth) for RQ4. Failure-case analysis (qualitative review of low-scoring queries) will accompany the aggregate metrics.</w:t>
      </w:r>
    </w:p>
    <w:p>
      <w:pPr>
        <w:pStyle w:val="Heading4"/>
        <w:bidi w:val="0"/>
        <w:ind w:hanging="0" w:start="0"/>
        <w:jc w:val="start"/>
        <w:rPr/>
      </w:pPr>
      <w:r>
        <w:rPr/>
        <w:t>3.9.4 Research question to evaluation traceability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RQ</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Experiment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Evidence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Decision supported</w:t>
            </w:r>
          </w:p>
        </w:tc>
      </w:tr>
      <w:tr>
        <w:trPr/>
        <w:tc>
          <w:tcPr>
            <w:tcW w:w="2409" w:type="dxa"/>
            <w:tcBorders>
              <w:start w:val="single" w:sz="4" w:space="0" w:color="000000"/>
              <w:bottom w:val="single" w:sz="4" w:space="0" w:color="000000"/>
            </w:tcBorders>
          </w:tcPr>
          <w:p>
            <w:pPr>
              <w:pStyle w:val="TableContents"/>
              <w:bidi w:val="0"/>
              <w:jc w:val="start"/>
              <w:rPr/>
            </w:pPr>
            <w:r>
              <w:rPr/>
              <w:t>RQ1</w:t>
            </w:r>
          </w:p>
        </w:tc>
        <w:tc>
          <w:tcPr>
            <w:tcW w:w="2410" w:type="dxa"/>
            <w:tcBorders>
              <w:start w:val="single" w:sz="4" w:space="0" w:color="000000"/>
              <w:bottom w:val="single" w:sz="4" w:space="0" w:color="000000"/>
            </w:tcBorders>
          </w:tcPr>
          <w:p>
            <w:pPr>
              <w:pStyle w:val="TableContents"/>
              <w:bidi w:val="0"/>
              <w:jc w:val="start"/>
              <w:rPr/>
            </w:pPr>
            <w:r>
              <w:rPr/>
              <w:t>BM25 vs dense</w:t>
            </w:r>
          </w:p>
        </w:tc>
        <w:tc>
          <w:tcPr>
            <w:tcW w:w="2409" w:type="dxa"/>
            <w:tcBorders>
              <w:start w:val="single" w:sz="4" w:space="0" w:color="000000"/>
              <w:bottom w:val="single" w:sz="4" w:space="0" w:color="000000"/>
            </w:tcBorders>
          </w:tcPr>
          <w:p>
            <w:pPr>
              <w:pStyle w:val="TableContents"/>
              <w:bidi w:val="0"/>
              <w:jc w:val="start"/>
              <w:rPr/>
            </w:pPr>
            <w:r>
              <w:rPr/>
              <w:t>Recall@K, nDCG@K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Whether semantic retrieval adds value for this corpus</w:t>
            </w:r>
          </w:p>
        </w:tc>
      </w:tr>
      <w:tr>
        <w:trPr/>
        <w:tc>
          <w:tcPr>
            <w:tcW w:w="2409" w:type="dxa"/>
            <w:tcBorders>
              <w:start w:val="single" w:sz="4" w:space="0" w:color="000000"/>
              <w:bottom w:val="single" w:sz="4" w:space="0" w:color="000000"/>
            </w:tcBorders>
          </w:tcPr>
          <w:p>
            <w:pPr>
              <w:pStyle w:val="TableContents"/>
              <w:bidi w:val="0"/>
              <w:jc w:val="start"/>
              <w:rPr/>
            </w:pPr>
            <w:r>
              <w:rPr/>
              <w:t>RQ2</w:t>
            </w:r>
          </w:p>
        </w:tc>
        <w:tc>
          <w:tcPr>
            <w:tcW w:w="2410" w:type="dxa"/>
            <w:tcBorders>
              <w:start w:val="single" w:sz="4" w:space="0" w:color="000000"/>
              <w:bottom w:val="single" w:sz="4" w:space="0" w:color="000000"/>
            </w:tcBorders>
          </w:tcPr>
          <w:p>
            <w:pPr>
              <w:pStyle w:val="TableContents"/>
              <w:bidi w:val="0"/>
              <w:jc w:val="start"/>
              <w:rPr/>
            </w:pPr>
            <w:r>
              <w:rPr/>
              <w:t>Hybrid vs single-method</w:t>
            </w:r>
          </w:p>
        </w:tc>
        <w:tc>
          <w:tcPr>
            <w:tcW w:w="2409" w:type="dxa"/>
            <w:tcBorders>
              <w:start w:val="single" w:sz="4" w:space="0" w:color="000000"/>
              <w:bottom w:val="single" w:sz="4" w:space="0" w:color="000000"/>
            </w:tcBorders>
          </w:tcPr>
          <w:p>
            <w:pPr>
              <w:pStyle w:val="TableContents"/>
              <w:bidi w:val="0"/>
              <w:jc w:val="start"/>
              <w:rPr/>
            </w:pPr>
            <w:r>
              <w:rPr/>
              <w:t>MRR, Precision@K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Whether fusion is worthwhile</w:t>
            </w:r>
          </w:p>
        </w:tc>
      </w:tr>
      <w:tr>
        <w:trPr/>
        <w:tc>
          <w:tcPr>
            <w:tcW w:w="2409" w:type="dxa"/>
            <w:tcBorders>
              <w:start w:val="single" w:sz="4" w:space="0" w:color="000000"/>
              <w:bottom w:val="single" w:sz="4" w:space="0" w:color="000000"/>
            </w:tcBorders>
          </w:tcPr>
          <w:p>
            <w:pPr>
              <w:pStyle w:val="TableContents"/>
              <w:bidi w:val="0"/>
              <w:jc w:val="start"/>
              <w:rPr/>
            </w:pPr>
            <w:r>
              <w:rPr/>
              <w:t>RQ3</w:t>
            </w:r>
          </w:p>
        </w:tc>
        <w:tc>
          <w:tcPr>
            <w:tcW w:w="2410" w:type="dxa"/>
            <w:tcBorders>
              <w:start w:val="single" w:sz="4" w:space="0" w:color="000000"/>
              <w:bottom w:val="single" w:sz="4" w:space="0" w:color="000000"/>
            </w:tcBorders>
          </w:tcPr>
          <w:p>
            <w:pPr>
              <w:pStyle w:val="TableContents"/>
              <w:bidi w:val="0"/>
              <w:jc w:val="start"/>
              <w:rPr/>
            </w:pPr>
            <w:r>
              <w:rPr/>
              <w:t>Manual citation review</w:t>
            </w:r>
          </w:p>
        </w:tc>
        <w:tc>
          <w:tcPr>
            <w:tcW w:w="2409" w:type="dxa"/>
            <w:tcBorders>
              <w:start w:val="single" w:sz="4" w:space="0" w:color="000000"/>
              <w:bottom w:val="single" w:sz="4" w:space="0" w:color="000000"/>
            </w:tcBorders>
          </w:tcPr>
          <w:p>
            <w:pPr>
              <w:pStyle w:val="TableContents"/>
              <w:bidi w:val="0"/>
              <w:jc w:val="start"/>
              <w:rPr/>
            </w:pPr>
            <w:r>
              <w:rPr/>
              <w:t>Faithfulness rate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Whether citations can be trusted as evidence</w:t>
            </w:r>
          </w:p>
        </w:tc>
      </w:tr>
      <w:tr>
        <w:trPr/>
        <w:tc>
          <w:tcPr>
            <w:tcW w:w="2409" w:type="dxa"/>
            <w:tcBorders>
              <w:start w:val="single" w:sz="4" w:space="0" w:color="000000"/>
              <w:bottom w:val="single" w:sz="4" w:space="0" w:color="000000"/>
            </w:tcBorders>
          </w:tcPr>
          <w:p>
            <w:pPr>
              <w:pStyle w:val="TableContents"/>
              <w:bidi w:val="0"/>
              <w:jc w:val="start"/>
              <w:rPr/>
            </w:pPr>
            <w:r>
              <w:rPr/>
              <w:t>RQ4</w:t>
            </w:r>
          </w:p>
        </w:tc>
        <w:tc>
          <w:tcPr>
            <w:tcW w:w="2410" w:type="dxa"/>
            <w:tcBorders>
              <w:start w:val="single" w:sz="4" w:space="0" w:color="000000"/>
              <w:bottom w:val="single" w:sz="4" w:space="0" w:color="000000"/>
            </w:tcBorders>
          </w:tcPr>
          <w:p>
            <w:pPr>
              <w:pStyle w:val="TableContents"/>
              <w:bidi w:val="0"/>
              <w:jc w:val="start"/>
              <w:rPr/>
            </w:pPr>
            <w:r>
              <w:rPr/>
              <w:t>Validity flag on/off</w:t>
            </w:r>
          </w:p>
        </w:tc>
        <w:tc>
          <w:tcPr>
            <w:tcW w:w="2409" w:type="dxa"/>
            <w:tcBorders>
              <w:start w:val="single" w:sz="4" w:space="0" w:color="000000"/>
              <w:bottom w:val="single" w:sz="4" w:space="0" w:color="000000"/>
            </w:tcBorders>
          </w:tcPr>
          <w:p>
            <w:pPr>
              <w:pStyle w:val="TableContents"/>
              <w:bidi w:val="0"/>
              <w:jc w:val="start"/>
              <w:rPr/>
            </w:pPr>
            <w:r>
              <w:rPr/>
              <w:t>Validity-flag accuracy, superseded-result rate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Whether the temporal signal reduces outdated retrievals</w:t>
            </w:r>
          </w:p>
        </w:tc>
      </w:tr>
    </w:tbl>
    <w:p>
      <w:pPr>
        <w:pStyle w:val="BodyText"/>
        <w:bidi w:val="0"/>
        <w:jc w:val="start"/>
        <w:rPr/>
      </w:pPr>
      <w:r>
        <w:rPr/>
      </w:r>
    </w:p>
    <w:p>
      <w:pPr>
        <w:pStyle w:val="Heading3"/>
        <w:bidi w:val="0"/>
        <w:ind w:hanging="0" w:start="0"/>
        <w:jc w:val="start"/>
        <w:rPr/>
      </w:pPr>
      <w:r>
        <w:rPr/>
        <w:t>3.10 Project management methodology</w:t>
      </w:r>
    </w:p>
    <w:p>
      <w:pPr>
        <w:pStyle w:val="Heading4"/>
        <w:bidi w:val="0"/>
        <w:ind w:hanging="0" w:start="0"/>
        <w:jc w:val="start"/>
        <w:rPr/>
      </w:pPr>
      <w:r>
        <w:rPr/>
        <w:t>3.10.1 Schedule and milestones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Period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Activities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Milestone evidence</w:t>
            </w:r>
          </w:p>
        </w:tc>
      </w:tr>
      <w:tr>
        <w:trPr/>
        <w:tc>
          <w:tcPr>
            <w:tcW w:w="3212" w:type="dxa"/>
            <w:tcBorders>
              <w:start w:val="single" w:sz="4" w:space="0" w:color="000000"/>
              <w:bottom w:val="single" w:sz="4" w:space="0" w:color="000000"/>
            </w:tcBorders>
          </w:tcPr>
          <w:p>
            <w:pPr>
              <w:pStyle w:val="TableContents"/>
              <w:bidi w:val="0"/>
              <w:jc w:val="start"/>
              <w:rPr/>
            </w:pPr>
            <w:r>
              <w:rPr/>
              <w:t>Weeks 1–3</w:t>
            </w:r>
          </w:p>
        </w:tc>
        <w:tc>
          <w:tcPr>
            <w:tcW w:w="3213" w:type="dxa"/>
            <w:tcBorders>
              <w:start w:val="single" w:sz="4" w:space="0" w:color="000000"/>
              <w:bottom w:val="single" w:sz="4" w:space="0" w:color="000000"/>
            </w:tcBorders>
          </w:tcPr>
          <w:p>
            <w:pPr>
              <w:pStyle w:val="TableContents"/>
              <w:bidi w:val="0"/>
              <w:jc w:val="start"/>
              <w:rPr/>
            </w:pPr>
            <w:r>
              <w:rPr/>
              <w:t>Literature/gap refinement, confirm dataset access, finalise scope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Approved proposal, dataset manifest</w:t>
            </w:r>
          </w:p>
        </w:tc>
      </w:tr>
      <w:tr>
        <w:trPr/>
        <w:tc>
          <w:tcPr>
            <w:tcW w:w="3212" w:type="dxa"/>
            <w:tcBorders>
              <w:start w:val="single" w:sz="4" w:space="0" w:color="000000"/>
              <w:bottom w:val="single" w:sz="4" w:space="0" w:color="000000"/>
            </w:tcBorders>
          </w:tcPr>
          <w:p>
            <w:pPr>
              <w:pStyle w:val="TableContents"/>
              <w:bidi w:val="0"/>
              <w:jc w:val="start"/>
              <w:rPr/>
            </w:pPr>
            <w:r>
              <w:rPr/>
              <w:t>Weeks 4–6</w:t>
            </w:r>
          </w:p>
        </w:tc>
        <w:tc>
          <w:tcPr>
            <w:tcW w:w="3213" w:type="dxa"/>
            <w:tcBorders>
              <w:start w:val="single" w:sz="4" w:space="0" w:color="000000"/>
              <w:bottom w:val="single" w:sz="4" w:space="0" w:color="000000"/>
            </w:tcBorders>
          </w:tcPr>
          <w:p>
            <w:pPr>
              <w:pStyle w:val="TableContents"/>
              <w:bidi w:val="0"/>
              <w:jc w:val="start"/>
              <w:rPr/>
            </w:pPr>
            <w:r>
              <w:rPr/>
              <w:t>Filtering, chunking, corpus curation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Curated corpus with manifest</w:t>
            </w:r>
          </w:p>
        </w:tc>
      </w:tr>
      <w:tr>
        <w:trPr/>
        <w:tc>
          <w:tcPr>
            <w:tcW w:w="3212" w:type="dxa"/>
            <w:tcBorders>
              <w:start w:val="single" w:sz="4" w:space="0" w:color="000000"/>
              <w:bottom w:val="single" w:sz="4" w:space="0" w:color="000000"/>
            </w:tcBorders>
          </w:tcPr>
          <w:p>
            <w:pPr>
              <w:pStyle w:val="TableContents"/>
              <w:bidi w:val="0"/>
              <w:jc w:val="start"/>
              <w:rPr/>
            </w:pPr>
            <w:r>
              <w:rPr/>
              <w:t>Weeks 7–9</w:t>
            </w:r>
          </w:p>
        </w:tc>
        <w:tc>
          <w:tcPr>
            <w:tcW w:w="3213" w:type="dxa"/>
            <w:tcBorders>
              <w:start w:val="single" w:sz="4" w:space="0" w:color="000000"/>
              <w:bottom w:val="single" w:sz="4" w:space="0" w:color="000000"/>
            </w:tcBorders>
          </w:tcPr>
          <w:p>
            <w:pPr>
              <w:pStyle w:val="TableContents"/>
              <w:bidi w:val="0"/>
              <w:jc w:val="start"/>
              <w:rPr/>
            </w:pPr>
            <w:r>
              <w:rPr/>
              <w:t>Benchmark construction (queries, relevance, validity labels)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Documented benchmark v1</w:t>
            </w:r>
          </w:p>
        </w:tc>
      </w:tr>
      <w:tr>
        <w:trPr/>
        <w:tc>
          <w:tcPr>
            <w:tcW w:w="3212" w:type="dxa"/>
            <w:tcBorders>
              <w:start w:val="single" w:sz="4" w:space="0" w:color="000000"/>
              <w:bottom w:val="single" w:sz="4" w:space="0" w:color="000000"/>
            </w:tcBorders>
          </w:tcPr>
          <w:p>
            <w:pPr>
              <w:pStyle w:val="TableContents"/>
              <w:bidi w:val="0"/>
              <w:jc w:val="start"/>
              <w:rPr/>
            </w:pPr>
            <w:r>
              <w:rPr/>
              <w:t>Weeks 10–12</w:t>
            </w:r>
          </w:p>
        </w:tc>
        <w:tc>
          <w:tcPr>
            <w:tcW w:w="3213" w:type="dxa"/>
            <w:tcBorders>
              <w:start w:val="single" w:sz="4" w:space="0" w:color="000000"/>
              <w:bottom w:val="single" w:sz="4" w:space="0" w:color="000000"/>
            </w:tcBorders>
          </w:tcPr>
          <w:p>
            <w:pPr>
              <w:pStyle w:val="TableContents"/>
              <w:bidi w:val="0"/>
              <w:jc w:val="start"/>
              <w:rPr/>
            </w:pPr>
            <w:r>
              <w:rPr/>
              <w:t>Baseline (TF-IDF/BM25) implementation and initial evaluation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Baseline results</w:t>
            </w:r>
          </w:p>
        </w:tc>
      </w:tr>
      <w:tr>
        <w:trPr/>
        <w:tc>
          <w:tcPr>
            <w:tcW w:w="3212" w:type="dxa"/>
            <w:tcBorders>
              <w:start w:val="single" w:sz="4" w:space="0" w:color="000000"/>
              <w:bottom w:val="single" w:sz="4" w:space="0" w:color="000000"/>
            </w:tcBorders>
          </w:tcPr>
          <w:p>
            <w:pPr>
              <w:pStyle w:val="TableContents"/>
              <w:bidi w:val="0"/>
              <w:jc w:val="start"/>
              <w:rPr/>
            </w:pPr>
            <w:r>
              <w:rPr/>
              <w:t>Weeks 13–15</w:t>
            </w:r>
          </w:p>
        </w:tc>
        <w:tc>
          <w:tcPr>
            <w:tcW w:w="3213" w:type="dxa"/>
            <w:tcBorders>
              <w:start w:val="single" w:sz="4" w:space="0" w:color="000000"/>
              <w:bottom w:val="single" w:sz="4" w:space="0" w:color="000000"/>
            </w:tcBorders>
          </w:tcPr>
          <w:p>
            <w:pPr>
              <w:pStyle w:val="TableContents"/>
              <w:bidi w:val="0"/>
              <w:jc w:val="start"/>
              <w:rPr/>
            </w:pPr>
            <w:r>
              <w:rPr/>
              <w:t>Dense/hybrid implementation, validity flag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Proposed-system results</w:t>
            </w:r>
          </w:p>
        </w:tc>
      </w:tr>
      <w:tr>
        <w:trPr/>
        <w:tc>
          <w:tcPr>
            <w:tcW w:w="3212" w:type="dxa"/>
            <w:tcBorders>
              <w:start w:val="single" w:sz="4" w:space="0" w:color="000000"/>
              <w:bottom w:val="single" w:sz="4" w:space="0" w:color="000000"/>
            </w:tcBorders>
          </w:tcPr>
          <w:p>
            <w:pPr>
              <w:pStyle w:val="TableContents"/>
              <w:bidi w:val="0"/>
              <w:jc w:val="start"/>
              <w:rPr/>
            </w:pPr>
            <w:r>
              <w:rPr/>
              <w:t>Weeks 16–17</w:t>
            </w:r>
          </w:p>
        </w:tc>
        <w:tc>
          <w:tcPr>
            <w:tcW w:w="3213" w:type="dxa"/>
            <w:tcBorders>
              <w:start w:val="single" w:sz="4" w:space="0" w:color="000000"/>
              <w:bottom w:val="single" w:sz="4" w:space="0" w:color="000000"/>
            </w:tcBorders>
          </w:tcPr>
          <w:p>
            <w:pPr>
              <w:pStyle w:val="TableContents"/>
              <w:bidi w:val="0"/>
              <w:jc w:val="start"/>
              <w:rPr/>
            </w:pPr>
            <w:r>
              <w:rPr/>
              <w:t>Full evaluation, ablations, faithfulness review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Complete evaluation package</w:t>
            </w:r>
          </w:p>
        </w:tc>
      </w:tr>
      <w:tr>
        <w:trPr/>
        <w:tc>
          <w:tcPr>
            <w:tcW w:w="3212" w:type="dxa"/>
            <w:tcBorders>
              <w:start w:val="single" w:sz="4" w:space="0" w:color="000000"/>
              <w:bottom w:val="single" w:sz="4" w:space="0" w:color="000000"/>
            </w:tcBorders>
          </w:tcPr>
          <w:p>
            <w:pPr>
              <w:pStyle w:val="TableContents"/>
              <w:bidi w:val="0"/>
              <w:jc w:val="start"/>
              <w:rPr/>
            </w:pPr>
            <w:r>
              <w:rPr/>
              <w:t>Weeks 18–20</w:t>
            </w:r>
          </w:p>
        </w:tc>
        <w:tc>
          <w:tcPr>
            <w:tcW w:w="3213" w:type="dxa"/>
            <w:tcBorders>
              <w:start w:val="single" w:sz="4" w:space="0" w:color="000000"/>
              <w:bottom w:val="single" w:sz="4" w:space="0" w:color="000000"/>
            </w:tcBorders>
          </w:tcPr>
          <w:p>
            <w:pPr>
              <w:pStyle w:val="TableContents"/>
              <w:bidi w:val="0"/>
              <w:jc w:val="start"/>
              <w:rPr/>
            </w:pPr>
            <w:r>
              <w:rPr/>
              <w:t>Demonstrator, analysis, writing, verification, submission prep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Final dissertation and artefacts</w:t>
            </w:r>
          </w:p>
        </w:tc>
      </w:tr>
    </w:tbl>
    <w:p>
      <w:pPr>
        <w:pStyle w:val="BodyText"/>
        <w:bidi w:val="0"/>
        <w:jc w:val="start"/>
        <w:rPr/>
      </w:pPr>
      <w:r>
        <w:rPr/>
      </w:r>
    </w:p>
    <w:p>
      <w:pPr>
        <w:pStyle w:val="BodyText"/>
        <w:bidi w:val="0"/>
        <w:jc w:val="start"/>
        <w:rPr/>
      </w:pPr>
      <w:r>
        <w:rPr>
          <w:rFonts w:ascii="Liberation Mono" w:hAnsi="Liberation Mono"/>
        </w:rPr>
        <w:t>[Insert Figure 7: Gantt chart with dependencies and contingency, summarised here, detailed version in Appendix J.]</w:t>
      </w:r>
    </w:p>
    <w:p>
      <w:pPr>
        <w:pStyle w:val="Heading4"/>
        <w:bidi w:val="0"/>
        <w:ind w:hanging="0" w:start="0"/>
        <w:jc w:val="start"/>
        <w:rPr/>
      </w:pPr>
      <w:r>
        <w:rPr/>
        <w:t>3.10.2 Deliverables and dates</w:t>
      </w:r>
    </w:p>
    <w:p>
      <w:pPr>
        <w:pStyle w:val="BodyText"/>
        <w:bidi w:val="0"/>
        <w:jc w:val="start"/>
        <w:rPr/>
      </w:pPr>
      <w:r>
        <w:rPr>
          <w:rFonts w:ascii="Liberation Mono" w:hAnsi="Liberation Mono"/>
        </w:rPr>
        <w:t>[Student to complete with exact institutional deadlines.]</w:t>
      </w:r>
    </w:p>
    <w:p>
      <w:pPr>
        <w:pStyle w:val="Heading3"/>
        <w:bidi w:val="0"/>
        <w:ind w:hanging="0" w:start="0"/>
        <w:jc w:val="start"/>
        <w:rPr/>
      </w:pPr>
      <w:r>
        <w:rPr/>
        <w:t>3.11 Resources and new technical skills</w:t>
      </w:r>
    </w:p>
    <w:p>
      <w:pPr>
        <w:pStyle w:val="BodyText"/>
        <w:bidi w:val="0"/>
        <w:jc w:val="start"/>
        <w:rPr/>
      </w:pPr>
      <w:r>
        <w:rPr/>
        <w:t>Standard student laptop/desktop sufficient for TF-IDF/BM25 and small sentence-embedding models (no large-scale training is required — pretrained embedding models are used as-is). New skills to acquire: IR evaluation metrics implementation, sentence-embedding retrieval, rule-based information extraction for validity signals, and (if pursued) multilingual embedding evaluation.</w:t>
      </w:r>
    </w:p>
    <w:p>
      <w:pPr>
        <w:pStyle w:val="Heading3"/>
        <w:bidi w:val="0"/>
        <w:ind w:hanging="0" w:start="0"/>
        <w:jc w:val="start"/>
        <w:rPr/>
      </w:pPr>
      <w:r>
        <w:rPr/>
        <w:t>3.12 Risk analysis and mitigation</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Likelihood</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Impact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Trigger</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Prevention</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Contingency</w:t>
            </w:r>
          </w:p>
        </w:tc>
      </w:tr>
      <w:tr>
        <w:trPr/>
        <w:tc>
          <w:tcPr>
            <w:tcW w:w="1606" w:type="dxa"/>
            <w:tcBorders>
              <w:start w:val="single" w:sz="4" w:space="0" w:color="000000"/>
              <w:bottom w:val="single" w:sz="4" w:space="0" w:color="000000"/>
            </w:tcBorders>
          </w:tcPr>
          <w:p>
            <w:pPr>
              <w:pStyle w:val="TableContents"/>
              <w:bidi w:val="0"/>
              <w:jc w:val="start"/>
              <w:rPr/>
            </w:pPr>
            <w:r>
              <w:rPr/>
              <w:t>Insufficient text-available Gazette entries for a meaningful secondary corpus</w:t>
            </w:r>
          </w:p>
        </w:tc>
        <w:tc>
          <w:tcPr>
            <w:tcW w:w="1606" w:type="dxa"/>
            <w:tcBorders>
              <w:start w:val="single" w:sz="4" w:space="0" w:color="000000"/>
              <w:bottom w:val="single" w:sz="4" w:space="0" w:color="000000"/>
            </w:tcBorders>
          </w:tcPr>
          <w:p>
            <w:pPr>
              <w:pStyle w:val="TableContents"/>
              <w:bidi w:val="0"/>
              <w:jc w:val="start"/>
              <w:rPr/>
            </w:pPr>
            <w:r>
              <w:rPr/>
              <w:t>Medium</w:t>
            </w:r>
          </w:p>
        </w:tc>
        <w:tc>
          <w:tcPr>
            <w:tcW w:w="1607" w:type="dxa"/>
            <w:tcBorders>
              <w:start w:val="single" w:sz="4" w:space="0" w:color="000000"/>
              <w:bottom w:val="single" w:sz="4" w:space="0" w:color="000000"/>
            </w:tcBorders>
          </w:tcPr>
          <w:p>
            <w:pPr>
              <w:pStyle w:val="TableContents"/>
              <w:bidi w:val="0"/>
              <w:jc w:val="start"/>
              <w:rPr/>
            </w:pPr>
            <w:r>
              <w:rPr/>
              <w:t>Medium</w:t>
            </w:r>
          </w:p>
        </w:tc>
        <w:tc>
          <w:tcPr>
            <w:tcW w:w="1606" w:type="dxa"/>
            <w:tcBorders>
              <w:start w:val="single" w:sz="4" w:space="0" w:color="000000"/>
              <w:bottom w:val="single" w:sz="4" w:space="0" w:color="000000"/>
            </w:tcBorders>
          </w:tcPr>
          <w:p>
            <w:pPr>
              <w:pStyle w:val="TableContents"/>
              <w:bidi w:val="0"/>
              <w:jc w:val="start"/>
              <w:rPr/>
            </w:pPr>
            <w:r>
              <w:rPr/>
              <w:t>Filtered subset too small during curation</w:t>
            </w:r>
          </w:p>
        </w:tc>
        <w:tc>
          <w:tcPr>
            <w:tcW w:w="1606" w:type="dxa"/>
            <w:tcBorders>
              <w:start w:val="single" w:sz="4" w:space="0" w:color="000000"/>
              <w:bottom w:val="single" w:sz="4" w:space="0" w:color="000000"/>
            </w:tcBorders>
          </w:tcPr>
          <w:p>
            <w:pPr>
              <w:pStyle w:val="TableContents"/>
              <w:bidi w:val="0"/>
              <w:jc w:val="start"/>
              <w:rPr/>
            </w:pPr>
            <w:r>
              <w:rPr/>
              <w:t>Prioritise Acts as primary corpus from the start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Rely on Acts alone; report Gazette limitation transparently</w:t>
            </w:r>
          </w:p>
        </w:tc>
      </w:tr>
      <w:tr>
        <w:trPr/>
        <w:tc>
          <w:tcPr>
            <w:tcW w:w="1606" w:type="dxa"/>
            <w:tcBorders>
              <w:start w:val="single" w:sz="4" w:space="0" w:color="000000"/>
              <w:bottom w:val="single" w:sz="4" w:space="0" w:color="000000"/>
            </w:tcBorders>
          </w:tcPr>
          <w:p>
            <w:pPr>
              <w:pStyle w:val="TableContents"/>
              <w:bidi w:val="0"/>
              <w:jc w:val="start"/>
              <w:rPr/>
            </w:pPr>
            <w:r>
              <w:rPr/>
              <w:t>Benchmark too small/subjective (single annotator)</w:t>
            </w:r>
          </w:p>
        </w:tc>
        <w:tc>
          <w:tcPr>
            <w:tcW w:w="1606" w:type="dxa"/>
            <w:tcBorders>
              <w:start w:val="single" w:sz="4" w:space="0" w:color="000000"/>
              <w:bottom w:val="single" w:sz="4" w:space="0" w:color="000000"/>
            </w:tcBorders>
          </w:tcPr>
          <w:p>
            <w:pPr>
              <w:pStyle w:val="TableContents"/>
              <w:bidi w:val="0"/>
              <w:jc w:val="start"/>
              <w:rPr/>
            </w:pPr>
            <w:r>
              <w:rPr/>
              <w:t>Medium</w:t>
            </w:r>
          </w:p>
        </w:tc>
        <w:tc>
          <w:tcPr>
            <w:tcW w:w="1607" w:type="dxa"/>
            <w:tcBorders>
              <w:start w:val="single" w:sz="4" w:space="0" w:color="000000"/>
              <w:bottom w:val="single" w:sz="4" w:space="0" w:color="000000"/>
            </w:tcBorders>
          </w:tcPr>
          <w:p>
            <w:pPr>
              <w:pStyle w:val="TableContents"/>
              <w:bidi w:val="0"/>
              <w:jc w:val="start"/>
              <w:rPr/>
            </w:pPr>
            <w:r>
              <w:rPr/>
              <w:t>Medium</w:t>
            </w:r>
          </w:p>
        </w:tc>
        <w:tc>
          <w:tcPr>
            <w:tcW w:w="1606" w:type="dxa"/>
            <w:tcBorders>
              <w:start w:val="single" w:sz="4" w:space="0" w:color="000000"/>
              <w:bottom w:val="single" w:sz="4" w:space="0" w:color="000000"/>
            </w:tcBorders>
          </w:tcPr>
          <w:p>
            <w:pPr>
              <w:pStyle w:val="TableContents"/>
              <w:bidi w:val="0"/>
              <w:jc w:val="start"/>
              <w:rPr/>
            </w:pPr>
            <w:r>
              <w:rPr/>
              <w:t>Difficulty agreeing on relevance during pilot annotation</w:t>
            </w:r>
          </w:p>
        </w:tc>
        <w:tc>
          <w:tcPr>
            <w:tcW w:w="1606" w:type="dxa"/>
            <w:tcBorders>
              <w:start w:val="single" w:sz="4" w:space="0" w:color="000000"/>
              <w:bottom w:val="single" w:sz="4" w:space="0" w:color="000000"/>
            </w:tcBorders>
          </w:tcPr>
          <w:p>
            <w:pPr>
              <w:pStyle w:val="TableContents"/>
              <w:bidi w:val="0"/>
              <w:jc w:val="start"/>
              <w:rPr/>
            </w:pPr>
            <w:r>
              <w:rPr/>
              <w:t>Write explicit annotation criteria before full annotation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Report as an explicit limitation; keep claims proportionate</w:t>
            </w:r>
          </w:p>
        </w:tc>
      </w:tr>
      <w:tr>
        <w:trPr/>
        <w:tc>
          <w:tcPr>
            <w:tcW w:w="1606" w:type="dxa"/>
            <w:tcBorders>
              <w:start w:val="single" w:sz="4" w:space="0" w:color="000000"/>
              <w:bottom w:val="single" w:sz="4" w:space="0" w:color="000000"/>
            </w:tcBorders>
          </w:tcPr>
          <w:p>
            <w:pPr>
              <w:pStyle w:val="TableContents"/>
              <w:bidi w:val="0"/>
              <w:jc w:val="start"/>
              <w:rPr/>
            </w:pPr>
            <w:r>
              <w:rPr/>
              <w:t>Dense retrieval requires unavailable compute</w:t>
            </w:r>
          </w:p>
        </w:tc>
        <w:tc>
          <w:tcPr>
            <w:tcW w:w="1606" w:type="dxa"/>
            <w:tcBorders>
              <w:start w:val="single" w:sz="4" w:space="0" w:color="000000"/>
              <w:bottom w:val="single" w:sz="4" w:space="0" w:color="000000"/>
            </w:tcBorders>
          </w:tcPr>
          <w:p>
            <w:pPr>
              <w:pStyle w:val="TableContents"/>
              <w:bidi w:val="0"/>
              <w:jc w:val="start"/>
              <w:rPr/>
            </w:pPr>
            <w:r>
              <w:rPr/>
              <w:t>Low</w:t>
            </w:r>
          </w:p>
        </w:tc>
        <w:tc>
          <w:tcPr>
            <w:tcW w:w="1607" w:type="dxa"/>
            <w:tcBorders>
              <w:start w:val="single" w:sz="4" w:space="0" w:color="000000"/>
              <w:bottom w:val="single" w:sz="4" w:space="0" w:color="000000"/>
            </w:tcBorders>
          </w:tcPr>
          <w:p>
            <w:pPr>
              <w:pStyle w:val="TableContents"/>
              <w:bidi w:val="0"/>
              <w:jc w:val="start"/>
              <w:rPr/>
            </w:pPr>
            <w:r>
              <w:rPr/>
              <w:t>Medium</w:t>
            </w:r>
          </w:p>
        </w:tc>
        <w:tc>
          <w:tcPr>
            <w:tcW w:w="1606" w:type="dxa"/>
            <w:tcBorders>
              <w:start w:val="single" w:sz="4" w:space="0" w:color="000000"/>
              <w:bottom w:val="single" w:sz="4" w:space="0" w:color="000000"/>
            </w:tcBorders>
          </w:tcPr>
          <w:p>
            <w:pPr>
              <w:pStyle w:val="TableContents"/>
              <w:bidi w:val="0"/>
              <w:jc w:val="start"/>
              <w:rPr/>
            </w:pPr>
            <w:r>
              <w:rPr/>
              <w:t>Out-of-memory/slow runs</w:t>
            </w:r>
          </w:p>
        </w:tc>
        <w:tc>
          <w:tcPr>
            <w:tcW w:w="1606" w:type="dxa"/>
            <w:tcBorders>
              <w:start w:val="single" w:sz="4" w:space="0" w:color="000000"/>
              <w:bottom w:val="single" w:sz="4" w:space="0" w:color="000000"/>
            </w:tcBorders>
          </w:tcPr>
          <w:p>
            <w:pPr>
              <w:pStyle w:val="TableContents"/>
              <w:bidi w:val="0"/>
              <w:jc w:val="start"/>
              <w:rPr/>
            </w:pPr>
            <w:r>
              <w:rPr/>
              <w:t>Use small pretrained embedding models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Fall back to a lighter model or reduce corpus size</w:t>
            </w:r>
          </w:p>
        </w:tc>
      </w:tr>
      <w:tr>
        <w:trPr/>
        <w:tc>
          <w:tcPr>
            <w:tcW w:w="1606" w:type="dxa"/>
            <w:tcBorders>
              <w:start w:val="single" w:sz="4" w:space="0" w:color="000000"/>
              <w:bottom w:val="single" w:sz="4" w:space="0" w:color="000000"/>
            </w:tcBorders>
          </w:tcPr>
          <w:p>
            <w:pPr>
              <w:pStyle w:val="TableContents"/>
              <w:bidi w:val="0"/>
              <w:jc w:val="start"/>
              <w:rPr/>
            </w:pPr>
            <w:r>
              <w:rPr/>
              <w:t>Validity-flag rule-based extraction misses non-standard phrasing</w:t>
            </w:r>
          </w:p>
        </w:tc>
        <w:tc>
          <w:tcPr>
            <w:tcW w:w="1606" w:type="dxa"/>
            <w:tcBorders>
              <w:start w:val="single" w:sz="4" w:space="0" w:color="000000"/>
              <w:bottom w:val="single" w:sz="4" w:space="0" w:color="000000"/>
            </w:tcBorders>
          </w:tcPr>
          <w:p>
            <w:pPr>
              <w:pStyle w:val="TableContents"/>
              <w:bidi w:val="0"/>
              <w:jc w:val="start"/>
              <w:rPr/>
            </w:pPr>
            <w:r>
              <w:rPr/>
              <w:t>Medium</w:t>
            </w:r>
          </w:p>
        </w:tc>
        <w:tc>
          <w:tcPr>
            <w:tcW w:w="1607" w:type="dxa"/>
            <w:tcBorders>
              <w:start w:val="single" w:sz="4" w:space="0" w:color="000000"/>
              <w:bottom w:val="single" w:sz="4" w:space="0" w:color="000000"/>
            </w:tcBorders>
          </w:tcPr>
          <w:p>
            <w:pPr>
              <w:pStyle w:val="TableContents"/>
              <w:bidi w:val="0"/>
              <w:jc w:val="start"/>
              <w:rPr/>
            </w:pPr>
            <w:r>
              <w:rPr/>
              <w:t>Medium</w:t>
            </w:r>
          </w:p>
        </w:tc>
        <w:tc>
          <w:tcPr>
            <w:tcW w:w="1606" w:type="dxa"/>
            <w:tcBorders>
              <w:start w:val="single" w:sz="4" w:space="0" w:color="000000"/>
              <w:bottom w:val="single" w:sz="4" w:space="0" w:color="000000"/>
            </w:tcBorders>
          </w:tcPr>
          <w:p>
            <w:pPr>
              <w:pStyle w:val="TableContents"/>
              <w:bidi w:val="0"/>
              <w:jc w:val="start"/>
              <w:rPr/>
            </w:pPr>
            <w:r>
              <w:rPr/>
              <w:t>Manual spot-check shows low recall</w:t>
            </w:r>
          </w:p>
        </w:tc>
        <w:tc>
          <w:tcPr>
            <w:tcW w:w="1606" w:type="dxa"/>
            <w:tcBorders>
              <w:start w:val="single" w:sz="4" w:space="0" w:color="000000"/>
              <w:bottom w:val="single" w:sz="4" w:space="0" w:color="000000"/>
            </w:tcBorders>
          </w:tcPr>
          <w:p>
            <w:pPr>
              <w:pStyle w:val="TableContents"/>
              <w:bidi w:val="0"/>
              <w:jc w:val="start"/>
              <w:rPr/>
            </w:pPr>
            <w:r>
              <w:rPr/>
              <w:t>Iteratively refine extraction patterns on a sample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Reduce validity-flag claims to a documented, limited-coverage feature</w:t>
            </w:r>
          </w:p>
        </w:tc>
      </w:tr>
      <w:tr>
        <w:trPr/>
        <w:tc>
          <w:tcPr>
            <w:tcW w:w="1606" w:type="dxa"/>
            <w:tcBorders>
              <w:start w:val="single" w:sz="4" w:space="0" w:color="000000"/>
              <w:bottom w:val="single" w:sz="4" w:space="0" w:color="000000"/>
            </w:tcBorders>
          </w:tcPr>
          <w:p>
            <w:pPr>
              <w:pStyle w:val="TableContents"/>
              <w:bidi w:val="0"/>
              <w:jc w:val="start"/>
              <w:rPr/>
            </w:pPr>
            <w:r>
              <w:rPr/>
              <w:t>Scope creep back toward "AI legal advice" framing</w:t>
            </w:r>
          </w:p>
        </w:tc>
        <w:tc>
          <w:tcPr>
            <w:tcW w:w="1606" w:type="dxa"/>
            <w:tcBorders>
              <w:start w:val="single" w:sz="4" w:space="0" w:color="000000"/>
              <w:bottom w:val="single" w:sz="4" w:space="0" w:color="000000"/>
            </w:tcBorders>
          </w:tcPr>
          <w:p>
            <w:pPr>
              <w:pStyle w:val="TableContents"/>
              <w:bidi w:val="0"/>
              <w:jc w:val="start"/>
              <w:rPr/>
            </w:pPr>
            <w:r>
              <w:rPr/>
              <w:t>Low</w:t>
            </w:r>
          </w:p>
        </w:tc>
        <w:tc>
          <w:tcPr>
            <w:tcW w:w="1607"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t>Draft wording implies legal correctness</w:t>
            </w:r>
          </w:p>
        </w:tc>
        <w:tc>
          <w:tcPr>
            <w:tcW w:w="1606" w:type="dxa"/>
            <w:tcBorders>
              <w:start w:val="single" w:sz="4" w:space="0" w:color="000000"/>
              <w:bottom w:val="single" w:sz="4" w:space="0" w:color="000000"/>
            </w:tcBorders>
          </w:tcPr>
          <w:p>
            <w:pPr>
              <w:pStyle w:val="TableContents"/>
              <w:bidi w:val="0"/>
              <w:jc w:val="start"/>
              <w:rPr/>
            </w:pPr>
            <w:r>
              <w:rPr/>
              <w:t>Review all outward-facing wording against LESP checklist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Revise wording; add disclaimers</w:t>
            </w:r>
          </w:p>
        </w:tc>
      </w:tr>
    </w:tbl>
    <w:p>
      <w:pPr>
        <w:pStyle w:val="BodyText"/>
        <w:bidi w:val="0"/>
        <w:jc w:val="start"/>
        <w:rPr/>
      </w:pPr>
      <w:r>
        <w:rPr/>
      </w:r>
    </w:p>
    <w:p>
      <w:pPr>
        <w:pStyle w:val="Heading3"/>
        <w:bidi w:val="0"/>
        <w:ind w:hanging="0" w:start="0"/>
        <w:jc w:val="start"/>
        <w:rPr/>
      </w:pPr>
      <w:r>
        <w:rPr/>
        <w:t>3.13 Preliminary proof of concept and feasibility evidence</w:t>
      </w:r>
    </w:p>
    <w:p>
      <w:pPr>
        <w:pStyle w:val="BodyText"/>
        <w:bidi w:val="0"/>
        <w:jc w:val="start"/>
        <w:rPr/>
      </w:pPr>
      <w:r>
        <w:rPr>
          <w:rFonts w:ascii="Liberation Mono" w:hAnsi="Liberation Mono"/>
        </w:rPr>
        <w:t>[Student to complete once actually attempted]</w:t>
      </w:r>
      <w:r>
        <w:rPr/>
        <w:t xml:space="preserve">: e.g., "A small pilot successfully cloned the </w:t>
      </w:r>
      <w:r>
        <w:rPr>
          <w:rFonts w:ascii="Liberation Mono" w:hAnsi="Liberation Mono"/>
        </w:rPr>
        <w:t>lk_acts</w:t>
      </w:r>
      <w:r>
        <w:rPr/>
        <w:t xml:space="preserve"> data branch, parsed a sample of 20 Acts into rule-level chunks, and ran a BM25 query against them, confirming basic pipeline feasibility. This is preliminary technical feasibility evidence only and does not represent reported research results." Do not fabricate this section — leave it honestly incomplete until you have actually run something, and screenshot/log the evidence in Appendix M.</w:t>
      </w:r>
    </w:p>
    <w:p>
      <w:pPr>
        <w:pStyle w:val="Heading3"/>
        <w:bidi w:val="0"/>
        <w:ind w:hanging="0" w:start="0"/>
        <w:jc w:val="start"/>
        <w:rPr/>
      </w:pPr>
      <w:r>
        <w:rPr/>
        <w:t>3.14 Chapter summary</w:t>
      </w:r>
    </w:p>
    <w:p>
      <w:pPr>
        <w:pStyle w:val="BodyText"/>
        <w:bidi w:val="0"/>
        <w:jc w:val="start"/>
        <w:rPr/>
      </w:pPr>
      <w:r>
        <w:rPr/>
        <w:t>This chapter defined a pragmatic, design-and-evaluation methodology using fixed corpus snapshots, documented benchmark construction, baseline/hybrid retrieval comparison, and a temporal-validity ablation, supported by a realistic schedule, resource plan and risk register. Chapter 4 addresses the legal, ethical, social and professional issues raised by this project, including Generative AI governance.</w:t>
      </w:r>
    </w:p>
    <w:p>
      <w:pPr>
        <w:pStyle w:val="HorizontalLine"/>
        <w:bidi w:val="0"/>
        <w:jc w:val="start"/>
        <w:rPr/>
      </w:pPr>
      <w:r>
        <w:rPr/>
      </w:r>
    </w:p>
    <w:p>
      <w:pPr>
        <w:pStyle w:val="Heading2"/>
        <w:bidi w:val="0"/>
        <w:ind w:hanging="0" w:start="0"/>
        <w:jc w:val="start"/>
        <w:rPr/>
      </w:pPr>
      <w:r>
        <w:rPr/>
        <w:t>CHAPTER 4: LEGAL, ETHICAL, SOCIAL AND PROFESSIONAL ISSUES (LESP)</w:t>
      </w:r>
    </w:p>
    <w:p>
      <w:pPr>
        <w:pStyle w:val="BodyText"/>
        <w:bidi w:val="0"/>
        <w:jc w:val="start"/>
        <w:rPr/>
      </w:pPr>
      <w:r>
        <w:rPr>
          <w:i/>
        </w:rPr>
        <w:t>(Target ≈2–3 pages.)</w:t>
      </w:r>
    </w:p>
    <w:p>
      <w:pPr>
        <w:pStyle w:val="Heading3"/>
        <w:bidi w:val="0"/>
        <w:ind w:hanging="0" w:start="0"/>
        <w:jc w:val="start"/>
        <w:rPr/>
      </w:pPr>
      <w:r>
        <w:rPr/>
        <w:t>4.1 Chapter overview</w:t>
      </w:r>
    </w:p>
    <w:p>
      <w:pPr>
        <w:pStyle w:val="BodyText"/>
        <w:bidi w:val="0"/>
        <w:jc w:val="start"/>
        <w:rPr/>
      </w:pPr>
      <w:r>
        <w:rPr/>
        <w:t>This chapter addresses the social, legal, ethical and professional implications of building a retrieval prototype over Sri Lankan legal text, and defines how Generative AI tools may and may not be used during the project.</w:t>
      </w:r>
    </w:p>
    <w:p>
      <w:pPr>
        <w:pStyle w:val="Heading3"/>
        <w:bidi w:val="0"/>
        <w:ind w:hanging="0" w:start="0"/>
        <w:jc w:val="start"/>
        <w:rPr/>
      </w:pPr>
      <w:r>
        <w:rPr/>
        <w:t>4.2 Social issues</w:t>
      </w:r>
    </w:p>
    <w:p>
      <w:pPr>
        <w:pStyle w:val="BodyText"/>
        <w:bidi w:val="0"/>
        <w:jc w:val="start"/>
        <w:rPr/>
      </w:pPr>
      <w:r>
        <w:rPr/>
        <w:t>The corpus and benchmark are constructed and annotated primarily in English by a single student, which may under-represent Sinhala/Tamil-speaking users' needs; this limitation will be stated explicitly rather than implied to be solved. The demonstrator will clearly display that outputs require human verification, to reduce automation bias/over-reliance, particularly given the legal-adjacent subject matter.</w:t>
      </w:r>
    </w:p>
    <w:p>
      <w:pPr>
        <w:pStyle w:val="Heading3"/>
        <w:bidi w:val="0"/>
        <w:ind w:hanging="0" w:start="0"/>
        <w:jc w:val="start"/>
        <w:rPr/>
      </w:pPr>
      <w:r>
        <w:rPr/>
        <w:t>4.3 Legal issues</w:t>
      </w:r>
    </w:p>
    <w:p>
      <w:pPr>
        <w:pStyle w:val="BodyText"/>
        <w:bidi w:val="0"/>
        <w:jc w:val="start"/>
        <w:rPr/>
      </w:pPr>
      <w:r>
        <w:rPr/>
        <w:t xml:space="preserve">Only MIT-licensed data from </w:t>
      </w:r>
      <w:r>
        <w:rPr>
          <w:rFonts w:ascii="Liberation Mono" w:hAnsi="Liberation Mono"/>
        </w:rPr>
        <w:t>lk_legal_docs</w:t>
      </w:r>
      <w:r>
        <w:rPr/>
        <w:t xml:space="preserve"> (or its Hugging Face mirrors) will be used as the retrieval corpus; the BASL Supreme Court Rules compilation will be used only as a non-corpus reference for understanding rule structure and drafting benchmark queries, not reproduced or redistributed as project data, since its licensing status as a compiled BASL publication is unclear </w:t>
      </w:r>
      <w:r>
        <w:rPr>
          <w:rFonts w:ascii="Liberation Mono" w:hAnsi="Liberation Mono"/>
        </w:rPr>
        <w:t>[DECISION REQUIRED — do not include BASL-compiled text/tables in any redistributed dataset or appendix without checking permission]</w:t>
      </w:r>
      <w:r>
        <w:rPr/>
        <w:t>. Dataset licence and attribution terms will be recorded in the data manifest. No confidential or restricted data is involved, as all source material is already publicly published official/government text.</w:t>
      </w:r>
    </w:p>
    <w:p>
      <w:pPr>
        <w:pStyle w:val="Heading3"/>
        <w:bidi w:val="0"/>
        <w:ind w:hanging="0" w:start="0"/>
        <w:jc w:val="start"/>
        <w:rPr/>
      </w:pPr>
      <w:r>
        <w:rPr/>
        <w:t>4.4 Ethical issues</w:t>
      </w:r>
    </w:p>
    <w:p>
      <w:pPr>
        <w:pStyle w:val="BodyText"/>
        <w:bidi w:val="0"/>
        <w:jc w:val="start"/>
        <w:rPr/>
      </w:pPr>
      <w:r>
        <w:rPr/>
        <w:t>The system will not be described as providing legal advice or as verifying legal correctness; it will be described as retrieving and citing candidate evidence for human review. Reported evaluation results will come only from the preserved experiment logs and annotated benchmark; no results will be invented or adjusted post hoc.</w:t>
      </w:r>
    </w:p>
    <w:p>
      <w:pPr>
        <w:pStyle w:val="Heading3"/>
        <w:bidi w:val="0"/>
        <w:ind w:hanging="0" w:start="0"/>
        <w:jc w:val="start"/>
        <w:rPr/>
      </w:pPr>
      <w:r>
        <w:rPr/>
        <w:t>4.5 Professional issues</w:t>
      </w:r>
    </w:p>
    <w:p>
      <w:pPr>
        <w:pStyle w:val="BodyText"/>
        <w:bidi w:val="0"/>
        <w:jc w:val="start"/>
        <w:rPr/>
      </w:pPr>
      <w:r>
        <w:rPr/>
        <w:t>Limitations (partial Gazette text coverage, single-annotator benchmark, rule-based-only validity detection) will be reported accurately rather than downplayed. All code, including any AI-suggested fragments, will be reviewed, tested and understood by the student before inclusion.</w:t>
      </w:r>
    </w:p>
    <w:p>
      <w:pPr>
        <w:pStyle w:val="Heading3"/>
        <w:bidi w:val="0"/>
        <w:ind w:hanging="0" w:start="0"/>
        <w:jc w:val="start"/>
        <w:rPr/>
      </w:pPr>
      <w:r>
        <w:rPr/>
        <w:t>4.6 Responsible use of Generative AI tools</w:t>
      </w:r>
    </w:p>
    <w:p>
      <w:pPr>
        <w:pStyle w:val="Heading4"/>
        <w:bidi w:val="0"/>
        <w:ind w:hanging="0" w:start="0"/>
        <w:jc w:val="start"/>
        <w:rPr/>
      </w:pPr>
      <w:r>
        <w:rPr/>
        <w:t>4.6.1 Intended and permitted use</w:t>
      </w:r>
    </w:p>
    <w:p>
      <w:pPr>
        <w:pStyle w:val="BodyText"/>
        <w:bidi w:val="0"/>
        <w:jc w:val="start"/>
        <w:rPr/>
      </w:pPr>
      <w:r>
        <w:rPr/>
        <w:t>Brainstorming search terms; clarifying the student's own draft wording; suggesting test-case ideas for the retrieval pipeline (independently verified); explaining unfamiliar library functions (e.g., IR libraries) for learning purposes; helping structure this proposal document (as has occurred in producing this draft).</w:t>
      </w:r>
    </w:p>
    <w:p>
      <w:pPr>
        <w:pStyle w:val="Heading4"/>
        <w:bidi w:val="0"/>
        <w:ind w:hanging="0" w:start="0"/>
        <w:jc w:val="start"/>
        <w:rPr/>
      </w:pPr>
      <w:r>
        <w:rPr/>
        <w:t>4.6.2 Prohibited or high-risk use</w:t>
      </w:r>
    </w:p>
    <w:p>
      <w:pPr>
        <w:pStyle w:val="BodyText"/>
        <w:bidi w:val="0"/>
        <w:jc w:val="start"/>
        <w:rPr/>
      </w:pPr>
      <w:r>
        <w:rPr/>
        <w:t>Generating literature summaries for papers not actually read by the student; inventing dataset statistics, citations, or DOIs; generating "results" not produced by actual experiments; treating this draft's content as final without independent verification and rewriting.</w:t>
      </w:r>
    </w:p>
    <w:p>
      <w:pPr>
        <w:pStyle w:val="Heading4"/>
        <w:bidi w:val="0"/>
        <w:ind w:hanging="0" w:start="0"/>
        <w:jc w:val="start"/>
        <w:rPr/>
      </w:pPr>
      <w:r>
        <w:rPr/>
        <w:t>4.6.3 Verification and human accountability</w:t>
      </w:r>
    </w:p>
    <w:p>
      <w:pPr>
        <w:pStyle w:val="BodyText"/>
        <w:bidi w:val="0"/>
        <w:jc w:val="start"/>
        <w:rPr/>
      </w:pPr>
      <w:r>
        <w:rPr/>
        <w:t xml:space="preserve">Every citation in the reference list must be personally located, read and checked by the student (title, authors, year, venue, DOI/link) before submission; every </w:t>
      </w:r>
      <w:r>
        <w:rPr>
          <w:rFonts w:ascii="Liberation Mono" w:hAnsi="Liberation Mono"/>
        </w:rPr>
        <w:t>[REFERENCE VERIFICATION REQUIRED]</w:t>
      </w:r>
      <w:r>
        <w:rPr/>
        <w:t xml:space="preserve"> tag in this draft must be resolved or removed, not silently deleted.</w:t>
      </w:r>
    </w:p>
    <w:p>
      <w:pPr>
        <w:pStyle w:val="Heading4"/>
        <w:bidi w:val="0"/>
        <w:ind w:hanging="0" w:start="0"/>
        <w:jc w:val="start"/>
        <w:rPr/>
      </w:pPr>
      <w:r>
        <w:rPr/>
        <w:t>4.6.4 Privacy, confidentiality and intellectual property</w:t>
      </w:r>
    </w:p>
    <w:p>
      <w:pPr>
        <w:pStyle w:val="BodyText"/>
        <w:bidi w:val="0"/>
        <w:jc w:val="start"/>
        <w:rPr/>
      </w:pPr>
      <w:r>
        <w:rPr/>
        <w:t>No personal or confidential data is used; only publicly licensed government legal text. The BASL PDF is treated cautiously as noted in 4.3.</w:t>
      </w:r>
    </w:p>
    <w:p>
      <w:pPr>
        <w:pStyle w:val="Heading4"/>
        <w:bidi w:val="0"/>
        <w:ind w:hanging="0" w:start="0"/>
        <w:jc w:val="start"/>
        <w:rPr/>
      </w:pPr>
      <w:r>
        <w:rPr/>
        <w:t>4.6.5 Transparency, disclosure and AI-use register</w:t>
      </w:r>
    </w:p>
    <w:p>
      <w:pPr>
        <w:pStyle w:val="BodyText"/>
        <w:bidi w:val="0"/>
        <w:jc w:val="start"/>
        <w:rPr/>
      </w:pPr>
      <w:r>
        <w:rPr/>
        <w:t>An AI-use register (Appendix L) will log each substantive AI interaction: tool, date, purpose, what was verified, and whether the output was accepted, modified or rejected — including the drafting of this proposal itself.</w:t>
      </w:r>
    </w:p>
    <w:p>
      <w:pPr>
        <w:pStyle w:val="Heading4"/>
        <w:bidi w:val="0"/>
        <w:ind w:hanging="0" w:start="0"/>
        <w:jc w:val="start"/>
        <w:rPr/>
      </w:pPr>
      <w:r>
        <w:rPr/>
        <w:t>4.6.6 Project-specific Generative AI risk assessment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Consequence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Control</w:t>
            </w:r>
          </w:p>
        </w:tc>
      </w:tr>
      <w:tr>
        <w:trPr/>
        <w:tc>
          <w:tcPr>
            <w:tcW w:w="3212" w:type="dxa"/>
            <w:tcBorders>
              <w:start w:val="single" w:sz="4" w:space="0" w:color="000000"/>
              <w:bottom w:val="single" w:sz="4" w:space="0" w:color="000000"/>
            </w:tcBorders>
          </w:tcPr>
          <w:p>
            <w:pPr>
              <w:pStyle w:val="TableContents"/>
              <w:bidi w:val="0"/>
              <w:jc w:val="start"/>
              <w:rPr/>
            </w:pPr>
            <w:r>
              <w:rPr/>
              <w:t>Fabricated/unverified citations carried over from this draft</w:t>
            </w:r>
          </w:p>
        </w:tc>
        <w:tc>
          <w:tcPr>
            <w:tcW w:w="3213" w:type="dxa"/>
            <w:tcBorders>
              <w:start w:val="single" w:sz="4" w:space="0" w:color="000000"/>
              <w:bottom w:val="single" w:sz="4" w:space="0" w:color="000000"/>
            </w:tcBorders>
          </w:tcPr>
          <w:p>
            <w:pPr>
              <w:pStyle w:val="TableContents"/>
              <w:bidi w:val="0"/>
              <w:jc w:val="start"/>
              <w:rPr/>
            </w:pPr>
            <w:r>
              <w:rPr/>
              <w:t>Academic misconduct risk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Independently verify every reference before submission</w:t>
            </w:r>
          </w:p>
        </w:tc>
      </w:tr>
      <w:tr>
        <w:trPr/>
        <w:tc>
          <w:tcPr>
            <w:tcW w:w="3212" w:type="dxa"/>
            <w:tcBorders>
              <w:start w:val="single" w:sz="4" w:space="0" w:color="000000"/>
              <w:bottom w:val="single" w:sz="4" w:space="0" w:color="000000"/>
            </w:tcBorders>
          </w:tcPr>
          <w:p>
            <w:pPr>
              <w:pStyle w:val="TableContents"/>
              <w:bidi w:val="0"/>
              <w:jc w:val="start"/>
              <w:rPr/>
            </w:pPr>
            <w:r>
              <w:rPr/>
              <w:t>Dataset statistics becoming stale (daily-updated repository)</w:t>
            </w:r>
          </w:p>
        </w:tc>
        <w:tc>
          <w:tcPr>
            <w:tcW w:w="3213" w:type="dxa"/>
            <w:tcBorders>
              <w:start w:val="single" w:sz="4" w:space="0" w:color="000000"/>
              <w:bottom w:val="single" w:sz="4" w:space="0" w:color="000000"/>
            </w:tcBorders>
          </w:tcPr>
          <w:p>
            <w:pPr>
              <w:pStyle w:val="TableContents"/>
              <w:bidi w:val="0"/>
              <w:jc w:val="start"/>
              <w:rPr/>
            </w:pPr>
            <w:r>
              <w:rPr/>
              <w:t>Inaccurate claims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Re-check live figures at time of writing/submission</w:t>
            </w:r>
          </w:p>
        </w:tc>
      </w:tr>
      <w:tr>
        <w:trPr/>
        <w:tc>
          <w:tcPr>
            <w:tcW w:w="3212" w:type="dxa"/>
            <w:tcBorders>
              <w:start w:val="single" w:sz="4" w:space="0" w:color="000000"/>
              <w:bottom w:val="single" w:sz="4" w:space="0" w:color="000000"/>
            </w:tcBorders>
          </w:tcPr>
          <w:p>
            <w:pPr>
              <w:pStyle w:val="TableContents"/>
              <w:bidi w:val="0"/>
              <w:jc w:val="start"/>
              <w:rPr/>
            </w:pPr>
            <w:r>
              <w:rPr/>
              <w:t>Overclaiming novelty or legal correctness in AI-suggested wording</w:t>
            </w:r>
          </w:p>
        </w:tc>
        <w:tc>
          <w:tcPr>
            <w:tcW w:w="3213" w:type="dxa"/>
            <w:tcBorders>
              <w:start w:val="single" w:sz="4" w:space="0" w:color="000000"/>
              <w:bottom w:val="single" w:sz="4" w:space="0" w:color="000000"/>
            </w:tcBorders>
          </w:tcPr>
          <w:p>
            <w:pPr>
              <w:pStyle w:val="TableContents"/>
              <w:bidi w:val="0"/>
              <w:jc w:val="start"/>
              <w:rPr/>
            </w:pPr>
            <w:r>
              <w:rPr/>
              <w:t>Misleading examiner/users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Review all claims against Part 4/7 of the source proposal guide's checklist</w:t>
            </w:r>
          </w:p>
        </w:tc>
      </w:tr>
    </w:tbl>
    <w:p>
      <w:pPr>
        <w:pStyle w:val="BodyText"/>
        <w:bidi w:val="0"/>
        <w:jc w:val="start"/>
        <w:rPr/>
      </w:pPr>
      <w:r>
        <w:rPr/>
      </w:r>
    </w:p>
    <w:p>
      <w:pPr>
        <w:pStyle w:val="Heading3"/>
        <w:bidi w:val="0"/>
        <w:ind w:hanging="0" w:start="0"/>
        <w:jc w:val="start"/>
        <w:rPr/>
      </w:pPr>
      <w:r>
        <w:rPr/>
        <w:t>4.7 Chapter summary</w:t>
      </w:r>
    </w:p>
    <w:p>
      <w:pPr>
        <w:pStyle w:val="BodyText"/>
        <w:bidi w:val="0"/>
        <w:jc w:val="start"/>
        <w:rPr/>
      </w:pPr>
      <w:r>
        <w:rPr/>
        <w:t>This chapter addressed social, legal, ethical and professional risks specific to a Sri Lankan legal-retrieval prototype, and defined disclosed, verified, limited Generative AI use, including for the production of this very draft, which must be substantially rewritten, verified, and personally owned before submission.</w:t>
      </w:r>
    </w:p>
    <w:p>
      <w:pPr>
        <w:pStyle w:val="HorizontalLine"/>
        <w:bidi w:val="0"/>
        <w:jc w:val="start"/>
        <w:rPr/>
      </w:pPr>
      <w:r>
        <w:rPr/>
      </w:r>
    </w:p>
    <w:p>
      <w:pPr>
        <w:pStyle w:val="Heading2"/>
        <w:bidi w:val="0"/>
        <w:ind w:hanging="0" w:start="0"/>
        <w:jc w:val="start"/>
        <w:rPr/>
      </w:pPr>
      <w:r>
        <w:rPr/>
        <w:t>REFERENCES (Harvard style — verify every entry before submission)</w:t>
      </w:r>
    </w:p>
    <w:p>
      <w:pPr>
        <w:pStyle w:val="BodyText"/>
        <w:bidi w:val="0"/>
        <w:jc w:val="start"/>
        <w:rPr/>
      </w:pPr>
      <w:r>
        <w:rPr/>
        <w:t xml:space="preserve">Feng, F., Yang, Y., Cer, D., Arivazhagan, N. and Wang, W. (2022) 'Language-agnostic BERT sentence embedding', in </w:t>
      </w:r>
      <w:r>
        <w:rPr>
          <w:i/>
        </w:rPr>
        <w:t>Proceedings of the 60th Annual Meeting of the Association for Computational Linguistics (ACL 2022)</w:t>
      </w:r>
      <w:r>
        <w:rPr/>
        <w:t xml:space="preserve">. Dublin: Association for Computational Linguistics. Available at: </w:t>
      </w:r>
      <w:hyperlink r:id="rId3">
        <w:r>
          <w:rPr>
            <w:rStyle w:val="Hyperlink"/>
          </w:rPr>
          <w:t>https://arxiv.org/abs/2007.01852</w:t>
        </w:r>
      </w:hyperlink>
      <w:r>
        <w:rPr/>
        <w:t xml:space="preserve"> (Accessed: 30 August 2026).</w:t>
      </w:r>
    </w:p>
    <w:p>
      <w:pPr>
        <w:pStyle w:val="BodyText"/>
        <w:bidi w:val="0"/>
        <w:jc w:val="start"/>
        <w:rPr/>
      </w:pPr>
      <w:r>
        <w:rPr/>
        <w:t xml:space="preserve">Hacker, P., Krestel, R., Grundmann, S. and Naumann, F. (2020) 'Explainable AI under contract and tort law: legal incentives and technical challenges', </w:t>
      </w:r>
      <w:r>
        <w:rPr>
          <w:i/>
        </w:rPr>
        <w:t>Artificial Intelligence and Law</w:t>
      </w:r>
      <w:r>
        <w:rPr/>
        <w:t xml:space="preserve">, 28, pp. 415–439. </w:t>
      </w:r>
      <w:r>
        <w:rPr>
          <w:rFonts w:ascii="Liberation Mono" w:hAnsi="Liberation Mono"/>
        </w:rPr>
        <w:t>[REFERENCE VERIFICATION REQUIRED: confirm exact volume/issue/page range and DOI directly from the publisher.]</w:t>
      </w:r>
    </w:p>
    <w:p>
      <w:pPr>
        <w:pStyle w:val="BodyText"/>
        <w:bidi w:val="0"/>
        <w:jc w:val="start"/>
        <w:rPr/>
      </w:pPr>
      <w:r>
        <w:rPr/>
        <w:t xml:space="preserve">Kostopoulos, G., Davrazos, G. and Kotsiantis, S. (2024) 'Explainable artificial intelligence-based decision support systems: a recent review'. </w:t>
      </w:r>
      <w:r>
        <w:rPr>
          <w:rFonts w:ascii="Liberation Mono" w:hAnsi="Liberation Mono"/>
        </w:rPr>
        <w:t>[REFERENCE VERIFICATION REQUIRED: locate and confirm full venue, volume, pages, DOI before citing.]</w:t>
      </w:r>
    </w:p>
    <w:p>
      <w:pPr>
        <w:pStyle w:val="BodyText"/>
        <w:bidi w:val="0"/>
        <w:jc w:val="start"/>
        <w:rPr/>
      </w:pPr>
      <w:r>
        <w:rPr/>
        <w:t xml:space="preserve">Lewis, P., Perez, E., Piktus, A., Petroni, F., Karpukhin, V., Goyal, N., Küttler, H., Lewis, M., Yih, W., Rocktäschel, T., Riedel, S. and Kiela, D. (2020) 'Retrieval-augmented generation for knowledge-intensive NLP tasks', in </w:t>
      </w:r>
      <w:r>
        <w:rPr>
          <w:i/>
        </w:rPr>
        <w:t>Advances in Neural Information Processing Systems 33 (NeurIPS 2020)</w:t>
      </w:r>
      <w:r>
        <w:rPr/>
        <w:t xml:space="preserve">. Available at: </w:t>
      </w:r>
      <w:hyperlink r:id="rId4">
        <w:r>
          <w:rPr>
            <w:rStyle w:val="Hyperlink"/>
          </w:rPr>
          <w:t>https://arxiv.org/abs/2005.11401</w:t>
        </w:r>
      </w:hyperlink>
      <w:r>
        <w:rPr/>
        <w:t xml:space="preserve"> (Accessed: 30 August 2026).</w:t>
      </w:r>
    </w:p>
    <w:p>
      <w:pPr>
        <w:pStyle w:val="BodyText"/>
        <w:bidi w:val="0"/>
        <w:jc w:val="start"/>
        <w:rPr/>
      </w:pPr>
      <w:r>
        <w:rPr/>
        <w:t xml:space="preserve">Prajescu, A.I. and Confalonieri, R. (2025) 'Argumentation-based explainability for legal AI: comparative and regulatory perspectives'. </w:t>
      </w:r>
      <w:r>
        <w:rPr>
          <w:rFonts w:ascii="Liberation Mono" w:hAnsi="Liberation Mono"/>
        </w:rPr>
        <w:t>[REFERENCE VERIFICATION REQUIRED: locate and confirm full venue, volume, pages, DOI before citing.]</w:t>
      </w:r>
    </w:p>
    <w:p>
      <w:pPr>
        <w:pStyle w:val="BodyText"/>
        <w:bidi w:val="0"/>
        <w:jc w:val="start"/>
        <w:rPr/>
      </w:pPr>
      <w:r>
        <w:rPr/>
        <w:t xml:space="preserve">Reimers, N. and Gurevych, I. (2019) 'Sentence-BERT: sentence embeddings using Siamese BERT-networks', in </w:t>
      </w:r>
      <w:r>
        <w:rPr>
          <w:i/>
        </w:rPr>
        <w:t>Proceedings of the 2019 Conference on Empirical Methods in Natural Language Processing (EMNLP 2019)</w:t>
      </w:r>
      <w:r>
        <w:rPr/>
        <w:t xml:space="preserve">. Hong Kong: Association for Computational Linguistics. Available at: </w:t>
      </w:r>
      <w:hyperlink r:id="rId5">
        <w:r>
          <w:rPr>
            <w:rStyle w:val="Hyperlink"/>
          </w:rPr>
          <w:t>https://arxiv.org/abs/1908.10084</w:t>
        </w:r>
      </w:hyperlink>
      <w:r>
        <w:rPr/>
        <w:t xml:space="preserve"> (Accessed: 30 August 2026).</w:t>
      </w:r>
    </w:p>
    <w:p>
      <w:pPr>
        <w:pStyle w:val="BodyText"/>
        <w:bidi w:val="0"/>
        <w:jc w:val="start"/>
        <w:rPr/>
      </w:pPr>
      <w:r>
        <w:rPr/>
        <w:t xml:space="preserve">Robertson, S. and Zaragoza, H. (2009) 'The probabilistic relevance framework: BM25 and beyond', </w:t>
      </w:r>
      <w:r>
        <w:rPr>
          <w:i/>
        </w:rPr>
        <w:t>Foundations and Trends in Information Retrieval</w:t>
      </w:r>
      <w:r>
        <w:rPr/>
        <w:t>, 3(4), pp. 333–389.</w:t>
      </w:r>
    </w:p>
    <w:p>
      <w:pPr>
        <w:pStyle w:val="BodyText"/>
        <w:bidi w:val="0"/>
        <w:jc w:val="start"/>
        <w:rPr/>
      </w:pPr>
      <w:r>
        <w:rPr/>
        <w:t xml:space="preserve">Saeed, W. and Omlin, C. (2021) 'Explainable AI (XAI): a systematic meta-survey of current challenges and future opportunities'. </w:t>
      </w:r>
      <w:r>
        <w:rPr>
          <w:rFonts w:ascii="Liberation Mono" w:hAnsi="Liberation Mono"/>
        </w:rPr>
        <w:t>[REFERENCE VERIFICATION REQUIRED: check whether you read the 2021 preprint or a later peer-reviewed version (possibly Knowledge-Based Systems, ~2023) and cite consistently with what you actually read.]</w:t>
      </w:r>
    </w:p>
    <w:p>
      <w:pPr>
        <w:pStyle w:val="BodyText"/>
        <w:bidi w:val="0"/>
        <w:jc w:val="start"/>
        <w:rPr/>
      </w:pPr>
      <w:r>
        <w:rPr/>
        <w:t xml:space="preserve">Senaratna, N.I. (2026) </w:t>
      </w:r>
      <w:r>
        <w:rPr>
          <w:i/>
        </w:rPr>
        <w:t>Sri Lanka Document Datasets: A Large-Scale, Multilingual Resource for Law, News, and Policy</w:t>
      </w:r>
      <w:r>
        <w:rPr/>
        <w:t xml:space="preserve">. arXiv:2510.04124 [cs.CL]. Available at: </w:t>
      </w:r>
      <w:hyperlink r:id="rId6">
        <w:r>
          <w:rPr>
            <w:rStyle w:val="Hyperlink"/>
          </w:rPr>
          <w:t>https://arxiv.org/abs/2510.04124</w:t>
        </w:r>
      </w:hyperlink>
      <w:r>
        <w:rPr/>
        <w:t xml:space="preserve"> (Accessed: 30 August 2026). [Preprint; not confirmed as peer-reviewed at time of writing.]</w:t>
      </w:r>
    </w:p>
    <w:p>
      <w:pPr>
        <w:pStyle w:val="BodyText"/>
        <w:bidi w:val="0"/>
        <w:jc w:val="start"/>
        <w:rPr/>
      </w:pPr>
      <w:r>
        <w:rPr>
          <w:rFonts w:ascii="Liberation Mono" w:hAnsi="Liberation Mono"/>
        </w:rPr>
        <w:t>[The following sources from the student's own literature review are retained as background only, pending venue verification — do not cite without checking:]</w:t>
      </w:r>
      <w:r>
        <w:rPr/>
        <w:t xml:space="preserve"> Gangadhar, K.D.P. et al. (2026) 'AI-powered legal contract risk analyzer'. </w:t>
      </w:r>
      <w:r>
        <w:rPr>
          <w:rFonts w:ascii="Liberation Mono" w:hAnsi="Liberation Mono"/>
        </w:rPr>
        <w:t>[REFERENCE VERIFICATION REQUIRED]</w:t>
      </w:r>
      <w:r>
        <w:rPr/>
        <w:t xml:space="preserve"> Bhanu Prakash, J. et al. (n.d.) 'AI-powered regulatory compliance checker for contracts: a machine learning and NLP based approach'. </w:t>
      </w:r>
      <w:r>
        <w:rPr>
          <w:rFonts w:ascii="Liberation Mono" w:hAnsi="Liberation Mono"/>
        </w:rPr>
        <w:t>[REFERENCE VERIFICATION REQUIRED]</w:t>
      </w:r>
      <w:r>
        <w:rPr/>
        <w:t xml:space="preserve"> Al-Dahammsheh, M.A.M. et al. (2026) 'Exploring the legal impact of artificial intelligence on contract interpretation and execution'. </w:t>
      </w:r>
      <w:r>
        <w:rPr>
          <w:rFonts w:ascii="Liberation Mono" w:hAnsi="Liberation Mono"/>
        </w:rPr>
        <w:t>[REFERENCE VERIFICATION REQUIRED]</w:t>
      </w:r>
    </w:p>
    <w:p>
      <w:pPr>
        <w:pStyle w:val="HorizontalLine"/>
        <w:bidi w:val="0"/>
        <w:jc w:val="start"/>
        <w:rPr/>
      </w:pPr>
      <w:r>
        <w:rPr/>
      </w:r>
    </w:p>
    <w:p>
      <w:pPr>
        <w:pStyle w:val="Heading2"/>
        <w:bidi w:val="0"/>
        <w:ind w:hanging="0" w:start="0"/>
        <w:jc w:val="start"/>
        <w:rPr/>
      </w:pPr>
      <w:r>
        <w:rPr/>
        <w:t>APPENDICES (stubs only)</w:t>
      </w:r>
    </w:p>
    <w:p>
      <w:pPr>
        <w:pStyle w:val="BodyText"/>
        <w:numPr>
          <w:ilvl w:val="0"/>
          <w:numId w:val="8"/>
        </w:numPr>
        <w:tabs>
          <w:tab w:val="clear" w:pos="709"/>
          <w:tab w:val="left" w:pos="709" w:leader="none"/>
        </w:tabs>
        <w:bidi w:val="0"/>
        <w:ind w:hanging="283" w:start="709"/>
        <w:jc w:val="start"/>
        <w:rPr/>
      </w:pPr>
      <w:r>
        <w:rPr>
          <w:b/>
        </w:rPr>
        <w:t>Appendix A</w:t>
      </w:r>
      <w:r>
        <w:rPr/>
        <w:t xml:space="preserve"> — Search strategy and screening log</w:t>
      </w:r>
    </w:p>
    <w:p>
      <w:pPr>
        <w:pStyle w:val="BodyText"/>
        <w:numPr>
          <w:ilvl w:val="0"/>
          <w:numId w:val="8"/>
        </w:numPr>
        <w:tabs>
          <w:tab w:val="clear" w:pos="709"/>
          <w:tab w:val="left" w:pos="709" w:leader="none"/>
        </w:tabs>
        <w:bidi w:val="0"/>
        <w:ind w:hanging="283" w:start="709"/>
        <w:jc w:val="start"/>
        <w:rPr/>
      </w:pPr>
      <w:r>
        <w:rPr>
          <w:b/>
        </w:rPr>
        <w:t>Appendix B</w:t>
      </w:r>
      <w:r>
        <w:rPr/>
        <w:t xml:space="preserve"> — Concept map (full size)</w:t>
      </w:r>
    </w:p>
    <w:p>
      <w:pPr>
        <w:pStyle w:val="BodyText"/>
        <w:numPr>
          <w:ilvl w:val="0"/>
          <w:numId w:val="8"/>
        </w:numPr>
        <w:tabs>
          <w:tab w:val="clear" w:pos="709"/>
          <w:tab w:val="left" w:pos="709" w:leader="none"/>
        </w:tabs>
        <w:bidi w:val="0"/>
        <w:ind w:hanging="283" w:start="709"/>
        <w:jc w:val="start"/>
        <w:rPr/>
      </w:pPr>
      <w:r>
        <w:rPr>
          <w:b/>
        </w:rPr>
        <w:t>Appendix C</w:t>
      </w:r>
      <w:r>
        <w:rPr/>
        <w:t xml:space="preserve"> — Literature survey matrix</w:t>
      </w:r>
    </w:p>
    <w:p>
      <w:pPr>
        <w:pStyle w:val="BodyText"/>
        <w:numPr>
          <w:ilvl w:val="0"/>
          <w:numId w:val="8"/>
        </w:numPr>
        <w:tabs>
          <w:tab w:val="clear" w:pos="709"/>
          <w:tab w:val="left" w:pos="709" w:leader="none"/>
        </w:tabs>
        <w:bidi w:val="0"/>
        <w:ind w:hanging="283" w:start="709"/>
        <w:jc w:val="start"/>
        <w:rPr/>
      </w:pPr>
      <w:r>
        <w:rPr>
          <w:b/>
        </w:rPr>
        <w:t>Appendix D</w:t>
      </w:r>
      <w:r>
        <w:rPr/>
        <w:t xml:space="preserve"> — Research gap analysis matrix</w:t>
      </w:r>
    </w:p>
    <w:p>
      <w:pPr>
        <w:pStyle w:val="BodyText"/>
        <w:numPr>
          <w:ilvl w:val="0"/>
          <w:numId w:val="8"/>
        </w:numPr>
        <w:tabs>
          <w:tab w:val="clear" w:pos="709"/>
          <w:tab w:val="left" w:pos="709" w:leader="none"/>
        </w:tabs>
        <w:bidi w:val="0"/>
        <w:ind w:hanging="283" w:start="709"/>
        <w:jc w:val="start"/>
        <w:rPr/>
      </w:pPr>
      <w:r>
        <w:rPr>
          <w:b/>
        </w:rPr>
        <w:t>Appendix E</w:t>
      </w:r>
      <w:r>
        <w:rPr/>
        <w:t xml:space="preserve"> — Dataset comparison matrix and data dictionary</w:t>
      </w:r>
    </w:p>
    <w:p>
      <w:pPr>
        <w:pStyle w:val="BodyText"/>
        <w:numPr>
          <w:ilvl w:val="0"/>
          <w:numId w:val="8"/>
        </w:numPr>
        <w:tabs>
          <w:tab w:val="clear" w:pos="709"/>
          <w:tab w:val="left" w:pos="709" w:leader="none"/>
        </w:tabs>
        <w:bidi w:val="0"/>
        <w:ind w:hanging="283" w:start="709"/>
        <w:jc w:val="start"/>
        <w:rPr/>
      </w:pPr>
      <w:r>
        <w:rPr>
          <w:b/>
        </w:rPr>
        <w:t>Appendix F</w:t>
      </w:r>
      <w:r>
        <w:rPr/>
        <w:t xml:space="preserve"> — Stakeholder analysis evidence</w:t>
      </w:r>
    </w:p>
    <w:p>
      <w:pPr>
        <w:pStyle w:val="BodyText"/>
        <w:numPr>
          <w:ilvl w:val="0"/>
          <w:numId w:val="8"/>
        </w:numPr>
        <w:tabs>
          <w:tab w:val="clear" w:pos="709"/>
          <w:tab w:val="left" w:pos="709" w:leader="none"/>
        </w:tabs>
        <w:bidi w:val="0"/>
        <w:ind w:hanging="283" w:start="709"/>
        <w:jc w:val="start"/>
        <w:rPr/>
      </w:pPr>
      <w:r>
        <w:rPr>
          <w:b/>
        </w:rPr>
        <w:t>Appendix G</w:t>
      </w:r>
      <w:r>
        <w:rPr/>
        <w:t xml:space="preserve"> — Full functional/non-functional requirements</w:t>
      </w:r>
    </w:p>
    <w:p>
      <w:pPr>
        <w:pStyle w:val="BodyText"/>
        <w:numPr>
          <w:ilvl w:val="0"/>
          <w:numId w:val="8"/>
        </w:numPr>
        <w:tabs>
          <w:tab w:val="clear" w:pos="709"/>
          <w:tab w:val="left" w:pos="709" w:leader="none"/>
        </w:tabs>
        <w:bidi w:val="0"/>
        <w:ind w:hanging="283" w:start="709"/>
        <w:jc w:val="start"/>
        <w:rPr/>
      </w:pPr>
      <w:r>
        <w:rPr>
          <w:b/>
        </w:rPr>
        <w:t>Appendix H</w:t>
      </w:r>
      <w:r>
        <w:rPr/>
        <w:t xml:space="preserve"> — Use-case descriptions and diagrams</w:t>
      </w:r>
    </w:p>
    <w:p>
      <w:pPr>
        <w:pStyle w:val="BodyText"/>
        <w:numPr>
          <w:ilvl w:val="0"/>
          <w:numId w:val="8"/>
        </w:numPr>
        <w:tabs>
          <w:tab w:val="clear" w:pos="709"/>
          <w:tab w:val="left" w:pos="709" w:leader="none"/>
        </w:tabs>
        <w:bidi w:val="0"/>
        <w:ind w:hanging="283" w:start="709"/>
        <w:jc w:val="start"/>
        <w:rPr/>
      </w:pPr>
      <w:r>
        <w:rPr>
          <w:b/>
        </w:rPr>
        <w:t>Appendix I</w:t>
      </w:r>
      <w:r>
        <w:rPr/>
        <w:t xml:space="preserve"> — Detailed architecture/data-flow diagrams</w:t>
      </w:r>
    </w:p>
    <w:p>
      <w:pPr>
        <w:pStyle w:val="BodyText"/>
        <w:numPr>
          <w:ilvl w:val="0"/>
          <w:numId w:val="8"/>
        </w:numPr>
        <w:tabs>
          <w:tab w:val="clear" w:pos="709"/>
          <w:tab w:val="left" w:pos="709" w:leader="none"/>
        </w:tabs>
        <w:bidi w:val="0"/>
        <w:ind w:hanging="283" w:start="709"/>
        <w:jc w:val="start"/>
        <w:rPr/>
      </w:pPr>
      <w:r>
        <w:rPr>
          <w:b/>
        </w:rPr>
        <w:t>Appendix J</w:t>
      </w:r>
      <w:r>
        <w:rPr/>
        <w:t xml:space="preserve"> — Detailed Gantt chart and backlog</w:t>
      </w:r>
    </w:p>
    <w:p>
      <w:pPr>
        <w:pStyle w:val="BodyText"/>
        <w:numPr>
          <w:ilvl w:val="0"/>
          <w:numId w:val="8"/>
        </w:numPr>
        <w:tabs>
          <w:tab w:val="clear" w:pos="709"/>
          <w:tab w:val="left" w:pos="709" w:leader="none"/>
        </w:tabs>
        <w:bidi w:val="0"/>
        <w:ind w:hanging="283" w:start="709"/>
        <w:jc w:val="start"/>
        <w:rPr/>
      </w:pPr>
      <w:r>
        <w:rPr>
          <w:b/>
        </w:rPr>
        <w:t>Appendix K</w:t>
      </w:r>
      <w:r>
        <w:rPr/>
        <w:t xml:space="preserve"> — Full risk register</w:t>
      </w:r>
    </w:p>
    <w:p>
      <w:pPr>
        <w:pStyle w:val="BodyText"/>
        <w:numPr>
          <w:ilvl w:val="0"/>
          <w:numId w:val="8"/>
        </w:numPr>
        <w:tabs>
          <w:tab w:val="clear" w:pos="709"/>
          <w:tab w:val="left" w:pos="709" w:leader="none"/>
        </w:tabs>
        <w:bidi w:val="0"/>
        <w:ind w:hanging="283" w:start="709"/>
        <w:jc w:val="start"/>
        <w:rPr/>
      </w:pPr>
      <w:r>
        <w:rPr>
          <w:b/>
        </w:rPr>
        <w:t>Appendix L</w:t>
      </w:r>
      <w:r>
        <w:rPr/>
        <w:t xml:space="preserve"> — Generative AI use declaration and AI-use register</w:t>
      </w:r>
    </w:p>
    <w:p>
      <w:pPr>
        <w:pStyle w:val="BodyText"/>
        <w:numPr>
          <w:ilvl w:val="0"/>
          <w:numId w:val="8"/>
        </w:numPr>
        <w:tabs>
          <w:tab w:val="clear" w:pos="709"/>
          <w:tab w:val="left" w:pos="709" w:leader="none"/>
        </w:tabs>
        <w:bidi w:val="0"/>
        <w:ind w:hanging="283" w:start="709"/>
        <w:jc w:val="start"/>
        <w:rPr/>
      </w:pPr>
      <w:r>
        <w:rPr>
          <w:b/>
        </w:rPr>
        <w:t>Appendix M</w:t>
      </w:r>
      <w:r>
        <w:rPr/>
        <w:t xml:space="preserve"> — Preliminary proof-of-concept evidence (screenshots/logs)</w:t>
      </w:r>
    </w:p>
    <w:p>
      <w:pPr>
        <w:pStyle w:val="BodyText"/>
        <w:numPr>
          <w:ilvl w:val="0"/>
          <w:numId w:val="8"/>
        </w:numPr>
        <w:tabs>
          <w:tab w:val="clear" w:pos="709"/>
          <w:tab w:val="left" w:pos="709" w:leader="none"/>
        </w:tabs>
        <w:bidi w:val="0"/>
        <w:ind w:hanging="283" w:start="709"/>
        <w:jc w:val="start"/>
        <w:rPr/>
      </w:pPr>
      <w:r>
        <w:rPr>
          <w:b/>
        </w:rPr>
        <w:t>Appendix N</w:t>
      </w:r>
      <w:r>
        <w:rPr/>
        <w:t xml:space="preserve"> — Ethics/data-management notes (if applicable)</w:t>
      </w:r>
    </w:p>
    <w:p>
      <w:pPr>
        <w:pStyle w:val="HorizontalLine"/>
        <w:bidi w:val="0"/>
        <w:jc w:val="start"/>
        <w:rPr/>
      </w:pPr>
      <w:r>
        <w:rPr/>
      </w:r>
    </w:p>
    <w:p>
      <w:pPr>
        <w:pStyle w:val="Heading2"/>
        <w:bidi w:val="0"/>
        <w:ind w:hanging="0" w:start="0"/>
        <w:jc w:val="start"/>
        <w:rPr/>
      </w:pPr>
      <w:r>
        <w:rPr/>
        <w:t>FINAL QUALITY-CONTROL PASS (applied against the template's own checklist)</w:t>
      </w:r>
    </w:p>
    <w:p>
      <w:pPr>
        <w:pStyle w:val="BodyText"/>
        <w:numPr>
          <w:ilvl w:val="0"/>
          <w:numId w:val="9"/>
        </w:numPr>
        <w:tabs>
          <w:tab w:val="clear" w:pos="709"/>
          <w:tab w:val="left" w:pos="709" w:leader="none"/>
        </w:tabs>
        <w:bidi w:val="0"/>
        <w:ind w:hanging="283" w:start="709"/>
        <w:jc w:val="start"/>
        <w:rPr/>
      </w:pPr>
      <w:sdt>
        <w:sdtPr>
          <w:id w:val="1469500675"/>
          <w14:checkbox>
            <w14:checked w14:val="1"/>
            <w14:checkedState w14:val="2612"/>
            <w14:uncheckedState w14:val="2610"/>
          </w14:checkbox>
        </w:sdtPr>
        <w:sdtContent>
          <w:r>
            <w:rPr/>
          </w:r>
          <w:r>
            <w:rPr/>
            <w:t>☒</w:t>
          </w:r>
        </w:sdtContent>
      </w:sdt>
      <w:r>
        <w:rPr/>
        <w:t xml:space="preserve"> </w:t>
      </w:r>
      <w:r>
        <w:rPr/>
        <w:t>Title/problem/gap/contribution/RQ/aim/objectives mutually consistent — internally aligned in Stage 4 table above.</w:t>
      </w:r>
    </w:p>
    <w:p>
      <w:pPr>
        <w:pStyle w:val="BodyText"/>
        <w:numPr>
          <w:ilvl w:val="0"/>
          <w:numId w:val="9"/>
        </w:numPr>
        <w:tabs>
          <w:tab w:val="clear" w:pos="709"/>
          <w:tab w:val="left" w:pos="709" w:leader="none"/>
        </w:tabs>
        <w:bidi w:val="0"/>
        <w:ind w:hanging="283" w:start="709"/>
        <w:jc w:val="start"/>
        <w:rPr/>
      </w:pPr>
      <w:sdt>
        <w:sdtPr>
          <w:id w:val="852448567"/>
          <w14:checkbox>
            <w14:checked w14:val="1"/>
            <w14:checkedState w14:val="2612"/>
            <w14:uncheckedState w14:val="2610"/>
          </w14:checkbox>
        </w:sdtPr>
        <w:sdtContent>
          <w:r>
            <w:rPr/>
          </w:r>
          <w:r>
            <w:rPr/>
            <w:t>☒</w:t>
          </w:r>
        </w:sdtContent>
      </w:sdt>
      <w:r>
        <w:rPr/>
        <w:t xml:space="preserve"> </w:t>
      </w:r>
      <w:r>
        <w:rPr/>
        <w:t>Every RQ has an experiment, dataset, baseline, metric — see 3.9.4.</w:t>
      </w:r>
    </w:p>
    <w:p>
      <w:pPr>
        <w:pStyle w:val="BodyText"/>
        <w:numPr>
          <w:ilvl w:val="0"/>
          <w:numId w:val="9"/>
        </w:numPr>
        <w:tabs>
          <w:tab w:val="clear" w:pos="709"/>
          <w:tab w:val="left" w:pos="709" w:leader="none"/>
        </w:tabs>
        <w:bidi w:val="0"/>
        <w:ind w:hanging="283" w:start="709"/>
        <w:jc w:val="start"/>
        <w:rPr/>
      </w:pPr>
      <w:sdt>
        <w:sdtPr>
          <w:id w:val="1654756597"/>
          <w14:checkbox>
            <w14:checked w14:val="0"/>
            <w14:checkedState w14:val="2612"/>
            <w14:uncheckedState w14:val="2610"/>
          </w14:checkbox>
        </w:sdtPr>
        <w:sdtContent>
          <w:r>
            <w:rPr/>
          </w:r>
          <w:r>
            <w:rPr/>
            <w:t>☐</w:t>
          </w:r>
        </w:sdtContent>
      </w:sdt>
      <w:r>
        <w:rPr/>
        <w:t xml:space="preserve"> </w:t>
      </w:r>
      <w:r>
        <w:rPr/>
        <w:t xml:space="preserve">Page limit — </w:t>
      </w:r>
      <w:r>
        <w:rPr>
          <w:b/>
        </w:rPr>
        <w:t>not yet verifiable</w:t>
      </w:r>
      <w:r>
        <w:rPr/>
        <w:t>; this Markdown draft must be reformatted into the template's Word styles and measured for actual page count; expand/condense accordingly.</w:t>
      </w:r>
    </w:p>
    <w:p>
      <w:pPr>
        <w:pStyle w:val="BodyText"/>
        <w:numPr>
          <w:ilvl w:val="0"/>
          <w:numId w:val="9"/>
        </w:numPr>
        <w:tabs>
          <w:tab w:val="clear" w:pos="709"/>
          <w:tab w:val="left" w:pos="709" w:leader="none"/>
        </w:tabs>
        <w:bidi w:val="0"/>
        <w:ind w:hanging="283" w:start="709"/>
        <w:jc w:val="start"/>
        <w:rPr/>
      </w:pPr>
      <w:sdt>
        <w:sdtPr>
          <w:id w:val="222612379"/>
          <w14:checkbox>
            <w14:checked w14:val="1"/>
            <w14:checkedState w14:val="2612"/>
            <w14:uncheckedState w14:val="2610"/>
          </w14:checkbox>
        </w:sdtPr>
        <w:sdtContent>
          <w:r>
            <w:rPr/>
          </w:r>
          <w:r>
            <w:rPr/>
            <w:t>☒</w:t>
          </w:r>
        </w:sdtContent>
      </w:sdt>
      <w:r>
        <w:rPr/>
        <w:t xml:space="preserve"> </w:t>
      </w:r>
      <w:r>
        <w:rPr/>
        <w:t>Baselines included (TF-IDF, BM25) — not evaluated against nothing.</w:t>
      </w:r>
    </w:p>
    <w:p>
      <w:pPr>
        <w:pStyle w:val="BodyText"/>
        <w:numPr>
          <w:ilvl w:val="0"/>
          <w:numId w:val="9"/>
        </w:numPr>
        <w:tabs>
          <w:tab w:val="clear" w:pos="709"/>
          <w:tab w:val="left" w:pos="709" w:leader="none"/>
        </w:tabs>
        <w:bidi w:val="0"/>
        <w:ind w:hanging="283" w:start="709"/>
        <w:jc w:val="start"/>
        <w:rPr/>
      </w:pPr>
      <w:sdt>
        <w:sdtPr>
          <w:id w:val="800032370"/>
          <w14:checkbox>
            <w14:checked w14:val="0"/>
            <w14:checkedState w14:val="2612"/>
            <w14:uncheckedState w14:val="2610"/>
          </w14:checkbox>
        </w:sdtPr>
        <w:sdtContent>
          <w:r>
            <w:rPr/>
          </w:r>
          <w:r>
            <w:rPr/>
            <w:t>☐</w:t>
          </w:r>
        </w:sdtContent>
      </w:sdt>
      <w:r>
        <w:rPr/>
        <w:t xml:space="preserve"> </w:t>
      </w:r>
      <w:r>
        <w:rPr>
          <w:b/>
        </w:rPr>
        <w:t>No fabricated citations</w:t>
      </w:r>
      <w:r>
        <w:rPr/>
        <w:t xml:space="preserve"> — five references are flagged </w:t>
      </w:r>
      <w:r>
        <w:rPr>
          <w:rFonts w:ascii="Liberation Mono" w:hAnsi="Liberation Mono"/>
        </w:rPr>
        <w:t>[REFERENCE VERIFICATION REQUIRED]</w:t>
      </w:r>
      <w:r>
        <w:rPr/>
        <w:t xml:space="preserve"> and must be resolved before submission; do not remove the flags without actually checking.</w:t>
      </w:r>
    </w:p>
    <w:p>
      <w:pPr>
        <w:pStyle w:val="BodyText"/>
        <w:numPr>
          <w:ilvl w:val="0"/>
          <w:numId w:val="9"/>
        </w:numPr>
        <w:tabs>
          <w:tab w:val="clear" w:pos="709"/>
          <w:tab w:val="left" w:pos="709" w:leader="none"/>
        </w:tabs>
        <w:bidi w:val="0"/>
        <w:ind w:hanging="283" w:start="709"/>
        <w:jc w:val="start"/>
        <w:rPr/>
      </w:pPr>
      <w:sdt>
        <w:sdtPr>
          <w:id w:val="2041094877"/>
          <w14:checkbox>
            <w14:checked w14:val="0"/>
            <w14:checkedState w14:val="2612"/>
            <w14:uncheckedState w14:val="2610"/>
          </w14:checkbox>
        </w:sdtPr>
        <w:sdtContent>
          <w:r>
            <w:rPr/>
          </w:r>
          <w:r>
            <w:rPr/>
            <w:t>☐</w:t>
          </w:r>
        </w:sdtContent>
      </w:sdt>
      <w:r>
        <w:rPr/>
        <w:t xml:space="preserve"> </w:t>
      </w:r>
      <w:r>
        <w:rPr>
          <w:b/>
        </w:rPr>
        <w:t>Dataset statistics verified</w:t>
      </w:r>
      <w:r>
        <w:rPr/>
        <w:t xml:space="preserve"> — flagged </w:t>
      </w:r>
      <w:r>
        <w:rPr>
          <w:rFonts w:ascii="Liberation Mono" w:hAnsi="Liberation Mono"/>
        </w:rPr>
        <w:t>[DATASET VERIFICATION REQUIRED]</w:t>
      </w:r>
      <w:r>
        <w:rPr/>
        <w:t xml:space="preserve"> in several places because the source repository updates daily; re-check immediately before submission.</w:t>
      </w:r>
    </w:p>
    <w:p>
      <w:pPr>
        <w:pStyle w:val="BodyText"/>
        <w:numPr>
          <w:ilvl w:val="0"/>
          <w:numId w:val="9"/>
        </w:numPr>
        <w:tabs>
          <w:tab w:val="clear" w:pos="709"/>
          <w:tab w:val="left" w:pos="709" w:leader="none"/>
        </w:tabs>
        <w:bidi w:val="0"/>
        <w:ind w:hanging="283" w:start="709"/>
        <w:jc w:val="start"/>
        <w:rPr/>
      </w:pPr>
      <w:sdt>
        <w:sdtPr>
          <w:id w:val="1600833352"/>
          <w14:checkbox>
            <w14:checked w14:val="1"/>
            <w14:checkedState w14:val="2612"/>
            <w14:uncheckedState w14:val="2610"/>
          </w14:checkbox>
        </w:sdtPr>
        <w:sdtContent>
          <w:r>
            <w:rPr/>
          </w:r>
          <w:r>
            <w:rPr/>
            <w:t>☒</w:t>
          </w:r>
        </w:sdtContent>
      </w:sdt>
      <w:r>
        <w:rPr/>
        <w:t xml:space="preserve"> </w:t>
      </w:r>
      <w:r>
        <w:rPr/>
        <w:t>No claim that the dataset is a Sinhala-English parallel corpus.</w:t>
      </w:r>
    </w:p>
    <w:p>
      <w:pPr>
        <w:pStyle w:val="BodyText"/>
        <w:numPr>
          <w:ilvl w:val="0"/>
          <w:numId w:val="9"/>
        </w:numPr>
        <w:tabs>
          <w:tab w:val="clear" w:pos="709"/>
          <w:tab w:val="left" w:pos="709" w:leader="none"/>
        </w:tabs>
        <w:bidi w:val="0"/>
        <w:ind w:hanging="283" w:start="709"/>
        <w:jc w:val="start"/>
        <w:rPr/>
      </w:pPr>
      <w:sdt>
        <w:sdtPr>
          <w:id w:val="1548932438"/>
          <w14:checkbox>
            <w14:checked w14:val="1"/>
            <w14:checkedState w14:val="2612"/>
            <w14:uncheckedState w14:val="2610"/>
          </w14:checkbox>
        </w:sdtPr>
        <w:sdtContent>
          <w:r>
            <w:rPr/>
          </w:r>
          <w:r>
            <w:rPr/>
            <w:t>☒</w:t>
          </w:r>
        </w:sdtContent>
      </w:sdt>
      <w:r>
        <w:rPr/>
        <w:t xml:space="preserve"> </w:t>
      </w:r>
      <w:r>
        <w:rPr/>
        <w:t>No claim that the system provides legal advice — stated explicitly multiple times.</w:t>
      </w:r>
    </w:p>
    <w:p>
      <w:pPr>
        <w:pStyle w:val="BodyText"/>
        <w:numPr>
          <w:ilvl w:val="0"/>
          <w:numId w:val="9"/>
        </w:numPr>
        <w:tabs>
          <w:tab w:val="clear" w:pos="709"/>
          <w:tab w:val="left" w:pos="709" w:leader="none"/>
        </w:tabs>
        <w:bidi w:val="0"/>
        <w:ind w:hanging="283" w:start="709"/>
        <w:jc w:val="start"/>
        <w:rPr/>
      </w:pPr>
      <w:sdt>
        <w:sdtPr>
          <w:id w:val="693711619"/>
          <w14:checkbox>
            <w14:checked w14:val="1"/>
            <w14:checkedState w14:val="2612"/>
            <w14:uncheckedState w14:val="2610"/>
          </w14:checkbox>
        </w:sdtPr>
        <w:sdtContent>
          <w:r>
            <w:rPr/>
          </w:r>
          <w:r>
            <w:rPr/>
            <w:t>☒</w:t>
          </w:r>
        </w:sdtContent>
      </w:sdt>
      <w:r>
        <w:rPr/>
        <w:t xml:space="preserve"> </w:t>
      </w:r>
      <w:r>
        <w:rPr/>
        <w:t>Licensing/provenance addressed, including the BASL PDF caution.</w:t>
      </w:r>
    </w:p>
    <w:p>
      <w:pPr>
        <w:pStyle w:val="BodyText"/>
        <w:numPr>
          <w:ilvl w:val="0"/>
          <w:numId w:val="9"/>
        </w:numPr>
        <w:tabs>
          <w:tab w:val="clear" w:pos="709"/>
          <w:tab w:val="left" w:pos="709" w:leader="none"/>
        </w:tabs>
        <w:bidi w:val="0"/>
        <w:ind w:hanging="283" w:start="709"/>
        <w:jc w:val="start"/>
        <w:rPr/>
      </w:pPr>
      <w:sdt>
        <w:sdtPr>
          <w:id w:val="179606683"/>
          <w14:checkbox>
            <w14:checked w14:val="1"/>
            <w14:checkedState w14:val="2612"/>
            <w14:uncheckedState w14:val="2610"/>
          </w14:checkbox>
        </w:sdtPr>
        <w:sdtContent>
          <w:r>
            <w:rPr/>
          </w:r>
          <w:r>
            <w:rPr/>
            <w:t>☒</w:t>
          </w:r>
        </w:sdtContent>
      </w:sdt>
      <w:r>
        <w:rPr/>
        <w:t xml:space="preserve"> </w:t>
      </w:r>
      <w:r>
        <w:rPr/>
        <w:t>GenAI use transparently addressed, including for this draft itself.</w:t>
      </w:r>
    </w:p>
    <w:p>
      <w:pPr>
        <w:pStyle w:val="BodyText"/>
        <w:numPr>
          <w:ilvl w:val="0"/>
          <w:numId w:val="9"/>
        </w:numPr>
        <w:tabs>
          <w:tab w:val="clear" w:pos="709"/>
          <w:tab w:val="left" w:pos="709" w:leader="none"/>
        </w:tabs>
        <w:bidi w:val="0"/>
        <w:ind w:hanging="283" w:start="709"/>
        <w:jc w:val="start"/>
        <w:rPr/>
      </w:pPr>
      <w:sdt>
        <w:sdtPr>
          <w:id w:val="945457478"/>
          <w14:checkbox>
            <w14:checked w14:val="0"/>
            <w14:checkedState w14:val="2612"/>
            <w14:uncheckedState w14:val="2610"/>
          </w14:checkbox>
        </w:sdtPr>
        <w:sdtContent>
          <w:r>
            <w:rPr/>
          </w:r>
          <w:r>
            <w:rPr/>
            <w:t>☐</w:t>
          </w:r>
        </w:sdtContent>
      </w:sdt>
      <w:r>
        <w:rPr/>
        <w:t xml:space="preserve"> </w:t>
      </w:r>
      <w:r>
        <w:rPr/>
        <w:t>LESP and every chapter still needs your own expansion, additional citations, and rewriting in your own voice before this is submission-ready.</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input/import-1/deep-research-report.md" TargetMode="External"/><Relationship Id="rId3" Type="http://schemas.openxmlformats.org/officeDocument/2006/relationships/hyperlink" Target="https://arxiv.org/abs/2007.01852" TargetMode="External"/><Relationship Id="rId4" Type="http://schemas.openxmlformats.org/officeDocument/2006/relationships/hyperlink" Target="https://arxiv.org/abs/2005.11401" TargetMode="External"/><Relationship Id="rId5" Type="http://schemas.openxmlformats.org/officeDocument/2006/relationships/hyperlink" Target="https://arxiv.org/abs/1908.10084" TargetMode="External"/><Relationship Id="rId6" Type="http://schemas.openxmlformats.org/officeDocument/2006/relationships/hyperlink" Target="https://arxiv.org/abs/2510.0412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