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w:hAnsi="Aptos"/>
          <w:b/>
          <w:color w:val="475569"/>
          <w:sz w:val="32"/>
        </w:rPr>
        <w:t>PROJECT PHASE-I REPORT</w:t>
      </w:r>
    </w:p>
    <w:p>
      <w:pPr>
        <w:spacing w:before="360"/>
        <w:jc w:val="center"/>
      </w:pPr>
      <w:r>
        <w:rPr>
          <w:rFonts w:ascii="Aptos Display" w:hAnsi="Aptos Display"/>
          <w:b/>
          <w:color w:val="1E406B"/>
          <w:sz w:val="50"/>
        </w:rPr>
        <w:t>Predictive Capacity Planning Framework for Video Streaming Platforms using Time-Series Foundation Models</w:t>
      </w:r>
    </w:p>
    <w:p>
      <w:pPr>
        <w:spacing w:before="360"/>
        <w:jc w:val="center"/>
      </w:pPr>
      <w:r>
        <w:rPr>
          <w:rFonts w:ascii="Aptos" w:hAnsi="Aptos"/>
          <w:b/>
          <w:color w:val="2D5B88"/>
          <w:sz w:val="24"/>
        </w:rPr>
        <w:t>BCSE355L - Cloud Architecture Design</w:t>
      </w:r>
    </w:p>
    <w:p>
      <w:pPr>
        <w:spacing w:before="680"/>
        <w:jc w:val="center"/>
      </w:pPr>
      <w:r>
        <w:rPr>
          <w:rFonts w:ascii="Aptos" w:hAnsi="Aptos"/>
          <w:b/>
          <w:color w:val="334155"/>
          <w:sz w:val="26"/>
        </w:rPr>
        <w:t>Team Members</w:t>
      </w:r>
    </w:p>
    <w:p>
      <w:pPr>
        <w:spacing w:after="40"/>
        <w:jc w:val="center"/>
      </w:pPr>
      <w:r>
        <w:rPr>
          <w:rFonts w:ascii="Aptos" w:hAnsi="Aptos"/>
          <w:sz w:val="22"/>
        </w:rPr>
        <w:t>Piyush Sagar (24BIT0620)</w:t>
      </w:r>
    </w:p>
    <w:p>
      <w:pPr>
        <w:spacing w:after="40"/>
        <w:jc w:val="center"/>
      </w:pPr>
      <w:r>
        <w:rPr>
          <w:rFonts w:ascii="Aptos" w:hAnsi="Aptos"/>
          <w:sz w:val="22"/>
        </w:rPr>
        <w:t>Chirayu Sahu (24BIT0622)</w:t>
      </w:r>
    </w:p>
    <w:p>
      <w:pPr>
        <w:spacing w:after="40"/>
        <w:jc w:val="center"/>
      </w:pPr>
      <w:r>
        <w:rPr>
          <w:rFonts w:ascii="Aptos" w:hAnsi="Aptos"/>
          <w:sz w:val="22"/>
        </w:rPr>
        <w:t>Sujal Agarwal (24BIT0623)</w:t>
      </w:r>
    </w:p>
    <w:p>
      <w:pPr>
        <w:spacing w:before="560"/>
        <w:jc w:val="center"/>
      </w:pPr>
      <w:r>
        <w:rPr>
          <w:rFonts w:ascii="Aptos" w:hAnsi="Aptos"/>
          <w:b/>
          <w:sz w:val="22"/>
        </w:rPr>
        <w:t>Course Instructor: Dr. Priya V</w:t>
      </w:r>
    </w:p>
    <w:p>
      <w:pPr>
        <w:jc w:val="center"/>
      </w:pPr>
      <w:r>
        <w:rPr>
          <w:rFonts w:ascii="Aptos" w:hAnsi="Aptos"/>
          <w:sz w:val="22"/>
        </w:rPr>
        <w:t>Submission Date: 31 July 2026</w:t>
      </w:r>
    </w:p>
    <w:p>
      <w:pPr>
        <w:spacing w:before="720"/>
        <w:jc w:val="center"/>
      </w:pPr>
      <w:r>
        <w:rPr>
          <w:rFonts w:ascii="Aptos" w:hAnsi="Aptos"/>
          <w:i/>
          <w:color w:val="64748B"/>
          <w:sz w:val="18"/>
        </w:rPr>
        <w:t>Current submission stage: planning and documentation; code implementation is intentionally not included.</w:t>
      </w:r>
    </w:p>
    <w:p>
      <w:r>
        <w:br w:type="page"/>
      </w:r>
    </w:p>
    <w:p>
      <w:pPr>
        <w:pStyle w:val="Heading1"/>
        <w:keepNext/>
      </w:pPr>
      <w:r>
        <w:t>1. Project Overview</w:t>
      </w:r>
    </w:p>
    <w:tbl>
      <w:tblPr>
        <w:tblStyle w:val="TableGrid"/>
        <w:tblW w:type="auto" w:w="0"/>
        <w:jc w:val="center"/>
        <w:tblLook w:firstColumn="1" w:firstRow="1" w:lastColumn="0" w:lastRow="0" w:noHBand="0" w:noVBand="1" w:val="04A0"/>
      </w:tblPr>
      <w:tblGrid>
        <w:gridCol w:w="5083"/>
        <w:gridCol w:w="5083"/>
      </w:tblGrid>
      <w:tr>
        <w:tc>
          <w:tcPr>
            <w:tcW w:type="dxa" w:w="5083"/>
            <w:shd w:fill="DCE6F1"/>
            <w:vAlign w:val="center"/>
          </w:tcPr>
          <w:p>
            <w:pPr>
              <w:spacing w:after="0" w:before="0"/>
            </w:pPr>
            <w:r>
              <w:rPr>
                <w:rFonts w:ascii="Aptos" w:hAnsi="Aptos"/>
                <w:b/>
                <w:sz w:val="18"/>
              </w:rPr>
              <w:t>Project Title</w:t>
            </w:r>
          </w:p>
        </w:tc>
        <w:tc>
          <w:tcPr>
            <w:tcW w:type="dxa" w:w="5083"/>
            <w:vAlign w:val="center"/>
          </w:tcPr>
          <w:p>
            <w:pPr>
              <w:spacing w:after="0" w:before="0"/>
            </w:pPr>
            <w:r>
              <w:rPr>
                <w:rFonts w:ascii="Aptos" w:hAnsi="Aptos"/>
                <w:sz w:val="18"/>
              </w:rPr>
              <w:t>Predictive Capacity Planning Framework for Video Streaming Platforms using Time-Series Foundation Models</w:t>
            </w:r>
          </w:p>
        </w:tc>
      </w:tr>
      <w:tr>
        <w:tc>
          <w:tcPr>
            <w:tcW w:type="dxa" w:w="5083"/>
            <w:shd w:fill="DCE6F1"/>
            <w:vAlign w:val="center"/>
          </w:tcPr>
          <w:p>
            <w:pPr>
              <w:spacing w:after="0" w:before="0"/>
            </w:pPr>
            <w:r>
              <w:rPr>
                <w:rFonts w:ascii="Aptos" w:hAnsi="Aptos"/>
                <w:b/>
                <w:sz w:val="18"/>
              </w:rPr>
              <w:t>Repository Name</w:t>
            </w:r>
          </w:p>
        </w:tc>
        <w:tc>
          <w:tcPr>
            <w:tcW w:type="dxa" w:w="5083"/>
            <w:vAlign w:val="center"/>
          </w:tcPr>
          <w:p>
            <w:pPr>
              <w:spacing w:after="0" w:before="0"/>
            </w:pPr>
            <w:r>
              <w:rPr>
                <w:rFonts w:ascii="Aptos" w:hAnsi="Aptos"/>
                <w:sz w:val="18"/>
              </w:rPr>
              <w:t>PredictiveCapacityPlanning_Cloud_Project_2026</w:t>
            </w:r>
          </w:p>
        </w:tc>
      </w:tr>
      <w:tr>
        <w:tc>
          <w:tcPr>
            <w:tcW w:type="dxa" w:w="5083"/>
            <w:shd w:fill="DCE6F1"/>
            <w:vAlign w:val="center"/>
          </w:tcPr>
          <w:p>
            <w:pPr>
              <w:spacing w:after="0" w:before="0"/>
            </w:pPr>
            <w:r>
              <w:rPr>
                <w:rFonts w:ascii="Aptos" w:hAnsi="Aptos"/>
                <w:b/>
                <w:sz w:val="18"/>
              </w:rPr>
              <w:t>Domain</w:t>
            </w:r>
          </w:p>
        </w:tc>
        <w:tc>
          <w:tcPr>
            <w:tcW w:type="dxa" w:w="5083"/>
            <w:vAlign w:val="center"/>
          </w:tcPr>
          <w:p>
            <w:pPr>
              <w:spacing w:after="0" w:before="0"/>
            </w:pPr>
            <w:r>
              <w:rPr>
                <w:rFonts w:ascii="Aptos" w:hAnsi="Aptos"/>
                <w:sz w:val="18"/>
              </w:rPr>
              <w:t>Cloud architecture, video streaming, predictive autoscaling, time-series forecasting</w:t>
            </w:r>
          </w:p>
        </w:tc>
      </w:tr>
      <w:tr>
        <w:tc>
          <w:tcPr>
            <w:tcW w:type="dxa" w:w="5083"/>
            <w:shd w:fill="DCE6F1"/>
            <w:vAlign w:val="center"/>
          </w:tcPr>
          <w:p>
            <w:pPr>
              <w:spacing w:after="0" w:before="0"/>
            </w:pPr>
            <w:r>
              <w:rPr>
                <w:rFonts w:ascii="Aptos" w:hAnsi="Aptos"/>
                <w:b/>
                <w:sz w:val="18"/>
              </w:rPr>
              <w:t>Project Stage</w:t>
            </w:r>
          </w:p>
        </w:tc>
        <w:tc>
          <w:tcPr>
            <w:tcW w:type="dxa" w:w="5083"/>
            <w:vAlign w:val="center"/>
          </w:tcPr>
          <w:p>
            <w:pPr>
              <w:spacing w:after="0" w:before="0"/>
            </w:pPr>
            <w:r>
              <w:rPr>
                <w:rFonts w:ascii="Aptos" w:hAnsi="Aptos"/>
                <w:sz w:val="18"/>
              </w:rPr>
              <w:t>Phase I - literature survey, research gap, architecture, dataset and implementation planning</w:t>
            </w:r>
          </w:p>
        </w:tc>
      </w:tr>
      <w:tr>
        <w:tc>
          <w:tcPr>
            <w:tcW w:type="dxa" w:w="5083"/>
            <w:shd w:fill="DCE6F1"/>
            <w:vAlign w:val="center"/>
          </w:tcPr>
          <w:p>
            <w:pPr>
              <w:spacing w:after="0" w:before="0"/>
            </w:pPr>
            <w:r>
              <w:rPr>
                <w:rFonts w:ascii="Aptos" w:hAnsi="Aptos"/>
                <w:b/>
                <w:sz w:val="18"/>
              </w:rPr>
              <w:t>Primary Outcome</w:t>
            </w:r>
          </w:p>
        </w:tc>
        <w:tc>
          <w:tcPr>
            <w:tcW w:type="dxa" w:w="5083"/>
            <w:vAlign w:val="center"/>
          </w:tcPr>
          <w:p>
            <w:pPr>
              <w:spacing w:after="0" w:before="0"/>
            </w:pPr>
            <w:r>
              <w:rPr>
                <w:rFonts w:ascii="Aptos" w:hAnsi="Aptos"/>
                <w:sz w:val="18"/>
              </w:rPr>
              <w:t>A forecast-to-capacity framework that recommends or executes guarded scaling actions</w:t>
            </w:r>
          </w:p>
        </w:tc>
      </w:tr>
    </w:tbl>
    <w:p>
      <w:pPr>
        <w:pStyle w:val="Heading1"/>
        <w:keepNext/>
      </w:pPr>
      <w:r>
        <w:t>2. Abstract</w:t>
      </w:r>
    </w:p>
    <w:p>
      <w:pPr>
        <w:spacing w:line="269" w:lineRule="auto"/>
        <w:jc w:val="both"/>
      </w:pPr>
      <w:r>
        <w:t>Video streaming platforms face highly variable demand caused by daily seasonality, content releases, live events, regional trends, and sudden flash crowds. Conventional reactive autoscaling responds only after resource pressure appears, which can produce startup delay, buffering, elevated error rates, and unnecessary overprovisioning. This project proposes a predictive capacity planning framework that forecasts short-horizon streaming demand and converts the forecast into safe, cost-aware infrastructure recommendations. The framework will ingest viewer, request, throughput, latency, CPU, memory, and error metrics; resample and validate the time series; and compare time-series foundation models such as Chronos, TimesFM, Moirai, and Tiny Time Mixers against conventional baselines. Probabilistic or quantile forecasts will be translated into required compute capacity using measured per-instance throughput, configurable safety margins, hysteresis, cooldown periods, and minimum/maximum capacity constraints. The proposed AWS architecture uses Amazon CloudFront and AWS Elemental Media Services for video delivery, Amazon CloudWatch and Kinesis Data Firehose for telemetry ingestion, Amazon S3 and Amazon Timestream for storage, AWS Glue and Lambda for preprocessing, Amazon SageMaker AI for model inference, Application Auto Scaling for resource adjustment, Amazon SNS for alerts, and Amazon QuickSight for visualization. Evaluation will consider forecasting accuracy, uncertainty coverage, scaling stability, service-level violations, and estimated infrastructure cost. The expected outcome is a reusable cloud framework that links general-purpose forecasting models to an operational capacity decision loop for video streaming workloads.</w:t>
      </w:r>
    </w:p>
    <w:p>
      <w:pPr>
        <w:pStyle w:val="Heading1"/>
        <w:keepNext/>
      </w:pPr>
      <w:r>
        <w:t>3. Problem Statement and Motivation</w:t>
      </w:r>
    </w:p>
    <w:p>
      <w:pPr>
        <w:jc w:val="both"/>
      </w:pPr>
      <w:r>
        <w:t>A video streaming platform must provision sufficient origin, API, transcoding, and delivery-support capacity before demand peaks. Reactive threshold-based policies are late by design, while static schedules cannot reliably handle event-driven spikes or changing regional behavior. The problem is therefore to forecast near-future workload with calibrated uncertainty and convert that forecast into a stable capacity plan that reduces both service risk and avoidable cloud cost.</w:t>
      </w:r>
    </w:p>
    <w:p>
      <w:pPr>
        <w:pStyle w:val="Heading2"/>
        <w:keepNext/>
      </w:pPr>
      <w:r>
        <w:t>3.1 Existing Challenges</w:t>
      </w:r>
    </w:p>
    <w:p>
      <w:pPr>
        <w:pStyle w:val="ListBullet"/>
        <w:spacing w:after="60"/>
      </w:pPr>
      <w:r>
        <w:rPr>
          <w:rFonts w:ascii="Aptos" w:hAnsi="Aptos"/>
          <w:sz w:val="20"/>
        </w:rPr>
        <w:t>Reactive autoscaling detects pressure after demand has already increased, creating a lag between load growth and usable capacity.</w:t>
      </w:r>
    </w:p>
    <w:p>
      <w:pPr>
        <w:pStyle w:val="ListBullet"/>
        <w:spacing w:after="60"/>
      </w:pPr>
      <w:r>
        <w:rPr>
          <w:rFonts w:ascii="Aptos" w:hAnsi="Aptos"/>
          <w:sz w:val="20"/>
        </w:rPr>
        <w:t>Static schedules model regular peaks but fail during premieres, sports events, breaking news, influencer traffic, or regional flash crowds.</w:t>
      </w:r>
    </w:p>
    <w:p>
      <w:pPr>
        <w:pStyle w:val="ListBullet"/>
        <w:spacing w:after="60"/>
      </w:pPr>
      <w:r>
        <w:rPr>
          <w:rFonts w:ascii="Aptos" w:hAnsi="Aptos"/>
          <w:sz w:val="20"/>
        </w:rPr>
        <w:t>Forecasting models are usually compared using prediction error, although operations teams care about buffering risk, utilization, cost, and scaling stability.</w:t>
      </w:r>
    </w:p>
    <w:p>
      <w:pPr>
        <w:pStyle w:val="ListBullet"/>
        <w:spacing w:after="60"/>
      </w:pPr>
      <w:r>
        <w:rPr>
          <w:rFonts w:ascii="Aptos" w:hAnsi="Aptos"/>
          <w:sz w:val="20"/>
        </w:rPr>
        <w:t>Foundation models may generalize with limited target training data, but their inference cost and latency can exceed the value of small accuracy gains.</w:t>
      </w:r>
    </w:p>
    <w:p>
      <w:pPr>
        <w:pStyle w:val="ListBullet"/>
        <w:spacing w:after="60"/>
      </w:pPr>
      <w:r>
        <w:rPr>
          <w:rFonts w:ascii="Aptos" w:hAnsi="Aptos"/>
          <w:sz w:val="20"/>
        </w:rPr>
        <w:t>Prediction uncertainty, data-quality failures, and model drift can make automatic scaling unsafe unless guardrails and fallbacks are explicit.</w:t>
      </w:r>
    </w:p>
    <w:p>
      <w:pPr>
        <w:pStyle w:val="Heading1"/>
        <w:keepNext/>
      </w:pPr>
      <w:r>
        <w:t>4. Project Objectives</w:t>
      </w:r>
    </w:p>
    <w:p>
      <w:pPr>
        <w:spacing w:after="80"/>
        <w:ind w:left="403" w:hanging="403"/>
      </w:pPr>
      <w:r>
        <w:rPr>
          <w:rFonts w:ascii="Aptos" w:hAnsi="Aptos"/>
          <w:sz w:val="20"/>
        </w:rPr>
        <w:t>1.  Build a cloud-ready pipeline that aggregates streaming workload and infrastructure metrics at five-minute intervals.</w:t>
      </w:r>
    </w:p>
    <w:p>
      <w:pPr>
        <w:spacing w:after="80"/>
        <w:ind w:left="403" w:hanging="403"/>
      </w:pPr>
      <w:r>
        <w:rPr>
          <w:rFonts w:ascii="Aptos" w:hAnsi="Aptos"/>
          <w:sz w:val="20"/>
        </w:rPr>
        <w:t>2.  Forecast viewer/request demand and resource utilization for 15-, 30-, and 60-minute horizons using at least three time-series foundation models and three conventional baselines.</w:t>
      </w:r>
    </w:p>
    <w:p>
      <w:pPr>
        <w:spacing w:after="80"/>
        <w:ind w:left="403" w:hanging="403"/>
      </w:pPr>
      <w:r>
        <w:rPr>
          <w:rFonts w:ascii="Aptos" w:hAnsi="Aptos"/>
          <w:sz w:val="20"/>
        </w:rPr>
        <w:t>3.  Evaluate models using MAE, RMSE, sMAPE, inference latency, and prediction-interval coverage under normal peaks and flash-crowd conditions.</w:t>
      </w:r>
    </w:p>
    <w:p>
      <w:pPr>
        <w:spacing w:after="80"/>
        <w:ind w:left="403" w:hanging="403"/>
      </w:pPr>
      <w:r>
        <w:rPr>
          <w:rFonts w:ascii="Aptos" w:hAnsi="Aptos"/>
          <w:sz w:val="20"/>
        </w:rPr>
        <w:t>4.  Translate P50/P90 demand forecasts into required instance or task counts using measured throughput, configurable headroom, hysteresis, and cooldown rules.</w:t>
      </w:r>
    </w:p>
    <w:p>
      <w:pPr>
        <w:spacing w:after="80"/>
        <w:ind w:left="403" w:hanging="403"/>
      </w:pPr>
      <w:r>
        <w:rPr>
          <w:rFonts w:ascii="Aptos" w:hAnsi="Aptos"/>
          <w:sz w:val="20"/>
        </w:rPr>
        <w:t>5.  Simulate or implement AWS scaling recommendations while tracking service-level violations, scaling oscillations, and estimated infrastructure cost.</w:t>
      </w:r>
    </w:p>
    <w:p>
      <w:pPr>
        <w:spacing w:after="80"/>
        <w:ind w:left="403" w:hanging="403"/>
      </w:pPr>
      <w:r>
        <w:rPr>
          <w:rFonts w:ascii="Aptos" w:hAnsi="Aptos"/>
          <w:sz w:val="20"/>
        </w:rPr>
        <w:t>6.  Provide an authenticated dashboard and notification workflow for forecasts, capacity recommendations, model confidence, and scaling decisions.</w:t>
      </w:r>
    </w:p>
    <w:p>
      <w:pPr>
        <w:pStyle w:val="Heading1"/>
        <w:keepNext/>
      </w:pPr>
      <w:r>
        <w:t>5. Scope and Assumptions</w:t>
      </w:r>
    </w:p>
    <w:p>
      <w:pPr>
        <w:pStyle w:val="ListBullet"/>
        <w:spacing w:after="60"/>
      </w:pPr>
      <w:r>
        <w:rPr>
          <w:rFonts w:ascii="Aptos" w:hAnsi="Aptos"/>
          <w:sz w:val="20"/>
        </w:rPr>
        <w:t>Phase I covers research, architecture, data planning, repository organization, model-selection criteria, and work allocation; production code is outside the current submission.</w:t>
      </w:r>
    </w:p>
    <w:p>
      <w:pPr>
        <w:pStyle w:val="ListBullet"/>
        <w:spacing w:after="60"/>
      </w:pPr>
      <w:r>
        <w:rPr>
          <w:rFonts w:ascii="Aptos" w:hAnsi="Aptos"/>
          <w:sz w:val="20"/>
        </w:rPr>
        <w:t>The initial implementation will treat five-minute aggregated demand as the main forecasting frequency and will evaluate 15-, 30-, and 60-minute horizons.</w:t>
      </w:r>
    </w:p>
    <w:p>
      <w:pPr>
        <w:pStyle w:val="ListBullet"/>
        <w:spacing w:after="60"/>
      </w:pPr>
      <w:r>
        <w:rPr>
          <w:rFonts w:ascii="Aptos" w:hAnsi="Aptos"/>
          <w:sz w:val="20"/>
        </w:rPr>
        <w:t>Capacity will be represented as ECS tasks, EC2 instances, or equivalent worker units with an empirically measured throughput value.</w:t>
      </w:r>
    </w:p>
    <w:p>
      <w:pPr>
        <w:pStyle w:val="ListBullet"/>
        <w:spacing w:after="60"/>
      </w:pPr>
      <w:r>
        <w:rPr>
          <w:rFonts w:ascii="Aptos" w:hAnsi="Aptos"/>
          <w:sz w:val="20"/>
        </w:rPr>
        <w:t>The Alibaba Cluster Trace is a cloud-workload proxy, not a native video-request trace. Streaming-specific telemetry must be simulated or collected from a prototype before final claims are made.</w:t>
      </w:r>
    </w:p>
    <w:p>
      <w:pPr>
        <w:pStyle w:val="ListBullet"/>
        <w:spacing w:after="60"/>
      </w:pPr>
      <w:r>
        <w:rPr>
          <w:rFonts w:ascii="Aptos" w:hAnsi="Aptos"/>
          <w:sz w:val="20"/>
        </w:rPr>
        <w:t>Automatic scaling will be optional. The first implementation should support recommendation/approval mode before unattended execution.</w:t>
      </w:r>
    </w:p>
    <w:p>
      <w:pPr>
        <w:sectPr>
          <w:headerReference w:type="default" r:id="rId9"/>
          <w:footerReference w:type="default" r:id="rId10"/>
          <w:pgSz w:w="12240" w:h="15840"/>
          <w:pgMar w:top="936" w:right="1037" w:bottom="936" w:left="1037" w:header="720" w:footer="720" w:gutter="0"/>
          <w:cols w:space="720"/>
          <w:docGrid w:linePitch="360"/>
        </w:sectPr>
      </w:pPr>
    </w:p>
    <w:p>
      <w:pPr>
        <w:pStyle w:val="Heading1"/>
        <w:keepNext/>
      </w:pPr>
      <w:r>
        <w:t>6. Literature Survey - 15 Research Papers</w:t>
      </w:r>
    </w:p>
    <w:p>
      <w:pPr>
        <w:spacing w:after="120"/>
      </w:pPr>
      <w:r>
        <w:t>Paper allocation: Piyush Sagar - Papers 1-5; Chirayu Sahu - Papers 6-10; Sujal Agarwal - Papers 11-15. The research-gap statements below are the team's analysis, not copied from the papers.</w:t>
      </w:r>
    </w:p>
    <w:tbl>
      <w:tblPr>
        <w:tblStyle w:val="TableGrid"/>
        <w:tblW w:type="auto" w:w="0"/>
        <w:jc w:val="center"/>
        <w:tblLayout w:type="fixed"/>
        <w:tblLook w:firstColumn="1" w:firstRow="1" w:lastColumn="0" w:lastRow="0" w:noHBand="0" w:noVBand="1" w:val="04A0"/>
      </w:tblPr>
      <w:tblGrid>
        <w:gridCol w:w="2090"/>
        <w:gridCol w:w="2090"/>
        <w:gridCol w:w="2090"/>
        <w:gridCol w:w="2090"/>
        <w:gridCol w:w="2090"/>
        <w:gridCol w:w="2090"/>
        <w:gridCol w:w="2090"/>
      </w:tblGrid>
      <w:tr>
        <w:trPr>
          <w:tblHeader w:val="true"/>
        </w:trPr>
        <w:tc>
          <w:tcPr>
            <w:tcW w:type="dxa" w:w="2376"/>
            <w:shd w:fill="1E406B"/>
            <w:vAlign w:val="center"/>
          </w:tcPr>
          <w:p>
            <w:pPr>
              <w:spacing w:after="0" w:before="0"/>
            </w:pPr>
            <w:r>
              <w:rPr>
                <w:rFonts w:ascii="Aptos" w:hAnsi="Aptos"/>
                <w:b/>
                <w:color w:val="FFFFFF"/>
                <w:sz w:val="13"/>
              </w:rPr>
              <w:t>No. / Paper</w:t>
            </w:r>
          </w:p>
        </w:tc>
        <w:tc>
          <w:tcPr>
            <w:tcW w:type="dxa" w:w="2376"/>
            <w:shd w:fill="1E406B"/>
            <w:vAlign w:val="center"/>
          </w:tcPr>
          <w:p>
            <w:pPr>
              <w:spacing w:after="0" w:before="0"/>
            </w:pPr>
            <w:r>
              <w:rPr>
                <w:rFonts w:ascii="Aptos" w:hAnsi="Aptos"/>
                <w:b/>
                <w:color w:val="FFFFFF"/>
                <w:sz w:val="13"/>
              </w:rPr>
              <w:t>Method</w:t>
            </w:r>
          </w:p>
        </w:tc>
        <w:tc>
          <w:tcPr>
            <w:tcW w:type="dxa" w:w="2088"/>
            <w:shd w:fill="1E406B"/>
            <w:vAlign w:val="center"/>
          </w:tcPr>
          <w:p>
            <w:pPr>
              <w:spacing w:after="0" w:before="0"/>
            </w:pPr>
            <w:r>
              <w:rPr>
                <w:rFonts w:ascii="Aptos" w:hAnsi="Aptos"/>
                <w:b/>
                <w:color w:val="FFFFFF"/>
                <w:sz w:val="13"/>
              </w:rPr>
              <w:t>Dataset / Evaluation</w:t>
            </w:r>
          </w:p>
        </w:tc>
        <w:tc>
          <w:tcPr>
            <w:tcW w:type="dxa" w:w="2232"/>
            <w:shd w:fill="1E406B"/>
            <w:vAlign w:val="center"/>
          </w:tcPr>
          <w:p>
            <w:pPr>
              <w:spacing w:after="0" w:before="0"/>
            </w:pPr>
            <w:r>
              <w:rPr>
                <w:rFonts w:ascii="Aptos" w:hAnsi="Aptos"/>
                <w:b/>
                <w:color w:val="FFFFFF"/>
                <w:sz w:val="13"/>
              </w:rPr>
              <w:t>Advantages</w:t>
            </w:r>
          </w:p>
        </w:tc>
        <w:tc>
          <w:tcPr>
            <w:tcW w:type="dxa" w:w="2232"/>
            <w:shd w:fill="1E406B"/>
            <w:vAlign w:val="center"/>
          </w:tcPr>
          <w:p>
            <w:pPr>
              <w:spacing w:after="0" w:before="0"/>
            </w:pPr>
            <w:r>
              <w:rPr>
                <w:rFonts w:ascii="Aptos" w:hAnsi="Aptos"/>
                <w:b/>
                <w:color w:val="FFFFFF"/>
                <w:sz w:val="13"/>
              </w:rPr>
              <w:t>Limitations</w:t>
            </w:r>
          </w:p>
        </w:tc>
        <w:tc>
          <w:tcPr>
            <w:tcW w:type="dxa" w:w="2592"/>
            <w:shd w:fill="1E406B"/>
            <w:vAlign w:val="center"/>
          </w:tcPr>
          <w:p>
            <w:pPr>
              <w:spacing w:after="0" w:before="0"/>
            </w:pPr>
            <w:r>
              <w:rPr>
                <w:rFonts w:ascii="Aptos" w:hAnsi="Aptos"/>
                <w:b/>
                <w:color w:val="FFFFFF"/>
                <w:sz w:val="13"/>
              </w:rPr>
              <w:t>Research Gap for This Project</w:t>
            </w:r>
          </w:p>
        </w:tc>
        <w:tc>
          <w:tcPr>
            <w:tcW w:type="dxa" w:w="1655"/>
            <w:shd w:fill="1E406B"/>
            <w:vAlign w:val="center"/>
          </w:tcPr>
          <w:p>
            <w:pPr>
              <w:spacing w:after="0" w:before="0"/>
            </w:pPr>
            <w:r>
              <w:rPr>
                <w:rFonts w:ascii="Aptos" w:hAnsi="Aptos"/>
                <w:b/>
                <w:color w:val="FFFFFF"/>
                <w:sz w:val="13"/>
              </w:rPr>
              <w:t>Assigned To</w:t>
            </w:r>
          </w:p>
        </w:tc>
      </w:tr>
      <w:tr>
        <w:tc>
          <w:tcPr>
            <w:tcW w:type="dxa" w:w="2376"/>
            <w:vAlign w:val="center"/>
          </w:tcPr>
          <w:p>
            <w:pPr>
              <w:spacing w:after="0" w:before="0"/>
            </w:pPr>
            <w:r>
              <w:rPr>
                <w:rFonts w:ascii="Aptos" w:hAnsi="Aptos"/>
                <w:sz w:val="13"/>
              </w:rPr>
              <w:t>1. A Time Series is Worth 64 Words: Long-term Forecasting with Transformers (PatchTST) (2023)</w:t>
            </w:r>
          </w:p>
        </w:tc>
        <w:tc>
          <w:tcPr>
            <w:tcW w:type="dxa" w:w="2376"/>
            <w:vAlign w:val="center"/>
          </w:tcPr>
          <w:p>
            <w:pPr>
              <w:spacing w:after="0" w:before="0"/>
            </w:pPr>
            <w:r>
              <w:rPr>
                <w:rFonts w:ascii="Aptos" w:hAnsi="Aptos"/>
                <w:sz w:val="13"/>
              </w:rPr>
              <w:t>Channel-independent Transformer using subseries patches as tokens; includes supervised and self-supervised variants.</w:t>
            </w:r>
          </w:p>
        </w:tc>
        <w:tc>
          <w:tcPr>
            <w:tcW w:type="dxa" w:w="2088"/>
            <w:vAlign w:val="center"/>
          </w:tcPr>
          <w:p>
            <w:pPr>
              <w:spacing w:after="0" w:before="0"/>
            </w:pPr>
            <w:r>
              <w:rPr>
                <w:rFonts w:ascii="Aptos" w:hAnsi="Aptos"/>
                <w:sz w:val="13"/>
              </w:rPr>
              <w:t>ETT, Electricity, Traffic, Weather, ILI and other standard long-horizon benchmarks.</w:t>
            </w:r>
          </w:p>
        </w:tc>
        <w:tc>
          <w:tcPr>
            <w:tcW w:type="dxa" w:w="2232"/>
            <w:vAlign w:val="center"/>
          </w:tcPr>
          <w:p>
            <w:pPr>
              <w:spacing w:after="0" w:before="0"/>
            </w:pPr>
            <w:r>
              <w:rPr>
                <w:rFonts w:ascii="Aptos" w:hAnsi="Aptos"/>
                <w:sz w:val="13"/>
              </w:rPr>
              <w:t>Efficient long-context modeling; patching captures local patterns; strong multivariate forecasting accuracy.</w:t>
            </w:r>
          </w:p>
        </w:tc>
        <w:tc>
          <w:tcPr>
            <w:tcW w:type="dxa" w:w="2232"/>
            <w:vAlign w:val="center"/>
          </w:tcPr>
          <w:p>
            <w:pPr>
              <w:spacing w:after="0" w:before="0"/>
            </w:pPr>
            <w:r>
              <w:rPr>
                <w:rFonts w:ascii="Aptos" w:hAnsi="Aptos"/>
                <w:sz w:val="13"/>
              </w:rPr>
              <w:t>Typically trained for a target dataset; no direct capacity-decision logic or calibrated operational safety buffer.</w:t>
            </w:r>
          </w:p>
        </w:tc>
        <w:tc>
          <w:tcPr>
            <w:tcW w:type="dxa" w:w="2592"/>
            <w:vAlign w:val="center"/>
          </w:tcPr>
          <w:p>
            <w:pPr>
              <w:spacing w:after="0" w:before="0"/>
            </w:pPr>
            <w:r>
              <w:rPr>
                <w:rFonts w:ascii="Aptos" w:hAnsi="Aptos"/>
                <w:sz w:val="13"/>
              </w:rPr>
              <w:t>Adapt patch representations to streaming metrics and evaluate whether forecast gains reduce SLA violations and cost.</w:t>
            </w:r>
          </w:p>
        </w:tc>
        <w:tc>
          <w:tcPr>
            <w:tcW w:type="dxa" w:w="1655"/>
            <w:vAlign w:val="center"/>
          </w:tcPr>
          <w:p>
            <w:pPr>
              <w:spacing w:after="0" w:before="0"/>
            </w:pPr>
            <w:r>
              <w:rPr>
                <w:rFonts w:ascii="Aptos" w:hAnsi="Aptos"/>
                <w:sz w:val="13"/>
              </w:rPr>
              <w:t>Piyush Sagar</w:t>
            </w:r>
          </w:p>
        </w:tc>
      </w:tr>
      <w:tr>
        <w:tc>
          <w:tcPr>
            <w:tcW w:type="dxa" w:w="2376"/>
            <w:vAlign w:val="center"/>
          </w:tcPr>
          <w:p>
            <w:pPr>
              <w:spacing w:after="0" w:before="0"/>
            </w:pPr>
            <w:r>
              <w:rPr>
                <w:rFonts w:ascii="Aptos" w:hAnsi="Aptos"/>
                <w:sz w:val="13"/>
              </w:rPr>
              <w:t>2. One Fits All: Power General Time Series Analysis by Pretrained LM (2023)</w:t>
            </w:r>
          </w:p>
        </w:tc>
        <w:tc>
          <w:tcPr>
            <w:tcW w:type="dxa" w:w="2376"/>
            <w:vAlign w:val="center"/>
          </w:tcPr>
          <w:p>
            <w:pPr>
              <w:spacing w:after="0" w:before="0"/>
            </w:pPr>
            <w:r>
              <w:rPr>
                <w:rFonts w:ascii="Aptos" w:hAnsi="Aptos"/>
                <w:sz w:val="13"/>
              </w:rPr>
              <w:t>Repurposes frozen pretrained language/image Transformers and fine-tunes limited components for forecasting, classification, and anomaly detection.</w:t>
            </w:r>
          </w:p>
        </w:tc>
        <w:tc>
          <w:tcPr>
            <w:tcW w:type="dxa" w:w="2088"/>
            <w:vAlign w:val="center"/>
          </w:tcPr>
          <w:p>
            <w:pPr>
              <w:spacing w:after="0" w:before="0"/>
            </w:pPr>
            <w:r>
              <w:rPr>
                <w:rFonts w:ascii="Aptos" w:hAnsi="Aptos"/>
                <w:sz w:val="13"/>
              </w:rPr>
              <w:t>Multiple public benchmarks covering forecasting, classification, anomaly detection, and few-shot learning.</w:t>
            </w:r>
          </w:p>
        </w:tc>
        <w:tc>
          <w:tcPr>
            <w:tcW w:type="dxa" w:w="2232"/>
            <w:vAlign w:val="center"/>
          </w:tcPr>
          <w:p>
            <w:pPr>
              <w:spacing w:after="0" w:before="0"/>
            </w:pPr>
            <w:r>
              <w:rPr>
                <w:rFonts w:ascii="Aptos" w:hAnsi="Aptos"/>
                <w:sz w:val="13"/>
              </w:rPr>
              <w:t>Demonstrates transfer of generic pretrained representations across several time-series tasks.</w:t>
            </w:r>
          </w:p>
        </w:tc>
        <w:tc>
          <w:tcPr>
            <w:tcW w:type="dxa" w:w="2232"/>
            <w:vAlign w:val="center"/>
          </w:tcPr>
          <w:p>
            <w:pPr>
              <w:spacing w:after="0" w:before="0"/>
            </w:pPr>
            <w:r>
              <w:rPr>
                <w:rFonts w:ascii="Aptos" w:hAnsi="Aptos"/>
                <w:sz w:val="13"/>
              </w:rPr>
              <w:t>Modality mismatch can add overhead; performance depends on adaptation choices; not designed for real-time autoscaling.</w:t>
            </w:r>
          </w:p>
        </w:tc>
        <w:tc>
          <w:tcPr>
            <w:tcW w:type="dxa" w:w="2592"/>
            <w:vAlign w:val="center"/>
          </w:tcPr>
          <w:p>
            <w:pPr>
              <w:spacing w:after="0" w:before="0"/>
            </w:pPr>
            <w:r>
              <w:rPr>
                <w:rFonts w:ascii="Aptos" w:hAnsi="Aptos"/>
                <w:sz w:val="13"/>
              </w:rPr>
              <w:t>Determine whether repurposed LMs justify their compute cost for short-horizon streaming capacity planning.</w:t>
            </w:r>
          </w:p>
        </w:tc>
        <w:tc>
          <w:tcPr>
            <w:tcW w:type="dxa" w:w="1655"/>
            <w:vAlign w:val="center"/>
          </w:tcPr>
          <w:p>
            <w:pPr>
              <w:spacing w:after="0" w:before="0"/>
            </w:pPr>
            <w:r>
              <w:rPr>
                <w:rFonts w:ascii="Aptos" w:hAnsi="Aptos"/>
                <w:sz w:val="13"/>
              </w:rPr>
              <w:t>Piyush Sagar</w:t>
            </w:r>
          </w:p>
        </w:tc>
      </w:tr>
      <w:tr>
        <w:tc>
          <w:tcPr>
            <w:tcW w:type="dxa" w:w="2376"/>
            <w:vAlign w:val="center"/>
          </w:tcPr>
          <w:p>
            <w:pPr>
              <w:spacing w:after="0" w:before="0"/>
            </w:pPr>
            <w:r>
              <w:rPr>
                <w:rFonts w:ascii="Aptos" w:hAnsi="Aptos"/>
                <w:sz w:val="13"/>
              </w:rPr>
              <w:t>3. Lag-Llama: Towards Foundation Models for Probabilistic Time Series Forecasting (2023)</w:t>
            </w:r>
          </w:p>
        </w:tc>
        <w:tc>
          <w:tcPr>
            <w:tcW w:type="dxa" w:w="2376"/>
            <w:vAlign w:val="center"/>
          </w:tcPr>
          <w:p>
            <w:pPr>
              <w:spacing w:after="0" w:before="0"/>
            </w:pPr>
            <w:r>
              <w:rPr>
                <w:rFonts w:ascii="Aptos" w:hAnsi="Aptos"/>
                <w:sz w:val="13"/>
              </w:rPr>
              <w:t>Decoder-only Transformer using lag features as covariates to produce probabilistic univariate forecasts.</w:t>
            </w:r>
          </w:p>
        </w:tc>
        <w:tc>
          <w:tcPr>
            <w:tcW w:type="dxa" w:w="2088"/>
            <w:vAlign w:val="center"/>
          </w:tcPr>
          <w:p>
            <w:pPr>
              <w:spacing w:after="0" w:before="0"/>
            </w:pPr>
            <w:r>
              <w:rPr>
                <w:rFonts w:ascii="Aptos" w:hAnsi="Aptos"/>
                <w:sz w:val="13"/>
              </w:rPr>
              <w:t>A broad pretraining corpus and downstream forecasting datasets from multiple domains.</w:t>
            </w:r>
          </w:p>
        </w:tc>
        <w:tc>
          <w:tcPr>
            <w:tcW w:type="dxa" w:w="2232"/>
            <w:vAlign w:val="center"/>
          </w:tcPr>
          <w:p>
            <w:pPr>
              <w:spacing w:after="0" w:before="0"/>
            </w:pPr>
            <w:r>
              <w:rPr>
                <w:rFonts w:ascii="Aptos" w:hAnsi="Aptos"/>
                <w:sz w:val="13"/>
              </w:rPr>
              <w:t>Probabilistic output; strong zero-shot behavior; fine-tuning works with limited target data.</w:t>
            </w:r>
          </w:p>
        </w:tc>
        <w:tc>
          <w:tcPr>
            <w:tcW w:type="dxa" w:w="2232"/>
            <w:vAlign w:val="center"/>
          </w:tcPr>
          <w:p>
            <w:pPr>
              <w:spacing w:after="0" w:before="0"/>
            </w:pPr>
            <w:r>
              <w:rPr>
                <w:rFonts w:ascii="Aptos" w:hAnsi="Aptos"/>
                <w:sz w:val="13"/>
              </w:rPr>
              <w:t>Primarily univariate; limited native handling of rich cross-metric and event context; deployment cost must be tested.</w:t>
            </w:r>
          </w:p>
        </w:tc>
        <w:tc>
          <w:tcPr>
            <w:tcW w:type="dxa" w:w="2592"/>
            <w:vAlign w:val="center"/>
          </w:tcPr>
          <w:p>
            <w:pPr>
              <w:spacing w:after="0" w:before="0"/>
            </w:pPr>
            <w:r>
              <w:rPr>
                <w:rFonts w:ascii="Aptos" w:hAnsi="Aptos"/>
                <w:sz w:val="13"/>
              </w:rPr>
              <w:t>Extend probabilistic forecasting to multivariate streaming demand and convert distributions into capacity risk controls.</w:t>
            </w:r>
          </w:p>
        </w:tc>
        <w:tc>
          <w:tcPr>
            <w:tcW w:type="dxa" w:w="1655"/>
            <w:vAlign w:val="center"/>
          </w:tcPr>
          <w:p>
            <w:pPr>
              <w:spacing w:after="0" w:before="0"/>
            </w:pPr>
            <w:r>
              <w:rPr>
                <w:rFonts w:ascii="Aptos" w:hAnsi="Aptos"/>
                <w:sz w:val="13"/>
              </w:rPr>
              <w:t>Piyush Sagar</w:t>
            </w:r>
          </w:p>
        </w:tc>
      </w:tr>
      <w:tr>
        <w:tc>
          <w:tcPr>
            <w:tcW w:type="dxa" w:w="2376"/>
            <w:vAlign w:val="center"/>
          </w:tcPr>
          <w:p>
            <w:pPr>
              <w:spacing w:after="0" w:before="0"/>
            </w:pPr>
            <w:r>
              <w:rPr>
                <w:rFonts w:ascii="Aptos" w:hAnsi="Aptos"/>
                <w:sz w:val="13"/>
              </w:rPr>
              <w:t>4. TEMPO: Prompt-based Generative Pre-trained Transformer for Time Series Forecasting (2024)</w:t>
            </w:r>
          </w:p>
        </w:tc>
        <w:tc>
          <w:tcPr>
            <w:tcW w:type="dxa" w:w="2376"/>
            <w:vAlign w:val="center"/>
          </w:tcPr>
          <w:p>
            <w:pPr>
              <w:spacing w:after="0" w:before="0"/>
            </w:pPr>
            <w:r>
              <w:rPr>
                <w:rFonts w:ascii="Aptos" w:hAnsi="Aptos"/>
                <w:sz w:val="13"/>
              </w:rPr>
              <w:t>Combines trend-seasonal-residual decomposition with learned prompts in a generative Transformer.</w:t>
            </w:r>
          </w:p>
        </w:tc>
        <w:tc>
          <w:tcPr>
            <w:tcW w:type="dxa" w:w="2088"/>
            <w:vAlign w:val="center"/>
          </w:tcPr>
          <w:p>
            <w:pPr>
              <w:spacing w:after="0" w:before="0"/>
            </w:pPr>
            <w:r>
              <w:rPr>
                <w:rFonts w:ascii="Aptos" w:hAnsi="Aptos"/>
                <w:sz w:val="13"/>
              </w:rPr>
              <w:t>Common forecasting benchmarks across energy, traffic, weather, exchange-rate, and health-related series.</w:t>
            </w:r>
          </w:p>
        </w:tc>
        <w:tc>
          <w:tcPr>
            <w:tcW w:type="dxa" w:w="2232"/>
            <w:vAlign w:val="center"/>
          </w:tcPr>
          <w:p>
            <w:pPr>
              <w:spacing w:after="0" w:before="0"/>
            </w:pPr>
            <w:r>
              <w:rPr>
                <w:rFonts w:ascii="Aptos" w:hAnsi="Aptos"/>
                <w:sz w:val="13"/>
              </w:rPr>
              <w:t>Explicitly models temporal components; supports zero-shot distribution adaptation and multimodal inputs.</w:t>
            </w:r>
          </w:p>
        </w:tc>
        <w:tc>
          <w:tcPr>
            <w:tcW w:type="dxa" w:w="2232"/>
            <w:vAlign w:val="center"/>
          </w:tcPr>
          <w:p>
            <w:pPr>
              <w:spacing w:after="0" w:before="0"/>
            </w:pPr>
            <w:r>
              <w:rPr>
                <w:rFonts w:ascii="Aptos" w:hAnsi="Aptos"/>
                <w:sz w:val="13"/>
              </w:rPr>
              <w:t>Prompt selection and decomposition add design complexity; operational calibration is not the main focus.</w:t>
            </w:r>
          </w:p>
        </w:tc>
        <w:tc>
          <w:tcPr>
            <w:tcW w:type="dxa" w:w="2592"/>
            <w:vAlign w:val="center"/>
          </w:tcPr>
          <w:p>
            <w:pPr>
              <w:spacing w:after="0" w:before="0"/>
            </w:pPr>
            <w:r>
              <w:rPr>
                <w:rFonts w:ascii="Aptos" w:hAnsi="Aptos"/>
                <w:sz w:val="13"/>
              </w:rPr>
              <w:t>Use event and workload prompts for streaming spikes and test robustness under abrupt distribution shifts.</w:t>
            </w:r>
          </w:p>
        </w:tc>
        <w:tc>
          <w:tcPr>
            <w:tcW w:type="dxa" w:w="1655"/>
            <w:vAlign w:val="center"/>
          </w:tcPr>
          <w:p>
            <w:pPr>
              <w:spacing w:after="0" w:before="0"/>
            </w:pPr>
            <w:r>
              <w:rPr>
                <w:rFonts w:ascii="Aptos" w:hAnsi="Aptos"/>
                <w:sz w:val="13"/>
              </w:rPr>
              <w:t>Piyush Sagar</w:t>
            </w:r>
          </w:p>
        </w:tc>
      </w:tr>
      <w:tr>
        <w:tc>
          <w:tcPr>
            <w:tcW w:type="dxa" w:w="2376"/>
            <w:vAlign w:val="center"/>
          </w:tcPr>
          <w:p>
            <w:pPr>
              <w:spacing w:after="0" w:before="0"/>
            </w:pPr>
            <w:r>
              <w:rPr>
                <w:rFonts w:ascii="Aptos" w:hAnsi="Aptos"/>
                <w:sz w:val="13"/>
              </w:rPr>
              <w:t>5. Time-LLM: Time Series Forecasting by Reprogramming Large Language Models (2024)</w:t>
            </w:r>
          </w:p>
        </w:tc>
        <w:tc>
          <w:tcPr>
            <w:tcW w:type="dxa" w:w="2376"/>
            <w:vAlign w:val="center"/>
          </w:tcPr>
          <w:p>
            <w:pPr>
              <w:spacing w:after="0" w:before="0"/>
            </w:pPr>
            <w:r>
              <w:rPr>
                <w:rFonts w:ascii="Aptos" w:hAnsi="Aptos"/>
                <w:sz w:val="13"/>
              </w:rPr>
              <w:t>Reprograms time-series patches into the representation space of a frozen LLM using prototype-based alignment and prompt context.</w:t>
            </w:r>
          </w:p>
        </w:tc>
        <w:tc>
          <w:tcPr>
            <w:tcW w:type="dxa" w:w="2088"/>
            <w:vAlign w:val="center"/>
          </w:tcPr>
          <w:p>
            <w:pPr>
              <w:spacing w:after="0" w:before="0"/>
            </w:pPr>
            <w:r>
              <w:rPr>
                <w:rFonts w:ascii="Aptos" w:hAnsi="Aptos"/>
                <w:sz w:val="13"/>
              </w:rPr>
              <w:t>Standard long- and short-term forecasting datasets including electricity, traffic, weather, and ETT families.</w:t>
            </w:r>
          </w:p>
        </w:tc>
        <w:tc>
          <w:tcPr>
            <w:tcW w:type="dxa" w:w="2232"/>
            <w:vAlign w:val="center"/>
          </w:tcPr>
          <w:p>
            <w:pPr>
              <w:spacing w:after="0" w:before="0"/>
            </w:pPr>
            <w:r>
              <w:rPr>
                <w:rFonts w:ascii="Aptos" w:hAnsi="Aptos"/>
                <w:sz w:val="13"/>
              </w:rPr>
              <w:t>Uses pretrained LLM knowledge without full retraining; flexible contextual prompting.</w:t>
            </w:r>
          </w:p>
        </w:tc>
        <w:tc>
          <w:tcPr>
            <w:tcW w:type="dxa" w:w="2232"/>
            <w:vAlign w:val="center"/>
          </w:tcPr>
          <w:p>
            <w:pPr>
              <w:spacing w:after="0" w:before="0"/>
            </w:pPr>
            <w:r>
              <w:rPr>
                <w:rFonts w:ascii="Aptos" w:hAnsi="Aptos"/>
                <w:sz w:val="13"/>
              </w:rPr>
              <w:t>Large model footprint and inference latency may be excessive for frequent scaling decisions; confidence calibration is limited.</w:t>
            </w:r>
          </w:p>
        </w:tc>
        <w:tc>
          <w:tcPr>
            <w:tcW w:type="dxa" w:w="2592"/>
            <w:vAlign w:val="center"/>
          </w:tcPr>
          <w:p>
            <w:pPr>
              <w:spacing w:after="0" w:before="0"/>
            </w:pPr>
            <w:r>
              <w:rPr>
                <w:rFonts w:ascii="Aptos" w:hAnsi="Aptos"/>
                <w:sz w:val="13"/>
              </w:rPr>
              <w:t>Benchmark accuracy-per-cost and latency against native TSFMs for five-minute operational forecasts.</w:t>
            </w:r>
          </w:p>
        </w:tc>
        <w:tc>
          <w:tcPr>
            <w:tcW w:type="dxa" w:w="1655"/>
            <w:vAlign w:val="center"/>
          </w:tcPr>
          <w:p>
            <w:pPr>
              <w:spacing w:after="0" w:before="0"/>
            </w:pPr>
            <w:r>
              <w:rPr>
                <w:rFonts w:ascii="Aptos" w:hAnsi="Aptos"/>
                <w:sz w:val="13"/>
              </w:rPr>
              <w:t>Piyush Sagar</w:t>
            </w:r>
          </w:p>
        </w:tc>
      </w:tr>
      <w:tr>
        <w:tc>
          <w:tcPr>
            <w:tcW w:type="dxa" w:w="2376"/>
            <w:vAlign w:val="center"/>
          </w:tcPr>
          <w:p>
            <w:pPr>
              <w:spacing w:after="0" w:before="0"/>
            </w:pPr>
            <w:r>
              <w:rPr>
                <w:rFonts w:ascii="Aptos" w:hAnsi="Aptos"/>
                <w:sz w:val="13"/>
              </w:rPr>
              <w:t>6. Chronos: Learning the Language of Time Series (2024)</w:t>
            </w:r>
          </w:p>
        </w:tc>
        <w:tc>
          <w:tcPr>
            <w:tcW w:type="dxa" w:w="2376"/>
            <w:vAlign w:val="center"/>
          </w:tcPr>
          <w:p>
            <w:pPr>
              <w:spacing w:after="0" w:before="0"/>
            </w:pPr>
            <w:r>
              <w:rPr>
                <w:rFonts w:ascii="Aptos" w:hAnsi="Aptos"/>
                <w:sz w:val="13"/>
              </w:rPr>
              <w:t>Scales and quantizes numeric values into tokens and trains T5-style models with cross-entropy to sample probabilistic futures.</w:t>
            </w:r>
          </w:p>
        </w:tc>
        <w:tc>
          <w:tcPr>
            <w:tcW w:type="dxa" w:w="2088"/>
            <w:vAlign w:val="center"/>
          </w:tcPr>
          <w:p>
            <w:pPr>
              <w:spacing w:after="0" w:before="0"/>
            </w:pPr>
            <w:r>
              <w:rPr>
                <w:rFonts w:ascii="Aptos" w:hAnsi="Aptos"/>
                <w:sz w:val="13"/>
              </w:rPr>
              <w:t>42 public datasets plus synthetic Gaussian-process series.</w:t>
            </w:r>
          </w:p>
        </w:tc>
        <w:tc>
          <w:tcPr>
            <w:tcW w:type="dxa" w:w="2232"/>
            <w:vAlign w:val="center"/>
          </w:tcPr>
          <w:p>
            <w:pPr>
              <w:spacing w:after="0" w:before="0"/>
            </w:pPr>
            <w:r>
              <w:rPr>
                <w:rFonts w:ascii="Aptos" w:hAnsi="Aptos"/>
                <w:sz w:val="13"/>
              </w:rPr>
              <w:t>Simple probabilistic framework; strong zero-shot performance; multiple model sizes.</w:t>
            </w:r>
          </w:p>
        </w:tc>
        <w:tc>
          <w:tcPr>
            <w:tcW w:type="dxa" w:w="2232"/>
            <w:vAlign w:val="center"/>
          </w:tcPr>
          <w:p>
            <w:pPr>
              <w:spacing w:after="0" w:before="0"/>
            </w:pPr>
            <w:r>
              <w:rPr>
                <w:rFonts w:ascii="Aptos" w:hAnsi="Aptos"/>
                <w:sz w:val="13"/>
              </w:rPr>
              <w:t>Quantization may lose fine-grained magnitude information; original design is mainly univariate and generic.</w:t>
            </w:r>
          </w:p>
        </w:tc>
        <w:tc>
          <w:tcPr>
            <w:tcW w:type="dxa" w:w="2592"/>
            <w:vAlign w:val="center"/>
          </w:tcPr>
          <w:p>
            <w:pPr>
              <w:spacing w:after="0" w:before="0"/>
            </w:pPr>
            <w:r>
              <w:rPr>
                <w:rFonts w:ascii="Aptos" w:hAnsi="Aptos"/>
                <w:sz w:val="13"/>
              </w:rPr>
              <w:t>Assess calibration on bursty demand and combine multiple operational metrics and event context.</w:t>
            </w:r>
          </w:p>
        </w:tc>
        <w:tc>
          <w:tcPr>
            <w:tcW w:type="dxa" w:w="1655"/>
            <w:vAlign w:val="center"/>
          </w:tcPr>
          <w:p>
            <w:pPr>
              <w:spacing w:after="0" w:before="0"/>
            </w:pPr>
            <w:r>
              <w:rPr>
                <w:rFonts w:ascii="Aptos" w:hAnsi="Aptos"/>
                <w:sz w:val="13"/>
              </w:rPr>
              <w:t>Chirayu Sahu</w:t>
            </w:r>
          </w:p>
        </w:tc>
      </w:tr>
      <w:tr>
        <w:tc>
          <w:tcPr>
            <w:tcW w:type="dxa" w:w="2376"/>
            <w:vAlign w:val="center"/>
          </w:tcPr>
          <w:p>
            <w:pPr>
              <w:spacing w:after="0" w:before="0"/>
            </w:pPr>
            <w:r>
              <w:rPr>
                <w:rFonts w:ascii="Aptos" w:hAnsi="Aptos"/>
                <w:sz w:val="13"/>
              </w:rPr>
              <w:t>7. A Decoder-only Foundation Model for Time-Series Forecasting (TimesFM) (2024)</w:t>
            </w:r>
          </w:p>
        </w:tc>
        <w:tc>
          <w:tcPr>
            <w:tcW w:type="dxa" w:w="2376"/>
            <w:vAlign w:val="center"/>
          </w:tcPr>
          <w:p>
            <w:pPr>
              <w:spacing w:after="0" w:before="0"/>
            </w:pPr>
            <w:r>
              <w:rPr>
                <w:rFonts w:ascii="Aptos" w:hAnsi="Aptos"/>
                <w:sz w:val="13"/>
              </w:rPr>
              <w:t>Patch-based decoder-only foundation model pretrained for direct multi-horizon forecasting.</w:t>
            </w:r>
          </w:p>
        </w:tc>
        <w:tc>
          <w:tcPr>
            <w:tcW w:type="dxa" w:w="2088"/>
            <w:vAlign w:val="center"/>
          </w:tcPr>
          <w:p>
            <w:pPr>
              <w:spacing w:after="0" w:before="0"/>
            </w:pPr>
            <w:r>
              <w:rPr>
                <w:rFonts w:ascii="Aptos" w:hAnsi="Aptos"/>
                <w:sz w:val="13"/>
              </w:rPr>
              <w:t>Large pretraining corpus reported at roughly 100 billion real-world time points plus public evaluation datasets.</w:t>
            </w:r>
          </w:p>
        </w:tc>
        <w:tc>
          <w:tcPr>
            <w:tcW w:type="dxa" w:w="2232"/>
            <w:vAlign w:val="center"/>
          </w:tcPr>
          <w:p>
            <w:pPr>
              <w:spacing w:after="0" w:before="0"/>
            </w:pPr>
            <w:r>
              <w:rPr>
                <w:rFonts w:ascii="Aptos" w:hAnsi="Aptos"/>
                <w:sz w:val="13"/>
              </w:rPr>
              <w:t>Competitive zero-shot accuracy and practical direct forecasting; strong scaling behavior.</w:t>
            </w:r>
          </w:p>
        </w:tc>
        <w:tc>
          <w:tcPr>
            <w:tcW w:type="dxa" w:w="2232"/>
            <w:vAlign w:val="center"/>
          </w:tcPr>
          <w:p>
            <w:pPr>
              <w:spacing w:after="0" w:before="0"/>
            </w:pPr>
            <w:r>
              <w:rPr>
                <w:rFonts w:ascii="Aptos" w:hAnsi="Aptos"/>
                <w:sz w:val="13"/>
              </w:rPr>
              <w:t>Native support for exogenous variables and uncertainty depends on version/configuration; hosted inference cost must be measured.</w:t>
            </w:r>
          </w:p>
        </w:tc>
        <w:tc>
          <w:tcPr>
            <w:tcW w:type="dxa" w:w="2592"/>
            <w:vAlign w:val="center"/>
          </w:tcPr>
          <w:p>
            <w:pPr>
              <w:spacing w:after="0" w:before="0"/>
            </w:pPr>
            <w:r>
              <w:rPr>
                <w:rFonts w:ascii="Aptos" w:hAnsi="Aptos"/>
                <w:sz w:val="13"/>
              </w:rPr>
              <w:t>Evaluate TimesFM on regional streaming demand and integrate quantile or ensemble uncertainty into provisioning.</w:t>
            </w:r>
          </w:p>
        </w:tc>
        <w:tc>
          <w:tcPr>
            <w:tcW w:type="dxa" w:w="1655"/>
            <w:vAlign w:val="center"/>
          </w:tcPr>
          <w:p>
            <w:pPr>
              <w:spacing w:after="0" w:before="0"/>
            </w:pPr>
            <w:r>
              <w:rPr>
                <w:rFonts w:ascii="Aptos" w:hAnsi="Aptos"/>
                <w:sz w:val="13"/>
              </w:rPr>
              <w:t>Chirayu Sahu</w:t>
            </w:r>
          </w:p>
        </w:tc>
      </w:tr>
      <w:tr>
        <w:tc>
          <w:tcPr>
            <w:tcW w:type="dxa" w:w="2376"/>
            <w:vAlign w:val="center"/>
          </w:tcPr>
          <w:p>
            <w:pPr>
              <w:spacing w:after="0" w:before="0"/>
            </w:pPr>
            <w:r>
              <w:rPr>
                <w:rFonts w:ascii="Aptos" w:hAnsi="Aptos"/>
                <w:sz w:val="13"/>
              </w:rPr>
              <w:t>8. Unified Training of Universal Time Series Forecasting Transformers (Moirai) (2024)</w:t>
            </w:r>
          </w:p>
        </w:tc>
        <w:tc>
          <w:tcPr>
            <w:tcW w:type="dxa" w:w="2376"/>
            <w:vAlign w:val="center"/>
          </w:tcPr>
          <w:p>
            <w:pPr>
              <w:spacing w:after="0" w:before="0"/>
            </w:pPr>
            <w:r>
              <w:rPr>
                <w:rFonts w:ascii="Aptos" w:hAnsi="Aptos"/>
                <w:sz w:val="13"/>
              </w:rPr>
              <w:t>Masked encoder with multi-patch projections, any-variate attention, and mixture-distribution prediction.</w:t>
            </w:r>
          </w:p>
        </w:tc>
        <w:tc>
          <w:tcPr>
            <w:tcW w:type="dxa" w:w="2088"/>
            <w:vAlign w:val="center"/>
          </w:tcPr>
          <w:p>
            <w:pPr>
              <w:spacing w:after="0" w:before="0"/>
            </w:pPr>
            <w:r>
              <w:rPr>
                <w:rFonts w:ascii="Aptos" w:hAnsi="Aptos"/>
                <w:sz w:val="13"/>
              </w:rPr>
              <w:t>LOTSA: more than 27 billion observations across nine domains.</w:t>
            </w:r>
          </w:p>
        </w:tc>
        <w:tc>
          <w:tcPr>
            <w:tcW w:type="dxa" w:w="2232"/>
            <w:vAlign w:val="center"/>
          </w:tcPr>
          <w:p>
            <w:pPr>
              <w:spacing w:after="0" w:before="0"/>
            </w:pPr>
            <w:r>
              <w:rPr>
                <w:rFonts w:ascii="Aptos" w:hAnsi="Aptos"/>
                <w:sz w:val="13"/>
              </w:rPr>
              <w:t>Handles varied frequencies, arbitrary numbers of variables, and probabilistic distributions; strong zero-shot results.</w:t>
            </w:r>
          </w:p>
        </w:tc>
        <w:tc>
          <w:tcPr>
            <w:tcW w:type="dxa" w:w="2232"/>
            <w:vAlign w:val="center"/>
          </w:tcPr>
          <w:p>
            <w:pPr>
              <w:spacing w:after="0" w:before="0"/>
            </w:pPr>
            <w:r>
              <w:rPr>
                <w:rFonts w:ascii="Aptos" w:hAnsi="Aptos"/>
                <w:sz w:val="13"/>
              </w:rPr>
              <w:t>Model and preprocessing complexity can raise latency and operational cost; not evaluated as a scaling controller.</w:t>
            </w:r>
          </w:p>
        </w:tc>
        <w:tc>
          <w:tcPr>
            <w:tcW w:type="dxa" w:w="2592"/>
            <w:vAlign w:val="center"/>
          </w:tcPr>
          <w:p>
            <w:pPr>
              <w:spacing w:after="0" w:before="0"/>
            </w:pPr>
            <w:r>
              <w:rPr>
                <w:rFonts w:ascii="Aptos" w:hAnsi="Aptos"/>
                <w:sz w:val="13"/>
              </w:rPr>
              <w:t>Test multivariate forecast quality versus inference cost and connect mixture distributions to SLA-aware headroom.</w:t>
            </w:r>
          </w:p>
        </w:tc>
        <w:tc>
          <w:tcPr>
            <w:tcW w:type="dxa" w:w="1655"/>
            <w:vAlign w:val="center"/>
          </w:tcPr>
          <w:p>
            <w:pPr>
              <w:spacing w:after="0" w:before="0"/>
            </w:pPr>
            <w:r>
              <w:rPr>
                <w:rFonts w:ascii="Aptos" w:hAnsi="Aptos"/>
                <w:sz w:val="13"/>
              </w:rPr>
              <w:t>Chirayu Sahu</w:t>
            </w:r>
          </w:p>
        </w:tc>
      </w:tr>
      <w:tr>
        <w:tc>
          <w:tcPr>
            <w:tcW w:type="dxa" w:w="2376"/>
            <w:vAlign w:val="center"/>
          </w:tcPr>
          <w:p>
            <w:pPr>
              <w:spacing w:after="0" w:before="0"/>
            </w:pPr>
            <w:r>
              <w:rPr>
                <w:rFonts w:ascii="Aptos" w:hAnsi="Aptos"/>
                <w:sz w:val="13"/>
              </w:rPr>
              <w:t>9. MOMENT: A Family of Open Time-series Foundation Models (2024)</w:t>
            </w:r>
          </w:p>
        </w:tc>
        <w:tc>
          <w:tcPr>
            <w:tcW w:type="dxa" w:w="2376"/>
            <w:vAlign w:val="center"/>
          </w:tcPr>
          <w:p>
            <w:pPr>
              <w:spacing w:after="0" w:before="0"/>
            </w:pPr>
            <w:r>
              <w:rPr>
                <w:rFonts w:ascii="Aptos" w:hAnsi="Aptos"/>
                <w:sz w:val="13"/>
              </w:rPr>
              <w:t>Masked pretraining over the Time Series Pile for forecasting, classification, anomaly detection, and imputation.</w:t>
            </w:r>
          </w:p>
        </w:tc>
        <w:tc>
          <w:tcPr>
            <w:tcW w:type="dxa" w:w="2088"/>
            <w:vAlign w:val="center"/>
          </w:tcPr>
          <w:p>
            <w:pPr>
              <w:spacing w:after="0" w:before="0"/>
            </w:pPr>
            <w:r>
              <w:rPr>
                <w:rFonts w:ascii="Aptos" w:hAnsi="Aptos"/>
                <w:sz w:val="13"/>
              </w:rPr>
              <w:t>Large public Time Series Pile and a multi-task evaluation benchmark.</w:t>
            </w:r>
          </w:p>
        </w:tc>
        <w:tc>
          <w:tcPr>
            <w:tcW w:type="dxa" w:w="2232"/>
            <w:vAlign w:val="center"/>
          </w:tcPr>
          <w:p>
            <w:pPr>
              <w:spacing w:after="0" w:before="0"/>
            </w:pPr>
            <w:r>
              <w:rPr>
                <w:rFonts w:ascii="Aptos" w:hAnsi="Aptos"/>
                <w:sz w:val="13"/>
              </w:rPr>
              <w:t>Open models and weights; broad task coverage; useful for shared representations and anomaly/drift support.</w:t>
            </w:r>
          </w:p>
        </w:tc>
        <w:tc>
          <w:tcPr>
            <w:tcW w:type="dxa" w:w="2232"/>
            <w:vAlign w:val="center"/>
          </w:tcPr>
          <w:p>
            <w:pPr>
              <w:spacing w:after="0" w:before="0"/>
            </w:pPr>
            <w:r>
              <w:rPr>
                <w:rFonts w:ascii="Aptos" w:hAnsi="Aptos"/>
                <w:sz w:val="13"/>
              </w:rPr>
              <w:t>A general multi-task model may be heavier than a forecasting-only model and still requires deployment-specific calibration.</w:t>
            </w:r>
          </w:p>
        </w:tc>
        <w:tc>
          <w:tcPr>
            <w:tcW w:type="dxa" w:w="2592"/>
            <w:vAlign w:val="center"/>
          </w:tcPr>
          <w:p>
            <w:pPr>
              <w:spacing w:after="0" w:before="0"/>
            </w:pPr>
            <w:r>
              <w:rPr>
                <w:rFonts w:ascii="Aptos" w:hAnsi="Aptos"/>
                <w:sz w:val="13"/>
              </w:rPr>
              <w:t>Use one representation for demand forecasting plus anomaly/drift detection in a streaming operations pipeline.</w:t>
            </w:r>
          </w:p>
        </w:tc>
        <w:tc>
          <w:tcPr>
            <w:tcW w:type="dxa" w:w="1655"/>
            <w:vAlign w:val="center"/>
          </w:tcPr>
          <w:p>
            <w:pPr>
              <w:spacing w:after="0" w:before="0"/>
            </w:pPr>
            <w:r>
              <w:rPr>
                <w:rFonts w:ascii="Aptos" w:hAnsi="Aptos"/>
                <w:sz w:val="13"/>
              </w:rPr>
              <w:t>Chirayu Sahu</w:t>
            </w:r>
          </w:p>
        </w:tc>
      </w:tr>
      <w:tr>
        <w:tc>
          <w:tcPr>
            <w:tcW w:type="dxa" w:w="2376"/>
            <w:vAlign w:val="center"/>
          </w:tcPr>
          <w:p>
            <w:pPr>
              <w:spacing w:after="0" w:before="0"/>
            </w:pPr>
            <w:r>
              <w:rPr>
                <w:rFonts w:ascii="Aptos" w:hAnsi="Aptos"/>
                <w:sz w:val="13"/>
              </w:rPr>
              <w:t>10. Timer: Generative Pre-trained Transformers Are Large Time Series Models (2024)</w:t>
            </w:r>
          </w:p>
        </w:tc>
        <w:tc>
          <w:tcPr>
            <w:tcW w:type="dxa" w:w="2376"/>
            <w:vAlign w:val="center"/>
          </w:tcPr>
          <w:p>
            <w:pPr>
              <w:spacing w:after="0" w:before="0"/>
            </w:pPr>
            <w:r>
              <w:rPr>
                <w:rFonts w:ascii="Aptos" w:hAnsi="Aptos"/>
                <w:sz w:val="13"/>
              </w:rPr>
              <w:t>GPT-style next-token pretraining after converting heterogeneous data into a single-series sequence format.</w:t>
            </w:r>
          </w:p>
        </w:tc>
        <w:tc>
          <w:tcPr>
            <w:tcW w:type="dxa" w:w="2088"/>
            <w:vAlign w:val="center"/>
          </w:tcPr>
          <w:p>
            <w:pPr>
              <w:spacing w:after="0" w:before="0"/>
            </w:pPr>
            <w:r>
              <w:rPr>
                <w:rFonts w:ascii="Aptos" w:hAnsi="Aptos"/>
                <w:sz w:val="13"/>
              </w:rPr>
              <w:t>Curated corpus containing up to one billion time points; evaluation includes forecasting, imputation, and anomaly detection.</w:t>
            </w:r>
          </w:p>
        </w:tc>
        <w:tc>
          <w:tcPr>
            <w:tcW w:type="dxa" w:w="2232"/>
            <w:vAlign w:val="center"/>
          </w:tcPr>
          <w:p>
            <w:pPr>
              <w:spacing w:after="0" w:before="0"/>
            </w:pPr>
            <w:r>
              <w:rPr>
                <w:rFonts w:ascii="Aptos" w:hAnsi="Aptos"/>
                <w:sz w:val="13"/>
              </w:rPr>
              <w:t>Unified generative formulation; supports multiple tasks and flexible adaptation.</w:t>
            </w:r>
          </w:p>
        </w:tc>
        <w:tc>
          <w:tcPr>
            <w:tcW w:type="dxa" w:w="2232"/>
            <w:vAlign w:val="center"/>
          </w:tcPr>
          <w:p>
            <w:pPr>
              <w:spacing w:after="0" w:before="0"/>
            </w:pPr>
            <w:r>
              <w:rPr>
                <w:rFonts w:ascii="Aptos" w:hAnsi="Aptos"/>
                <w:sz w:val="13"/>
              </w:rPr>
              <w:t>Autoregressive inference can accumulate error and increase latency for long horizons; generic tests do not prove scaling benefit.</w:t>
            </w:r>
          </w:p>
        </w:tc>
        <w:tc>
          <w:tcPr>
            <w:tcW w:type="dxa" w:w="2592"/>
            <w:vAlign w:val="center"/>
          </w:tcPr>
          <w:p>
            <w:pPr>
              <w:spacing w:after="0" w:before="0"/>
            </w:pPr>
            <w:r>
              <w:rPr>
                <w:rFonts w:ascii="Aptos" w:hAnsi="Aptos"/>
                <w:sz w:val="13"/>
              </w:rPr>
              <w:t>Measure error accumulation at operational horizons and compare direct versus autoregressive models for scaling.</w:t>
            </w:r>
          </w:p>
        </w:tc>
        <w:tc>
          <w:tcPr>
            <w:tcW w:type="dxa" w:w="1655"/>
            <w:vAlign w:val="center"/>
          </w:tcPr>
          <w:p>
            <w:pPr>
              <w:spacing w:after="0" w:before="0"/>
            </w:pPr>
            <w:r>
              <w:rPr>
                <w:rFonts w:ascii="Aptos" w:hAnsi="Aptos"/>
                <w:sz w:val="13"/>
              </w:rPr>
              <w:t>Chirayu Sahu</w:t>
            </w:r>
          </w:p>
        </w:tc>
      </w:tr>
      <w:tr>
        <w:tc>
          <w:tcPr>
            <w:tcW w:type="dxa" w:w="2376"/>
            <w:vAlign w:val="center"/>
          </w:tcPr>
          <w:p>
            <w:pPr>
              <w:spacing w:after="0" w:before="0"/>
            </w:pPr>
            <w:r>
              <w:rPr>
                <w:rFonts w:ascii="Aptos" w:hAnsi="Aptos"/>
                <w:sz w:val="13"/>
              </w:rPr>
              <w:t>11. Tiny Time Mixers: Fast Pre-trained Models for Enhanced Zero/Few-Shot Forecasting (2024)</w:t>
            </w:r>
          </w:p>
        </w:tc>
        <w:tc>
          <w:tcPr>
            <w:tcW w:type="dxa" w:w="2376"/>
            <w:vAlign w:val="center"/>
          </w:tcPr>
          <w:p>
            <w:pPr>
              <w:spacing w:after="0" w:before="0"/>
            </w:pPr>
            <w:r>
              <w:rPr>
                <w:rFonts w:ascii="Aptos" w:hAnsi="Aptos"/>
                <w:sz w:val="13"/>
              </w:rPr>
              <w:t>Compact TSMixer-based model with adaptive patching, multi-resolution sampling, prefix tuning, and optional exogenous inputs.</w:t>
            </w:r>
          </w:p>
        </w:tc>
        <w:tc>
          <w:tcPr>
            <w:tcW w:type="dxa" w:w="2088"/>
            <w:vAlign w:val="center"/>
          </w:tcPr>
          <w:p>
            <w:pPr>
              <w:spacing w:after="0" w:before="0"/>
            </w:pPr>
            <w:r>
              <w:rPr>
                <w:rFonts w:ascii="Aptos" w:hAnsi="Aptos"/>
                <w:sz w:val="13"/>
              </w:rPr>
              <w:t>Public multivariate time-series datasets across diverse resolutions.</w:t>
            </w:r>
          </w:p>
        </w:tc>
        <w:tc>
          <w:tcPr>
            <w:tcW w:type="dxa" w:w="2232"/>
            <w:vAlign w:val="center"/>
          </w:tcPr>
          <w:p>
            <w:pPr>
              <w:spacing w:after="0" w:before="0"/>
            </w:pPr>
            <w:r>
              <w:rPr>
                <w:rFonts w:ascii="Aptos" w:hAnsi="Aptos"/>
                <w:sz w:val="13"/>
              </w:rPr>
              <w:t>Approximately one-million-parameter class; CPU-friendly; reports strong zero/few-shot efficiency.</w:t>
            </w:r>
          </w:p>
        </w:tc>
        <w:tc>
          <w:tcPr>
            <w:tcW w:type="dxa" w:w="2232"/>
            <w:vAlign w:val="center"/>
          </w:tcPr>
          <w:p>
            <w:pPr>
              <w:spacing w:after="0" w:before="0"/>
            </w:pPr>
            <w:r>
              <w:rPr>
                <w:rFonts w:ascii="Aptos" w:hAnsi="Aptos"/>
                <w:sz w:val="13"/>
              </w:rPr>
              <w:t>Smaller capacity may struggle with rare flash-crowd patterns; uncertainty output is not the central design.</w:t>
            </w:r>
          </w:p>
        </w:tc>
        <w:tc>
          <w:tcPr>
            <w:tcW w:type="dxa" w:w="2592"/>
            <w:vAlign w:val="center"/>
          </w:tcPr>
          <w:p>
            <w:pPr>
              <w:spacing w:after="0" w:before="0"/>
            </w:pPr>
            <w:r>
              <w:rPr>
                <w:rFonts w:ascii="Aptos" w:hAnsi="Aptos"/>
                <w:sz w:val="13"/>
              </w:rPr>
              <w:t>Determine whether a lightweight model delivers the best accuracy-latency-cost trade-off for frequent cloud inference.</w:t>
            </w:r>
          </w:p>
        </w:tc>
        <w:tc>
          <w:tcPr>
            <w:tcW w:type="dxa" w:w="1655"/>
            <w:vAlign w:val="center"/>
          </w:tcPr>
          <w:p>
            <w:pPr>
              <w:spacing w:after="0" w:before="0"/>
            </w:pPr>
            <w:r>
              <w:rPr>
                <w:rFonts w:ascii="Aptos" w:hAnsi="Aptos"/>
                <w:sz w:val="13"/>
              </w:rPr>
              <w:t>Sujal Agarwal</w:t>
            </w:r>
          </w:p>
        </w:tc>
      </w:tr>
      <w:tr>
        <w:tc>
          <w:tcPr>
            <w:tcW w:type="dxa" w:w="2376"/>
            <w:vAlign w:val="center"/>
          </w:tcPr>
          <w:p>
            <w:pPr>
              <w:spacing w:after="0" w:before="0"/>
            </w:pPr>
            <w:r>
              <w:rPr>
                <w:rFonts w:ascii="Aptos" w:hAnsi="Aptos"/>
                <w:sz w:val="13"/>
              </w:rPr>
              <w:t>12. Time-MoE: Billion-Scale Time Series Foundation Models with Mixture of Experts (2025)</w:t>
            </w:r>
          </w:p>
        </w:tc>
        <w:tc>
          <w:tcPr>
            <w:tcW w:type="dxa" w:w="2376"/>
            <w:vAlign w:val="center"/>
          </w:tcPr>
          <w:p>
            <w:pPr>
              <w:spacing w:after="0" w:before="0"/>
            </w:pPr>
            <w:r>
              <w:rPr>
                <w:rFonts w:ascii="Aptos" w:hAnsi="Aptos"/>
                <w:sz w:val="13"/>
              </w:rPr>
              <w:t>Sparse mixture-of-experts decoder-only models that activate a subset of experts per token and support flexible contexts/horizons.</w:t>
            </w:r>
          </w:p>
        </w:tc>
        <w:tc>
          <w:tcPr>
            <w:tcW w:type="dxa" w:w="2088"/>
            <w:vAlign w:val="center"/>
          </w:tcPr>
          <w:p>
            <w:pPr>
              <w:spacing w:after="0" w:before="0"/>
            </w:pPr>
            <w:r>
              <w:rPr>
                <w:rFonts w:ascii="Aptos" w:hAnsi="Aptos"/>
                <w:sz w:val="13"/>
              </w:rPr>
              <w:t>Time-300B: more than 300 billion time points across over nine domains.</w:t>
            </w:r>
          </w:p>
        </w:tc>
        <w:tc>
          <w:tcPr>
            <w:tcW w:type="dxa" w:w="2232"/>
            <w:vAlign w:val="center"/>
          </w:tcPr>
          <w:p>
            <w:pPr>
              <w:spacing w:after="0" w:before="0"/>
            </w:pPr>
            <w:r>
              <w:rPr>
                <w:rFonts w:ascii="Aptos" w:hAnsi="Aptos"/>
                <w:sz w:val="13"/>
              </w:rPr>
              <w:t>High model capacity with lower activated compute than dense models; demonstrates time-series scaling laws.</w:t>
            </w:r>
          </w:p>
        </w:tc>
        <w:tc>
          <w:tcPr>
            <w:tcW w:type="dxa" w:w="2232"/>
            <w:vAlign w:val="center"/>
          </w:tcPr>
          <w:p>
            <w:pPr>
              <w:spacing w:after="0" w:before="0"/>
            </w:pPr>
            <w:r>
              <w:rPr>
                <w:rFonts w:ascii="Aptos" w:hAnsi="Aptos"/>
                <w:sz w:val="13"/>
              </w:rPr>
              <w:t>Large checkpoints remain demanding to host and fine-tune; operational benefit may not offset cost for small teams.</w:t>
            </w:r>
          </w:p>
        </w:tc>
        <w:tc>
          <w:tcPr>
            <w:tcW w:type="dxa" w:w="2592"/>
            <w:vAlign w:val="center"/>
          </w:tcPr>
          <w:p>
            <w:pPr>
              <w:spacing w:after="0" w:before="0"/>
            </w:pPr>
            <w:r>
              <w:rPr>
                <w:rFonts w:ascii="Aptos" w:hAnsi="Aptos"/>
                <w:sz w:val="13"/>
              </w:rPr>
              <w:t>Compare large sparse models with tiny models under a strict cloud inference budget and latency target.</w:t>
            </w:r>
          </w:p>
        </w:tc>
        <w:tc>
          <w:tcPr>
            <w:tcW w:type="dxa" w:w="1655"/>
            <w:vAlign w:val="center"/>
          </w:tcPr>
          <w:p>
            <w:pPr>
              <w:spacing w:after="0" w:before="0"/>
            </w:pPr>
            <w:r>
              <w:rPr>
                <w:rFonts w:ascii="Aptos" w:hAnsi="Aptos"/>
                <w:sz w:val="13"/>
              </w:rPr>
              <w:t>Sujal Agarwal</w:t>
            </w:r>
          </w:p>
        </w:tc>
      </w:tr>
      <w:tr>
        <w:tc>
          <w:tcPr>
            <w:tcW w:type="dxa" w:w="2376"/>
            <w:vAlign w:val="center"/>
          </w:tcPr>
          <w:p>
            <w:pPr>
              <w:spacing w:after="0" w:before="0"/>
            </w:pPr>
            <w:r>
              <w:rPr>
                <w:rFonts w:ascii="Aptos" w:hAnsi="Aptos"/>
                <w:sz w:val="13"/>
              </w:rPr>
              <w:t>13. UniTS: A Unified Multi-Task Time Series Model (2024)</w:t>
            </w:r>
          </w:p>
        </w:tc>
        <w:tc>
          <w:tcPr>
            <w:tcW w:type="dxa" w:w="2376"/>
            <w:vAlign w:val="center"/>
          </w:tcPr>
          <w:p>
            <w:pPr>
              <w:spacing w:after="0" w:before="0"/>
            </w:pPr>
            <w:r>
              <w:rPr>
                <w:rFonts w:ascii="Aptos" w:hAnsi="Aptos"/>
                <w:sz w:val="13"/>
              </w:rPr>
              <w:t>Task tokenization, time/variable attention, dynamic linear operators, and masked reconstruction for shared multi-task learning.</w:t>
            </w:r>
          </w:p>
        </w:tc>
        <w:tc>
          <w:tcPr>
            <w:tcW w:type="dxa" w:w="2088"/>
            <w:vAlign w:val="center"/>
          </w:tcPr>
          <w:p>
            <w:pPr>
              <w:spacing w:after="0" w:before="0"/>
            </w:pPr>
            <w:r>
              <w:rPr>
                <w:rFonts w:ascii="Aptos" w:hAnsi="Aptos"/>
                <w:sz w:val="13"/>
              </w:rPr>
              <w:t>38 datasets across human activity, healthcare, engineering, finance, and forecasting domains.</w:t>
            </w:r>
          </w:p>
        </w:tc>
        <w:tc>
          <w:tcPr>
            <w:tcW w:type="dxa" w:w="2232"/>
            <w:vAlign w:val="center"/>
          </w:tcPr>
          <w:p>
            <w:pPr>
              <w:spacing w:after="0" w:before="0"/>
            </w:pPr>
            <w:r>
              <w:rPr>
                <w:rFonts w:ascii="Aptos" w:hAnsi="Aptos"/>
                <w:sz w:val="13"/>
              </w:rPr>
              <w:t>One shared model supports forecasting, imputation, anomaly detection, and classification with few/zero-shot capability.</w:t>
            </w:r>
          </w:p>
        </w:tc>
        <w:tc>
          <w:tcPr>
            <w:tcW w:type="dxa" w:w="2232"/>
            <w:vAlign w:val="center"/>
          </w:tcPr>
          <w:p>
            <w:pPr>
              <w:spacing w:after="0" w:before="0"/>
            </w:pPr>
            <w:r>
              <w:rPr>
                <w:rFonts w:ascii="Aptos" w:hAnsi="Aptos"/>
                <w:sz w:val="13"/>
              </w:rPr>
              <w:t>Multi-task scope increases complexity; specialization and probability calibration for demand forecasting may be weaker.</w:t>
            </w:r>
          </w:p>
        </w:tc>
        <w:tc>
          <w:tcPr>
            <w:tcW w:type="dxa" w:w="2592"/>
            <w:vAlign w:val="center"/>
          </w:tcPr>
          <w:p>
            <w:pPr>
              <w:spacing w:after="0" w:before="0"/>
            </w:pPr>
            <w:r>
              <w:rPr>
                <w:rFonts w:ascii="Aptos" w:hAnsi="Aptos"/>
                <w:sz w:val="13"/>
              </w:rPr>
              <w:t>Combine forecast, imputation, and anomaly detection while preserving reliable capacity decisions under missing telemetry.</w:t>
            </w:r>
          </w:p>
        </w:tc>
        <w:tc>
          <w:tcPr>
            <w:tcW w:type="dxa" w:w="1655"/>
            <w:vAlign w:val="center"/>
          </w:tcPr>
          <w:p>
            <w:pPr>
              <w:spacing w:after="0" w:before="0"/>
            </w:pPr>
            <w:r>
              <w:rPr>
                <w:rFonts w:ascii="Aptos" w:hAnsi="Aptos"/>
                <w:sz w:val="13"/>
              </w:rPr>
              <w:t>Sujal Agarwal</w:t>
            </w:r>
          </w:p>
        </w:tc>
      </w:tr>
      <w:tr>
        <w:tc>
          <w:tcPr>
            <w:tcW w:type="dxa" w:w="2376"/>
            <w:vAlign w:val="center"/>
          </w:tcPr>
          <w:p>
            <w:pPr>
              <w:spacing w:after="0" w:before="0"/>
            </w:pPr>
            <w:r>
              <w:rPr>
                <w:rFonts w:ascii="Aptos" w:hAnsi="Aptos"/>
                <w:sz w:val="13"/>
              </w:rPr>
              <w:t>14. Forecasting Workload in Cloud Computing: Uncertainty-Aware Predictions and Transfer Learning (2023)</w:t>
            </w:r>
          </w:p>
        </w:tc>
        <w:tc>
          <w:tcPr>
            <w:tcW w:type="dxa" w:w="2376"/>
            <w:vAlign w:val="center"/>
          </w:tcPr>
          <w:p>
            <w:pPr>
              <w:spacing w:after="0" w:before="0"/>
            </w:pPr>
            <w:r>
              <w:rPr>
                <w:rFonts w:ascii="Aptos" w:hAnsi="Aptos"/>
                <w:sz w:val="13"/>
              </w:rPr>
              <w:t>Bayesian deep-learning models provide workload forecasts and predictive uncertainty; tests transfer across providers.</w:t>
            </w:r>
          </w:p>
        </w:tc>
        <w:tc>
          <w:tcPr>
            <w:tcW w:type="dxa" w:w="2088"/>
            <w:vAlign w:val="center"/>
          </w:tcPr>
          <w:p>
            <w:pPr>
              <w:spacing w:after="0" w:before="0"/>
            </w:pPr>
            <w:r>
              <w:rPr>
                <w:rFonts w:ascii="Aptos" w:hAnsi="Aptos"/>
                <w:sz w:val="13"/>
              </w:rPr>
              <w:t>Google and Alibaba cluster workload traces.</w:t>
            </w:r>
          </w:p>
        </w:tc>
        <w:tc>
          <w:tcPr>
            <w:tcW w:type="dxa" w:w="2232"/>
            <w:vAlign w:val="center"/>
          </w:tcPr>
          <w:p>
            <w:pPr>
              <w:spacing w:after="0" w:before="0"/>
            </w:pPr>
            <w:r>
              <w:rPr>
                <w:rFonts w:ascii="Aptos" w:hAnsi="Aptos"/>
                <w:sz w:val="13"/>
              </w:rPr>
              <w:t>Directly connects uncertainty to service-level targets; evaluates transfer learning and cloud workload behavior.</w:t>
            </w:r>
          </w:p>
        </w:tc>
        <w:tc>
          <w:tcPr>
            <w:tcW w:type="dxa" w:w="2232"/>
            <w:vAlign w:val="center"/>
          </w:tcPr>
          <w:p>
            <w:pPr>
              <w:spacing w:after="0" w:before="0"/>
            </w:pPr>
            <w:r>
              <w:rPr>
                <w:rFonts w:ascii="Aptos" w:hAnsi="Aptos"/>
                <w:sz w:val="13"/>
              </w:rPr>
              <w:t>Not a foundation model; cross-provider transfer degrades when distributions differ; no video-specific event context.</w:t>
            </w:r>
          </w:p>
        </w:tc>
        <w:tc>
          <w:tcPr>
            <w:tcW w:type="dxa" w:w="2592"/>
            <w:vAlign w:val="center"/>
          </w:tcPr>
          <w:p>
            <w:pPr>
              <w:spacing w:after="0" w:before="0"/>
            </w:pPr>
            <w:r>
              <w:rPr>
                <w:rFonts w:ascii="Aptos" w:hAnsi="Aptos"/>
                <w:sz w:val="13"/>
              </w:rPr>
              <w:t>Use TSFM transfer with calibrated uncertainty and streaming-specific features rather than relying on generic cluster transfer.</w:t>
            </w:r>
          </w:p>
        </w:tc>
        <w:tc>
          <w:tcPr>
            <w:tcW w:type="dxa" w:w="1655"/>
            <w:vAlign w:val="center"/>
          </w:tcPr>
          <w:p>
            <w:pPr>
              <w:spacing w:after="0" w:before="0"/>
            </w:pPr>
            <w:r>
              <w:rPr>
                <w:rFonts w:ascii="Aptos" w:hAnsi="Aptos"/>
                <w:sz w:val="13"/>
              </w:rPr>
              <w:t>Sujal Agarwal</w:t>
            </w:r>
          </w:p>
        </w:tc>
      </w:tr>
      <w:tr>
        <w:tc>
          <w:tcPr>
            <w:tcW w:type="dxa" w:w="2376"/>
            <w:vAlign w:val="center"/>
          </w:tcPr>
          <w:p>
            <w:pPr>
              <w:spacing w:after="0" w:before="0"/>
            </w:pPr>
            <w:r>
              <w:rPr>
                <w:rFonts w:ascii="Aptos" w:hAnsi="Aptos"/>
                <w:sz w:val="13"/>
              </w:rPr>
              <w:t>15. AHPA: Adaptive Horizontal Pod Autoscaling on Alibaba Cloud Kubernetes (2023)</w:t>
            </w:r>
          </w:p>
        </w:tc>
        <w:tc>
          <w:tcPr>
            <w:tcW w:type="dxa" w:w="2376"/>
            <w:vAlign w:val="center"/>
          </w:tcPr>
          <w:p>
            <w:pPr>
              <w:spacing w:after="0" w:before="0"/>
            </w:pPr>
            <w:r>
              <w:rPr>
                <w:rFonts w:ascii="Aptos" w:hAnsi="Aptos"/>
                <w:sz w:val="13"/>
              </w:rPr>
              <w:t>Combines robust decomposition forecasting with a performance model to produce proactive pod-count plans.</w:t>
            </w:r>
          </w:p>
        </w:tc>
        <w:tc>
          <w:tcPr>
            <w:tcW w:type="dxa" w:w="2088"/>
            <w:vAlign w:val="center"/>
          </w:tcPr>
          <w:p>
            <w:pPr>
              <w:spacing w:after="0" w:before="0"/>
            </w:pPr>
            <w:r>
              <w:rPr>
                <w:rFonts w:ascii="Aptos" w:hAnsi="Aptos"/>
                <w:sz w:val="13"/>
              </w:rPr>
              <w:t>Alibaba production Kubernetes workloads, including logistics, social networks, e-commerce, and AI audio/video scenarios.</w:t>
            </w:r>
          </w:p>
        </w:tc>
        <w:tc>
          <w:tcPr>
            <w:tcW w:type="dxa" w:w="2232"/>
            <w:vAlign w:val="center"/>
          </w:tcPr>
          <w:p>
            <w:pPr>
              <w:spacing w:after="0" w:before="0"/>
            </w:pPr>
            <w:r>
              <w:rPr>
                <w:rFonts w:ascii="Aptos" w:hAnsi="Aptos"/>
                <w:sz w:val="13"/>
              </w:rPr>
              <w:t>Operational deployment evidence; reports higher CPU utilization and lower resource cost while maintaining stability.</w:t>
            </w:r>
          </w:p>
        </w:tc>
        <w:tc>
          <w:tcPr>
            <w:tcW w:type="dxa" w:w="2232"/>
            <w:vAlign w:val="center"/>
          </w:tcPr>
          <w:p>
            <w:pPr>
              <w:spacing w:after="0" w:before="0"/>
            </w:pPr>
            <w:r>
              <w:rPr>
                <w:rFonts w:ascii="Aptos" w:hAnsi="Aptos"/>
                <w:sz w:val="13"/>
              </w:rPr>
              <w:t>Implementation details and data are platform-specific; does not evaluate modern TSFMs or open streaming benchmarks.</w:t>
            </w:r>
          </w:p>
        </w:tc>
        <w:tc>
          <w:tcPr>
            <w:tcW w:type="dxa" w:w="2592"/>
            <w:vAlign w:val="center"/>
          </w:tcPr>
          <w:p>
            <w:pPr>
              <w:spacing w:after="0" w:before="0"/>
            </w:pPr>
            <w:r>
              <w:rPr>
                <w:rFonts w:ascii="Aptos" w:hAnsi="Aptos"/>
                <w:sz w:val="13"/>
              </w:rPr>
              <w:t>Build a reproducible AWS framework using open models, explicit uncertainty, and transparent cost/SLA metrics.</w:t>
            </w:r>
          </w:p>
        </w:tc>
        <w:tc>
          <w:tcPr>
            <w:tcW w:type="dxa" w:w="1655"/>
            <w:vAlign w:val="center"/>
          </w:tcPr>
          <w:p>
            <w:pPr>
              <w:spacing w:after="0" w:before="0"/>
            </w:pPr>
            <w:r>
              <w:rPr>
                <w:rFonts w:ascii="Aptos" w:hAnsi="Aptos"/>
                <w:sz w:val="13"/>
              </w:rPr>
              <w:t>Sujal Agarwal</w:t>
            </w:r>
          </w:p>
        </w:tc>
      </w:tr>
    </w:tbl>
    <w:p>
      <w:pPr>
        <w:sectPr>
          <w:pgSz w:w="15840" w:h="12240" w:orient="landscape"/>
          <w:pgMar w:top="648" w:right="605" w:bottom="648" w:left="605" w:header="720" w:footer="720" w:gutter="0"/>
          <w:cols w:space="720"/>
          <w:docGrid w:linePitch="360"/>
        </w:sectPr>
      </w:pPr>
    </w:p>
    <w:p>
      <w:pPr>
        <w:pStyle w:val="Heading1"/>
        <w:keepNext/>
      </w:pPr>
      <w:r>
        <w:t>7. Individual Research Gap Analysis</w:t>
      </w:r>
    </w:p>
    <w:p>
      <w:pPr>
        <w:pStyle w:val="Heading2"/>
        <w:keepNext/>
      </w:pPr>
      <w:r>
        <w:t>Piyush Sagar (24BIT0620)</w:t>
      </w:r>
    </w:p>
    <w:p>
      <w:pPr>
        <w:pStyle w:val="Heading3"/>
        <w:keepNext/>
      </w:pPr>
      <w:r>
        <w:t>Paper 1: A Time Series is Worth 64 Words: Long-term Forecasting with Transformers (PatchTST)</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Channel-independent Transformer using subseries patches as tokens; includes supervised and self-supervised variants.</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Efficient long-context modeling; patching captures local patterns; strong multivariate forecasting accuracy.</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Typically trained for a target dataset; no direct capacity-decision logic or calibrated operational safety buffer.</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Adapt patch representations to streaming metrics and evaluate whether forecast gains reduce SLA violations and cost.</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2: One Fits All: Power General Time Series Analysis by Pretrained LM</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Repurposes frozen pretrained language/image Transformers and fine-tunes limited components for forecasting, classification, and anomaly detection.</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Demonstrates transfer of generic pretrained representations across several time-series tasks.</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Modality mismatch can add overhead; performance depends on adaptation choices; not designed for real-time autoscaling.</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Determine whether repurposed LMs justify their compute cost for short-horizon streaming capacity planning.</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3: Lag-Llama: Towards Foundation Models for Probabilistic Time Series Forecasting</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Decoder-only Transformer using lag features as covariates to produce probabilistic univariate forecasts.</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Probabilistic output; strong zero-shot behavior; fine-tuning works with limited target data.</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Primarily univariate; limited native handling of rich cross-metric and event context; deployment cost must be tested.</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Extend probabilistic forecasting to multivariate streaming demand and convert distributions into capacity risk controls.</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4: TEMPO: Prompt-based Generative Pre-trained Transformer for Time Series Forecasting</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Combines trend-seasonal-residual decomposition with learned prompts in a generative Transformer.</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Explicitly models temporal components; supports zero-shot distribution adaptation and multimodal inputs.</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Prompt selection and decomposition add design complexity; operational calibration is not the main focus.</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Use event and workload prompts for streaming spikes and test robustness under abrupt distribution shifts.</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5: Time-LLM: Time Series Forecasting by Reprogramming Large Language Models</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Reprograms time-series patches into the representation space of a frozen LLM using prototype-based alignment and prompt context.</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Uses pretrained LLM knowledge without full retraining; flexible contextual prompting.</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Large model footprint and inference latency may be excessive for frequent scaling decisions; confidence calibration is limited.</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Benchmark accuracy-per-cost and latency against native TSFMs for five-minute operational forecasts.</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2"/>
        <w:keepNext/>
      </w:pPr>
      <w:r>
        <w:t>Chirayu Sahu (24BIT0622)</w:t>
      </w:r>
    </w:p>
    <w:p>
      <w:pPr>
        <w:pStyle w:val="Heading3"/>
        <w:keepNext/>
      </w:pPr>
      <w:r>
        <w:t>Paper 6: Chronos: Learning the Language of Time Series</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Scales and quantizes numeric values into tokens and trains T5-style models with cross-entropy to sample probabilistic futures.</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Simple probabilistic framework; strong zero-shot performance; multiple model sizes.</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Quantization may lose fine-grained magnitude information; original design is mainly univariate and generic.</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Assess calibration on bursty demand and combine multiple operational metrics and event context.</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7: A Decoder-only Foundation Model for Time-Series Forecasting (TimesFM)</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Patch-based decoder-only foundation model pretrained for direct multi-horizon forecasting.</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Competitive zero-shot accuracy and practical direct forecasting; strong scaling behavior.</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Native support for exogenous variables and uncertainty depends on version/configuration; hosted inference cost must be measured.</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Evaluate TimesFM on regional streaming demand and integrate quantile or ensemble uncertainty into provisioning.</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8: Unified Training of Universal Time Series Forecasting Transformers (Moirai)</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Masked encoder with multi-patch projections, any-variate attention, and mixture-distribution prediction.</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Handles varied frequencies, arbitrary numbers of variables, and probabilistic distributions; strong zero-shot results.</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Model and preprocessing complexity can raise latency and operational cost; not evaluated as a scaling controller.</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Test multivariate forecast quality versus inference cost and connect mixture distributions to SLA-aware headroom.</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9: MOMENT: A Family of Open Time-series Foundation Models</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Masked pretraining over the Time Series Pile for forecasting, classification, anomaly detection, and imputation.</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Open models and weights; broad task coverage; useful for shared representations and anomaly/drift support.</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A general multi-task model may be heavier than a forecasting-only model and still requires deployment-specific calibration.</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Use one representation for demand forecasting plus anomaly/drift detection in a streaming operations pipeline.</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10: Timer: Generative Pre-trained Transformers Are Large Time Series Models</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GPT-style next-token pretraining after converting heterogeneous data into a single-series sequence format.</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Unified generative formulation; supports multiple tasks and flexible adaptation.</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Autoregressive inference can accumulate error and increase latency for long horizons; generic tests do not prove scaling benefit.</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Measure error accumulation at operational horizons and compare direct versus autoregressive models for scaling.</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2"/>
        <w:keepNext/>
      </w:pPr>
      <w:r>
        <w:t>Sujal Agarwal (24BIT0623)</w:t>
      </w:r>
    </w:p>
    <w:p>
      <w:pPr>
        <w:pStyle w:val="Heading3"/>
        <w:keepNext/>
      </w:pPr>
      <w:r>
        <w:t>Paper 11: Tiny Time Mixers: Fast Pre-trained Models for Enhanced Zero/Few-Shot Forecasting</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Compact TSMixer-based model with adaptive patching, multi-resolution sampling, prefix tuning, and optional exogenous inputs.</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Approximately one-million-parameter class; CPU-friendly; reports strong zero/few-shot efficiency.</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Smaller capacity may struggle with rare flash-crowd patterns; uncertainty output is not the central design.</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Determine whether a lightweight model delivers the best accuracy-latency-cost trade-off for frequent cloud inference.</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12: Time-MoE: Billion-Scale Time Series Foundation Models with Mixture of Experts</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Sparse mixture-of-experts decoder-only models that activate a subset of experts per token and support flexible contexts/horizons.</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High model capacity with lower activated compute than dense models; demonstrates time-series scaling laws.</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Large checkpoints remain demanding to host and fine-tune; operational benefit may not offset cost for small teams.</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Compare large sparse models with tiny models under a strict cloud inference budget and latency target.</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13: UniTS: A Unified Multi-Task Time Series Model</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Task tokenization, time/variable attention, dynamic linear operators, and masked reconstruction for shared multi-task learning.</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One shared model supports forecasting, imputation, anomaly detection, and classification with few/zero-shot capability.</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Multi-task scope increases complexity; specialization and probability calibration for demand forecasting may be weaker.</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Combine forecast, imputation, and anomaly detection while preserving reliable capacity decisions under missing telemetry.</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14: Forecasting Workload in Cloud Computing: Uncertainty-Aware Predictions and Transfer Learning</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Bayesian deep-learning models provide workload forecasts and predictive uncertainty; tests transfer across providers.</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Directly connects uncertainty to service-level targets; evaluates transfer learning and cloud workload behavior.</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Not a foundation model; cross-provider transfer degrades when distributions differ; no video-specific event context.</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Use TSFM transfer with calibrated uncertainty and streaming-specific features rather than relying on generic cluster transfer.</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3"/>
        <w:keepNext/>
      </w:pPr>
      <w:r>
        <w:t>Paper 15: AHPA: Adaptive Horizontal Pod Autoscaling on Alibaba Cloud Kubernetes</w:t>
      </w:r>
    </w:p>
    <w:tbl>
      <w:tblPr>
        <w:tblStyle w:val="TableGrid"/>
        <w:tblW w:type="auto" w:w="0"/>
        <w:jc w:val="center"/>
        <w:tblLook w:firstColumn="1" w:firstRow="1" w:lastColumn="0" w:lastRow="0" w:noHBand="0" w:noVBand="1" w:val="04A0"/>
      </w:tblPr>
      <w:tblGrid>
        <w:gridCol w:w="5083"/>
        <w:gridCol w:w="5083"/>
      </w:tblGrid>
      <w:tr>
        <w:tc>
          <w:tcPr>
            <w:tcW w:type="dxa" w:w="5083"/>
            <w:shd w:fill="EAF0F7"/>
            <w:vAlign w:val="center"/>
          </w:tcPr>
          <w:p>
            <w:pPr>
              <w:spacing w:after="0" w:before="0"/>
            </w:pPr>
            <w:r>
              <w:rPr>
                <w:rFonts w:ascii="Aptos" w:hAnsi="Aptos"/>
                <w:b/>
                <w:sz w:val="17"/>
              </w:rPr>
              <w:t>Existing Method</w:t>
            </w:r>
          </w:p>
        </w:tc>
        <w:tc>
          <w:tcPr>
            <w:tcW w:type="dxa" w:w="5083"/>
            <w:vAlign w:val="center"/>
          </w:tcPr>
          <w:p>
            <w:pPr>
              <w:spacing w:after="0" w:before="0"/>
            </w:pPr>
            <w:r>
              <w:rPr>
                <w:rFonts w:ascii="Aptos" w:hAnsi="Aptos"/>
                <w:sz w:val="17"/>
              </w:rPr>
              <w:t>Combines robust decomposition forecasting with a performance model to produce proactive pod-count plans.</w:t>
            </w:r>
          </w:p>
        </w:tc>
      </w:tr>
      <w:tr>
        <w:tc>
          <w:tcPr>
            <w:tcW w:type="dxa" w:w="5083"/>
            <w:shd w:fill="EAF0F7"/>
            <w:vAlign w:val="center"/>
          </w:tcPr>
          <w:p>
            <w:pPr>
              <w:spacing w:after="0" w:before="0"/>
            </w:pPr>
            <w:r>
              <w:rPr>
                <w:rFonts w:ascii="Aptos" w:hAnsi="Aptos"/>
                <w:b/>
                <w:sz w:val="17"/>
              </w:rPr>
              <w:t>Advantages</w:t>
            </w:r>
          </w:p>
        </w:tc>
        <w:tc>
          <w:tcPr>
            <w:tcW w:type="dxa" w:w="5083"/>
            <w:vAlign w:val="center"/>
          </w:tcPr>
          <w:p>
            <w:pPr>
              <w:spacing w:after="0" w:before="0"/>
            </w:pPr>
            <w:r>
              <w:rPr>
                <w:rFonts w:ascii="Aptos" w:hAnsi="Aptos"/>
                <w:sz w:val="17"/>
              </w:rPr>
              <w:t>Operational deployment evidence; reports higher CPU utilization and lower resource cost while maintaining stability.</w:t>
            </w:r>
          </w:p>
        </w:tc>
      </w:tr>
      <w:tr>
        <w:tc>
          <w:tcPr>
            <w:tcW w:type="dxa" w:w="5083"/>
            <w:shd w:fill="EAF0F7"/>
            <w:vAlign w:val="center"/>
          </w:tcPr>
          <w:p>
            <w:pPr>
              <w:spacing w:after="0" w:before="0"/>
            </w:pPr>
            <w:r>
              <w:rPr>
                <w:rFonts w:ascii="Aptos" w:hAnsi="Aptos"/>
                <w:b/>
                <w:sz w:val="17"/>
              </w:rPr>
              <w:t>Limitations</w:t>
            </w:r>
          </w:p>
        </w:tc>
        <w:tc>
          <w:tcPr>
            <w:tcW w:type="dxa" w:w="5083"/>
            <w:vAlign w:val="center"/>
          </w:tcPr>
          <w:p>
            <w:pPr>
              <w:spacing w:after="0" w:before="0"/>
            </w:pPr>
            <w:r>
              <w:rPr>
                <w:rFonts w:ascii="Aptos" w:hAnsi="Aptos"/>
                <w:sz w:val="17"/>
              </w:rPr>
              <w:t>Implementation details and data are platform-specific; does not evaluate modern TSFMs or open streaming benchmarks.</w:t>
            </w:r>
          </w:p>
        </w:tc>
      </w:tr>
      <w:tr>
        <w:tc>
          <w:tcPr>
            <w:tcW w:type="dxa" w:w="5083"/>
            <w:shd w:fill="EAF0F7"/>
            <w:vAlign w:val="center"/>
          </w:tcPr>
          <w:p>
            <w:pPr>
              <w:spacing w:after="0" w:before="0"/>
            </w:pPr>
            <w:r>
              <w:rPr>
                <w:rFonts w:ascii="Aptos" w:hAnsi="Aptos"/>
                <w:b/>
                <w:sz w:val="17"/>
              </w:rPr>
              <w:t>Research Gap</w:t>
            </w:r>
          </w:p>
        </w:tc>
        <w:tc>
          <w:tcPr>
            <w:tcW w:type="dxa" w:w="5083"/>
            <w:vAlign w:val="center"/>
          </w:tcPr>
          <w:p>
            <w:pPr>
              <w:spacing w:after="0" w:before="0"/>
            </w:pPr>
            <w:r>
              <w:rPr>
                <w:rFonts w:ascii="Aptos" w:hAnsi="Aptos"/>
                <w:sz w:val="17"/>
              </w:rPr>
              <w:t>Build a reproducible AWS framework using open models, explicit uncertainty, and transparent cost/SLA metrics.</w:t>
            </w:r>
          </w:p>
        </w:tc>
      </w:tr>
      <w:tr>
        <w:tc>
          <w:tcPr>
            <w:tcW w:type="dxa" w:w="5083"/>
            <w:shd w:fill="EAF0F7"/>
            <w:vAlign w:val="center"/>
          </w:tcPr>
          <w:p>
            <w:pPr>
              <w:spacing w:after="0" w:before="0"/>
            </w:pPr>
            <w:r>
              <w:rPr>
                <w:rFonts w:ascii="Aptos" w:hAnsi="Aptos"/>
                <w:b/>
                <w:sz w:val="17"/>
              </w:rPr>
              <w:t>Possible Improvement</w:t>
            </w:r>
          </w:p>
        </w:tc>
        <w:tc>
          <w:tcPr>
            <w:tcW w:type="dxa" w:w="5083"/>
            <w:vAlign w:val="center"/>
          </w:tcPr>
          <w:p>
            <w:pPr>
              <w:spacing w:after="0" w:before="0"/>
            </w:pPr>
            <w:r>
              <w:rPr>
                <w:rFonts w:ascii="Aptos" w:hAnsi="Aptos"/>
                <w:sz w:val="17"/>
              </w:rPr>
              <w:t>Benchmark the method on five-minute multivariate streaming-style metrics; add calibrated uncertainty, event context, and a forecast-to-capacity policy with guardrails.</w:t>
            </w:r>
          </w:p>
        </w:tc>
      </w:tr>
    </w:tbl>
    <w:p/>
    <w:p>
      <w:pPr>
        <w:pStyle w:val="Heading1"/>
        <w:keepNext/>
      </w:pPr>
      <w:r>
        <w:t>8. Consolidated Research Gap</w:t>
      </w:r>
    </w:p>
    <w:p>
      <w:pPr>
        <w:jc w:val="both"/>
      </w:pPr>
      <w:r>
        <w:rPr>
          <w:rFonts w:ascii="Aptos" w:hAnsi="Aptos"/>
          <w:b/>
          <w:sz w:val="20"/>
        </w:rPr>
        <w:t xml:space="preserve">Core gap. </w:t>
      </w:r>
      <w:r>
        <w:rPr>
          <w:rFonts w:ascii="Aptos" w:hAnsi="Aptos"/>
          <w:sz w:val="20"/>
        </w:rPr>
        <w:t>Recent time-series foundation models demonstrate impressive zero-shot and few-shot forecasting, but most studies stop at benchmark accuracy. Cloud autoscaling studies, in contrast, often use task-specific forecasting models and proprietary platform traces. There is limited open work that evaluates modern TSFMs as part of a complete, uncertainty-aware, cost-and-SLA capacity planning loop for video streaming.</w:t>
      </w:r>
    </w:p>
    <w:p>
      <w:pPr>
        <w:pStyle w:val="ListBullet"/>
        <w:spacing w:after="60"/>
      </w:pPr>
      <w:r>
        <w:rPr>
          <w:rFonts w:ascii="Aptos" w:hAnsi="Aptos"/>
          <w:sz w:val="20"/>
        </w:rPr>
        <w:t>No common evaluation links forecast error to required capacity, buffering/latency risk, scaling oscillation, and cloud cost.</w:t>
      </w:r>
    </w:p>
    <w:p>
      <w:pPr>
        <w:pStyle w:val="ListBullet"/>
        <w:spacing w:after="60"/>
      </w:pPr>
      <w:r>
        <w:rPr>
          <w:rFonts w:ascii="Aptos" w:hAnsi="Aptos"/>
          <w:sz w:val="20"/>
        </w:rPr>
        <w:t>Video workloads contain event-driven spikes and multivariate dependencies that generic univariate benchmarks do not fully represent.</w:t>
      </w:r>
    </w:p>
    <w:p>
      <w:pPr>
        <w:pStyle w:val="ListBullet"/>
        <w:spacing w:after="60"/>
      </w:pPr>
      <w:r>
        <w:rPr>
          <w:rFonts w:ascii="Aptos" w:hAnsi="Aptos"/>
          <w:sz w:val="20"/>
        </w:rPr>
        <w:t>Large TSFMs may improve accuracy but create inference latency and hosting cost that can make them operationally inferior to compact models.</w:t>
      </w:r>
    </w:p>
    <w:p>
      <w:pPr>
        <w:pStyle w:val="ListBullet"/>
        <w:spacing w:after="60"/>
      </w:pPr>
      <w:r>
        <w:rPr>
          <w:rFonts w:ascii="Aptos" w:hAnsi="Aptos"/>
          <w:sz w:val="20"/>
        </w:rPr>
        <w:t>Most papers do not define safe fallback behavior for missing telemetry, concept drift, poorly calibrated intervals, or failed inference.</w:t>
      </w:r>
    </w:p>
    <w:p>
      <w:pPr>
        <w:pStyle w:val="ListBullet"/>
        <w:spacing w:after="60"/>
      </w:pPr>
      <w:r>
        <w:rPr>
          <w:rFonts w:ascii="Aptos" w:hAnsi="Aptos"/>
          <w:sz w:val="20"/>
        </w:rPr>
        <w:t>Public cloud traces are not equivalent to streaming demand; a transparent hybrid dataset and simulation methodology are required.</w:t>
      </w:r>
    </w:p>
    <w:p>
      <w:pPr>
        <w:pStyle w:val="Heading1"/>
        <w:keepNext/>
      </w:pPr>
      <w:r>
        <w:t>9. Proposed Solution and Framework</w:t>
      </w:r>
    </w:p>
    <w:p>
      <w:pPr>
        <w:jc w:val="both"/>
      </w:pPr>
      <w:r>
        <w:t>The proposed framework separates forecasting from capacity policy. A model produces demand forecasts and uncertainty; a deterministic policy then converts the forecast into a capacity recommendation under explicit operational constraints. This separation makes the system easier to test, audit, and replace.</w:t>
      </w:r>
    </w:p>
    <w:p>
      <w:pPr>
        <w:pStyle w:val="Heading2"/>
        <w:keepNext/>
      </w:pPr>
      <w:r>
        <w:t>9.1 Capacity Translation Logic</w:t>
      </w:r>
    </w:p>
    <w:p>
      <w:pPr>
        <w:spacing w:after="80"/>
        <w:ind w:left="403" w:hanging="403"/>
      </w:pPr>
      <w:r>
        <w:rPr>
          <w:rFonts w:ascii="Aptos" w:hAnsi="Aptos"/>
          <w:sz w:val="20"/>
        </w:rPr>
        <w:t>1.  Forecast demand for each region/service at 15-, 30-, and 60-minute horizons.</w:t>
      </w:r>
    </w:p>
    <w:p>
      <w:pPr>
        <w:spacing w:after="80"/>
        <w:ind w:left="403" w:hanging="403"/>
      </w:pPr>
      <w:r>
        <w:rPr>
          <w:rFonts w:ascii="Aptos" w:hAnsi="Aptos"/>
          <w:sz w:val="20"/>
        </w:rPr>
        <w:t>2.  Use the P90 forecast (or an empirically calibrated upper interval) as the planning demand.</w:t>
      </w:r>
    </w:p>
    <w:p>
      <w:pPr>
        <w:spacing w:after="80"/>
        <w:ind w:left="403" w:hanging="403"/>
      </w:pPr>
      <w:r>
        <w:rPr>
          <w:rFonts w:ascii="Aptos" w:hAnsi="Aptos"/>
          <w:sz w:val="20"/>
        </w:rPr>
        <w:t>3.  Calculate base units = ceiling(planning demand / measured throughput per capacity unit).</w:t>
      </w:r>
    </w:p>
    <w:p>
      <w:pPr>
        <w:spacing w:after="80"/>
        <w:ind w:left="403" w:hanging="403"/>
      </w:pPr>
      <w:r>
        <w:rPr>
          <w:rFonts w:ascii="Aptos" w:hAnsi="Aptos"/>
          <w:sz w:val="20"/>
        </w:rPr>
        <w:t>4.  Apply safety margin, minimum/maximum capacity, budget threshold, cooldown, and hysteresis.</w:t>
      </w:r>
    </w:p>
    <w:p>
      <w:pPr>
        <w:spacing w:after="80"/>
        <w:ind w:left="403" w:hanging="403"/>
      </w:pPr>
      <w:r>
        <w:rPr>
          <w:rFonts w:ascii="Aptos" w:hAnsi="Aptos"/>
          <w:sz w:val="20"/>
        </w:rPr>
        <w:t>5.  Execute only when the recommended change exceeds the deadband and confidence/data-quality checks pass.</w:t>
      </w:r>
    </w:p>
    <w:p>
      <w:pPr>
        <w:spacing w:after="80"/>
        <w:ind w:left="403" w:hanging="403"/>
      </w:pPr>
      <w:r>
        <w:rPr>
          <w:rFonts w:ascii="Aptos" w:hAnsi="Aptos"/>
          <w:sz w:val="20"/>
        </w:rPr>
        <w:t>6.  After scaling, compare actual demand, utilization, latency, and cost with the forecast and update model/policy metrics.</w:t>
      </w:r>
    </w:p>
    <w:p>
      <w:pPr>
        <w:jc w:val="center"/>
      </w:pPr>
      <w:r>
        <w:rPr>
          <w:rFonts w:ascii="Aptos" w:hAnsi="Aptos"/>
          <w:b/>
          <w:color w:val="1E406B"/>
          <w:sz w:val="22"/>
        </w:rPr>
        <w:t>Required Capacity = ceil(P90 Forecast / Throughput per Unit) × (1 + Safety Margin)</w:t>
      </w:r>
    </w:p>
    <w:p>
      <w:pPr>
        <w:pStyle w:val="Heading1"/>
        <w:keepNext/>
      </w:pPr>
      <w:r>
        <w:t>10. Novelty Summary</w:t>
      </w:r>
    </w:p>
    <w:p>
      <w:pPr>
        <w:pStyle w:val="ListBullet"/>
        <w:spacing w:after="60"/>
      </w:pPr>
      <w:r>
        <w:rPr>
          <w:rFonts w:ascii="Aptos" w:hAnsi="Aptos"/>
          <w:sz w:val="20"/>
        </w:rPr>
        <w:t>Capacity-first evaluation: the project measures forecast usefulness through SLA risk, scaling stability, and cost—not accuracy alone.</w:t>
      </w:r>
    </w:p>
    <w:p>
      <w:pPr>
        <w:pStyle w:val="ListBullet"/>
        <w:spacing w:after="60"/>
      </w:pPr>
      <w:r>
        <w:rPr>
          <w:rFonts w:ascii="Aptos" w:hAnsi="Aptos"/>
          <w:sz w:val="20"/>
        </w:rPr>
        <w:t>Foundation-model benchmarking for streaming operations: general-purpose TSFMs are compared on the same streaming-style workload and deployment constraints.</w:t>
      </w:r>
    </w:p>
    <w:p>
      <w:pPr>
        <w:pStyle w:val="ListBullet"/>
        <w:spacing w:after="60"/>
      </w:pPr>
      <w:r>
        <w:rPr>
          <w:rFonts w:ascii="Aptos" w:hAnsi="Aptos"/>
          <w:sz w:val="20"/>
        </w:rPr>
        <w:t>Uncertainty-aware provisioning: a P90 demand forecast and configurable safety buffer are converted into capacity units rather than relying on a single point estimate.</w:t>
      </w:r>
    </w:p>
    <w:p>
      <w:pPr>
        <w:pStyle w:val="ListBullet"/>
        <w:spacing w:after="60"/>
      </w:pPr>
      <w:r>
        <w:rPr>
          <w:rFonts w:ascii="Aptos" w:hAnsi="Aptos"/>
          <w:sz w:val="20"/>
        </w:rPr>
        <w:t>Event-aware forecasting: content releases, live-event schedules, region, hour-of-day, and recent acceleration are included as contextual features when supported.</w:t>
      </w:r>
    </w:p>
    <w:p>
      <w:pPr>
        <w:pStyle w:val="ListBullet"/>
        <w:spacing w:after="60"/>
      </w:pPr>
      <w:r>
        <w:rPr>
          <w:rFonts w:ascii="Aptos" w:hAnsi="Aptos"/>
          <w:sz w:val="20"/>
        </w:rPr>
        <w:t>Closed-loop AWS integration: telemetry, inference, capacity translation, guarded scaling, alerts, and feedback monitoring are treated as one architecture.</w:t>
      </w:r>
    </w:p>
    <w:p>
      <w:pPr>
        <w:pStyle w:val="ListBullet"/>
        <w:spacing w:after="60"/>
      </w:pPr>
      <w:r>
        <w:rPr>
          <w:rFonts w:ascii="Aptos" w:hAnsi="Aptos"/>
          <w:sz w:val="20"/>
        </w:rPr>
        <w:t>Model fallback and drift control: the system can fall back to seasonal-naive/reactive scaling when confidence, data quality, or recent backtest performance deteriorates.</w:t>
      </w:r>
    </w:p>
    <w:p>
      <w:pPr>
        <w:jc w:val="both"/>
      </w:pPr>
      <w:r>
        <w:t>The novelty is not the claim that a foundation model alone solves autoscaling. The contribution is the disciplined integration and comparison of models inside an operational decision loop, with explicit uncertainty, cost, guardrails, and fallback behavior.</w:t>
      </w:r>
    </w:p>
    <w:p>
      <w:pPr>
        <w:pStyle w:val="Heading1"/>
        <w:keepNext/>
      </w:pPr>
      <w:r>
        <w:t>11. Proposed Architecture</w:t>
      </w:r>
    </w:p>
    <w:p>
      <w:pPr>
        <w:pStyle w:val="Heading2"/>
        <w:keepNext/>
      </w:pPr>
      <w:r>
        <w:t>11.1 Diagram 1 - AWS Cloud Architecture</w:t>
      </w:r>
    </w:p>
    <w:p>
      <w:r>
        <w:drawing>
          <wp:inline xmlns:a="http://schemas.openxmlformats.org/drawingml/2006/main" xmlns:pic="http://schemas.openxmlformats.org/drawingml/2006/picture">
            <wp:extent cx="6309360" cy="3675816"/>
            <wp:docPr id="1" name="Picture 1"/>
            <wp:cNvGraphicFramePr>
              <a:graphicFrameLocks noChangeAspect="1"/>
            </wp:cNvGraphicFramePr>
            <a:graphic>
              <a:graphicData uri="http://schemas.openxmlformats.org/drawingml/2006/picture">
                <pic:pic>
                  <pic:nvPicPr>
                    <pic:cNvPr id="0" name="AWS_Architecture.png"/>
                    <pic:cNvPicPr/>
                  </pic:nvPicPr>
                  <pic:blipFill>
                    <a:blip r:embed="rId11"/>
                    <a:stretch>
                      <a:fillRect/>
                    </a:stretch>
                  </pic:blipFill>
                  <pic:spPr>
                    <a:xfrm>
                      <a:off x="0" y="0"/>
                      <a:ext cx="6309360" cy="3675816"/>
                    </a:xfrm>
                    <a:prstGeom prst="rect"/>
                  </pic:spPr>
                </pic:pic>
              </a:graphicData>
            </a:graphic>
          </wp:inline>
        </w:drawing>
      </w:r>
    </w:p>
    <w:p>
      <w:pPr>
        <w:jc w:val="center"/>
      </w:pPr>
      <w:r>
        <w:rPr>
          <w:rFonts w:ascii="Aptos" w:hAnsi="Aptos"/>
          <w:i/>
          <w:color w:val="64748B"/>
          <w:sz w:val="16"/>
        </w:rPr>
        <w:t>Figure 1. Proposed AWS architecture showing streaming delivery, telemetry ingestion, storage, preprocessing, TSFM inference, capacity planning, guarded scaling, authentication, monitoring, dashboards, and notifications.</w:t>
      </w:r>
    </w:p>
    <w:p>
      <w:pPr>
        <w:pStyle w:val="Heading2"/>
        <w:keepNext/>
      </w:pPr>
      <w:r>
        <w:t>11.2 Diagram 2 - Complete System Architecture</w:t>
      </w:r>
    </w:p>
    <w:p>
      <w:r>
        <w:drawing>
          <wp:inline xmlns:a="http://schemas.openxmlformats.org/drawingml/2006/main" xmlns:pic="http://schemas.openxmlformats.org/drawingml/2006/picture">
            <wp:extent cx="6309360" cy="3954322"/>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6309360" cy="3954322"/>
                    </a:xfrm>
                    <a:prstGeom prst="rect"/>
                  </pic:spPr>
                </pic:pic>
              </a:graphicData>
            </a:graphic>
          </wp:inline>
        </w:drawing>
      </w:r>
    </w:p>
    <w:p>
      <w:pPr>
        <w:jc w:val="center"/>
      </w:pPr>
      <w:r>
        <w:rPr>
          <w:rFonts w:ascii="Aptos" w:hAnsi="Aptos"/>
          <w:i/>
          <w:color w:val="64748B"/>
          <w:sz w:val="16"/>
        </w:rPr>
        <w:t>Figure 2. End-to-end workflow from data sources and feature engineering through model selection, probabilistic forecasting, capacity translation, scaling, and feedback-based monitoring.</w:t>
      </w:r>
    </w:p>
    <w:p>
      <w:pPr>
        <w:pStyle w:val="Heading1"/>
        <w:keepNext/>
      </w:pPr>
      <w:r>
        <w:t>12. Dataset Details</w:t>
      </w:r>
    </w:p>
    <w:tbl>
      <w:tblPr>
        <w:tblStyle w:val="TableGrid"/>
        <w:tblW w:type="auto" w:w="0"/>
        <w:jc w:val="center"/>
        <w:tblLook w:firstColumn="1" w:firstRow="1" w:lastColumn="0" w:lastRow="0" w:noHBand="0" w:noVBand="1" w:val="04A0"/>
      </w:tblPr>
      <w:tblGrid>
        <w:gridCol w:w="5083"/>
        <w:gridCol w:w="5083"/>
      </w:tblGrid>
      <w:tr>
        <w:tc>
          <w:tcPr>
            <w:tcW w:type="dxa" w:w="5083"/>
            <w:shd w:fill="DCE6F1"/>
            <w:vAlign w:val="center"/>
          </w:tcPr>
          <w:p>
            <w:pPr>
              <w:spacing w:after="0" w:before="0"/>
            </w:pPr>
            <w:r>
              <w:rPr>
                <w:rFonts w:ascii="Aptos" w:hAnsi="Aptos"/>
                <w:b/>
                <w:sz w:val="17"/>
              </w:rPr>
              <w:t>Dataset Name</w:t>
            </w:r>
          </w:p>
        </w:tc>
        <w:tc>
          <w:tcPr>
            <w:tcW w:type="dxa" w:w="5083"/>
            <w:vAlign w:val="center"/>
          </w:tcPr>
          <w:p>
            <w:pPr>
              <w:spacing w:after="0" w:before="0"/>
            </w:pPr>
            <w:r>
              <w:rPr>
                <w:rFonts w:ascii="Aptos" w:hAnsi="Aptos"/>
                <w:sz w:val="17"/>
              </w:rPr>
              <w:t>Alibaba Cluster Trace v2018 (primary public cloud-workload proxy) plus a planned synthetic streaming-event overlay.</w:t>
            </w:r>
          </w:p>
        </w:tc>
      </w:tr>
      <w:tr>
        <w:tc>
          <w:tcPr>
            <w:tcW w:type="dxa" w:w="5083"/>
            <w:shd w:fill="DCE6F1"/>
            <w:vAlign w:val="center"/>
          </w:tcPr>
          <w:p>
            <w:pPr>
              <w:spacing w:after="0" w:before="0"/>
            </w:pPr>
            <w:r>
              <w:rPr>
                <w:rFonts w:ascii="Aptos" w:hAnsi="Aptos"/>
                <w:b/>
                <w:sz w:val="17"/>
              </w:rPr>
              <w:t>Source</w:t>
            </w:r>
          </w:p>
        </w:tc>
        <w:tc>
          <w:tcPr>
            <w:tcW w:type="dxa" w:w="5083"/>
            <w:vAlign w:val="center"/>
          </w:tcPr>
          <w:p>
            <w:pPr>
              <w:spacing w:after="0" w:before="0"/>
            </w:pPr>
            <w:r>
              <w:rPr>
                <w:rFonts w:ascii="Aptos" w:hAnsi="Aptos"/>
                <w:sz w:val="17"/>
              </w:rPr>
              <w:t>Alibaba Cluster Trace Program.</w:t>
            </w:r>
          </w:p>
        </w:tc>
      </w:tr>
      <w:tr>
        <w:tc>
          <w:tcPr>
            <w:tcW w:type="dxa" w:w="5083"/>
            <w:shd w:fill="DCE6F1"/>
            <w:vAlign w:val="center"/>
          </w:tcPr>
          <w:p>
            <w:pPr>
              <w:spacing w:after="0" w:before="0"/>
            </w:pPr>
            <w:r>
              <w:rPr>
                <w:rFonts w:ascii="Aptos" w:hAnsi="Aptos"/>
                <w:b/>
                <w:sz w:val="17"/>
              </w:rPr>
              <w:t>Official URL</w:t>
            </w:r>
          </w:p>
        </w:tc>
        <w:tc>
          <w:tcPr>
            <w:tcW w:type="dxa" w:w="5083"/>
            <w:vAlign w:val="center"/>
          </w:tcPr>
          <w:p>
            <w:pPr>
              <w:spacing w:after="0" w:before="0"/>
            </w:pPr>
            <w:r>
              <w:rPr>
                <w:rFonts w:ascii="Aptos" w:hAnsi="Aptos"/>
                <w:sz w:val="17"/>
              </w:rPr>
              <w:t>https://github.com/alibaba/clusterdata/tree/master/cluster-trace-v2018</w:t>
            </w:r>
          </w:p>
        </w:tc>
      </w:tr>
      <w:tr>
        <w:tc>
          <w:tcPr>
            <w:tcW w:type="dxa" w:w="5083"/>
            <w:shd w:fill="DCE6F1"/>
            <w:vAlign w:val="center"/>
          </w:tcPr>
          <w:p>
            <w:pPr>
              <w:spacing w:after="0" w:before="0"/>
            </w:pPr>
            <w:r>
              <w:rPr>
                <w:rFonts w:ascii="Aptos" w:hAnsi="Aptos"/>
                <w:b/>
                <w:sz w:val="17"/>
              </w:rPr>
              <w:t>Size</w:t>
            </w:r>
          </w:p>
        </w:tc>
        <w:tc>
          <w:tcPr>
            <w:tcW w:type="dxa" w:w="5083"/>
            <w:vAlign w:val="center"/>
          </w:tcPr>
          <w:p>
            <w:pPr>
              <w:spacing w:after="0" w:before="0"/>
            </w:pPr>
            <w:r>
              <w:rPr>
                <w:rFonts w:ascii="Aptos" w:hAnsi="Aptos"/>
                <w:sz w:val="17"/>
              </w:rPr>
              <w:t>Approximately 49 GB compressed as a single archive; roughly 280 GB after extraction.</w:t>
            </w:r>
          </w:p>
        </w:tc>
      </w:tr>
      <w:tr>
        <w:tc>
          <w:tcPr>
            <w:tcW w:type="dxa" w:w="5083"/>
            <w:shd w:fill="DCE6F1"/>
            <w:vAlign w:val="center"/>
          </w:tcPr>
          <w:p>
            <w:pPr>
              <w:spacing w:after="0" w:before="0"/>
            </w:pPr>
            <w:r>
              <w:rPr>
                <w:rFonts w:ascii="Aptos" w:hAnsi="Aptos"/>
                <w:b/>
                <w:sz w:val="17"/>
              </w:rPr>
              <w:t>Coverage</w:t>
            </w:r>
          </w:p>
        </w:tc>
        <w:tc>
          <w:tcPr>
            <w:tcW w:type="dxa" w:w="5083"/>
            <w:vAlign w:val="center"/>
          </w:tcPr>
          <w:p>
            <w:pPr>
              <w:spacing w:after="0" w:before="0"/>
            </w:pPr>
            <w:r>
              <w:rPr>
                <w:rFonts w:ascii="Aptos" w:hAnsi="Aptos"/>
                <w:sz w:val="17"/>
              </w:rPr>
              <w:t>About 4,000 machines over 8 days in six tables: machine metadata/usage, container metadata/usage, batch instances, and batch tasks.</w:t>
            </w:r>
          </w:p>
        </w:tc>
      </w:tr>
      <w:tr>
        <w:tc>
          <w:tcPr>
            <w:tcW w:type="dxa" w:w="5083"/>
            <w:shd w:fill="DCE6F1"/>
            <w:vAlign w:val="center"/>
          </w:tcPr>
          <w:p>
            <w:pPr>
              <w:spacing w:after="0" w:before="0"/>
            </w:pPr>
            <w:r>
              <w:rPr>
                <w:rFonts w:ascii="Aptos" w:hAnsi="Aptos"/>
                <w:b/>
                <w:sz w:val="17"/>
              </w:rPr>
              <w:t>Number of Records</w:t>
            </w:r>
          </w:p>
        </w:tc>
        <w:tc>
          <w:tcPr>
            <w:tcW w:type="dxa" w:w="5083"/>
            <w:vAlign w:val="center"/>
          </w:tcPr>
          <w:p>
            <w:pPr>
              <w:spacing w:after="0" w:before="0"/>
            </w:pPr>
            <w:r>
              <w:rPr>
                <w:rFonts w:ascii="Aptos" w:hAnsi="Aptos"/>
                <w:sz w:val="17"/>
              </w:rPr>
              <w:t>The full release contains multiple very large tables. The planned Phase-II working set will aggregate selected machine/container usage to five-minute windows; the theoretical upper bound for 4,000 machines over 8 days is 9,216,000 machine-window rows before filtering.</w:t>
            </w:r>
          </w:p>
        </w:tc>
      </w:tr>
      <w:tr>
        <w:tc>
          <w:tcPr>
            <w:tcW w:type="dxa" w:w="5083"/>
            <w:shd w:fill="DCE6F1"/>
            <w:vAlign w:val="center"/>
          </w:tcPr>
          <w:p>
            <w:pPr>
              <w:spacing w:after="0" w:before="0"/>
            </w:pPr>
            <w:r>
              <w:rPr>
                <w:rFonts w:ascii="Aptos" w:hAnsi="Aptos"/>
                <w:b/>
                <w:sz w:val="17"/>
              </w:rPr>
              <w:t>Planned Features</w:t>
            </w:r>
          </w:p>
        </w:tc>
        <w:tc>
          <w:tcPr>
            <w:tcW w:type="dxa" w:w="5083"/>
            <w:vAlign w:val="center"/>
          </w:tcPr>
          <w:p>
            <w:pPr>
              <w:spacing w:after="0" w:before="0"/>
            </w:pPr>
            <w:r>
              <w:rPr>
                <w:rFonts w:ascii="Aptos" w:hAnsi="Aptos"/>
                <w:sz w:val="17"/>
              </w:rPr>
              <w:t>Timestamp, machine/container identifier, CPU utilization, memory utilization, disk/network-related fields where available, rolling statistics, lags, hour/day indicators, event flag, synthetic concurrent-viewer/request rate, and derived capacity target.</w:t>
            </w:r>
          </w:p>
        </w:tc>
      </w:tr>
      <w:tr>
        <w:tc>
          <w:tcPr>
            <w:tcW w:type="dxa" w:w="5083"/>
            <w:shd w:fill="DCE6F1"/>
            <w:vAlign w:val="center"/>
          </w:tcPr>
          <w:p>
            <w:pPr>
              <w:spacing w:after="0" w:before="0"/>
            </w:pPr>
            <w:r>
              <w:rPr>
                <w:rFonts w:ascii="Aptos" w:hAnsi="Aptos"/>
                <w:b/>
                <w:sz w:val="17"/>
              </w:rPr>
              <w:t>Data Type</w:t>
            </w:r>
          </w:p>
        </w:tc>
        <w:tc>
          <w:tcPr>
            <w:tcW w:type="dxa" w:w="5083"/>
            <w:vAlign w:val="center"/>
          </w:tcPr>
          <w:p>
            <w:pPr>
              <w:spacing w:after="0" w:before="0"/>
            </w:pPr>
            <w:r>
              <w:rPr>
                <w:rFonts w:ascii="Aptos" w:hAnsi="Aptos"/>
                <w:sz w:val="17"/>
              </w:rPr>
              <w:t>Anonymized multivariate numeric and categorical cloud telemetry stored as CSV archives.</w:t>
            </w:r>
          </w:p>
        </w:tc>
      </w:tr>
      <w:tr>
        <w:tc>
          <w:tcPr>
            <w:tcW w:type="dxa" w:w="5083"/>
            <w:shd w:fill="DCE6F1"/>
            <w:vAlign w:val="center"/>
          </w:tcPr>
          <w:p>
            <w:pPr>
              <w:spacing w:after="0" w:before="0"/>
            </w:pPr>
            <w:r>
              <w:rPr>
                <w:rFonts w:ascii="Aptos" w:hAnsi="Aptos"/>
                <w:b/>
                <w:sz w:val="17"/>
              </w:rPr>
              <w:t>Usage Terms</w:t>
            </w:r>
          </w:p>
        </w:tc>
        <w:tc>
          <w:tcPr>
            <w:tcW w:type="dxa" w:w="5083"/>
            <w:vAlign w:val="center"/>
          </w:tcPr>
          <w:p>
            <w:pPr>
              <w:spacing w:after="0" w:before="0"/>
            </w:pPr>
            <w:r>
              <w:rPr>
                <w:rFonts w:ascii="Aptos" w:hAnsi="Aptos"/>
                <w:sz w:val="17"/>
              </w:rPr>
              <w:t>Released for research and study. The project must retain source attribution and review the repository terms before redistribution.</w:t>
            </w:r>
          </w:p>
        </w:tc>
      </w:tr>
      <w:tr>
        <w:tc>
          <w:tcPr>
            <w:tcW w:type="dxa" w:w="5083"/>
            <w:shd w:fill="DCE6F1"/>
            <w:vAlign w:val="center"/>
          </w:tcPr>
          <w:p>
            <w:pPr>
              <w:spacing w:after="0" w:before="0"/>
            </w:pPr>
            <w:r>
              <w:rPr>
                <w:rFonts w:ascii="Aptos" w:hAnsi="Aptos"/>
                <w:b/>
                <w:sz w:val="17"/>
              </w:rPr>
              <w:t>Purpose</w:t>
            </w:r>
          </w:p>
        </w:tc>
        <w:tc>
          <w:tcPr>
            <w:tcW w:type="dxa" w:w="5083"/>
            <w:vAlign w:val="center"/>
          </w:tcPr>
          <w:p>
            <w:pPr>
              <w:spacing w:after="0" w:before="0"/>
            </w:pPr>
            <w:r>
              <w:rPr>
                <w:rFonts w:ascii="Aptos" w:hAnsi="Aptos"/>
                <w:sz w:val="17"/>
              </w:rPr>
              <w:t>Provide realistic cloud-resource variability for forecasting and scaling experiments when a public video-platform operations trace is unavailable.</w:t>
            </w:r>
          </w:p>
        </w:tc>
      </w:tr>
      <w:tr>
        <w:tc>
          <w:tcPr>
            <w:tcW w:type="dxa" w:w="5083"/>
            <w:shd w:fill="DCE6F1"/>
            <w:vAlign w:val="center"/>
          </w:tcPr>
          <w:p>
            <w:pPr>
              <w:spacing w:after="0" w:before="0"/>
            </w:pPr>
            <w:r>
              <w:rPr>
                <w:rFonts w:ascii="Aptos" w:hAnsi="Aptos"/>
                <w:b/>
                <w:sz w:val="17"/>
              </w:rPr>
              <w:t>Preprocessing</w:t>
            </w:r>
          </w:p>
        </w:tc>
        <w:tc>
          <w:tcPr>
            <w:tcW w:type="dxa" w:w="5083"/>
            <w:vAlign w:val="center"/>
          </w:tcPr>
          <w:p>
            <w:pPr>
              <w:spacing w:after="0" w:before="0"/>
            </w:pPr>
            <w:r>
              <w:rPr>
                <w:rFonts w:ascii="Aptos" w:hAnsi="Aptos"/>
                <w:sz w:val="17"/>
              </w:rPr>
              <w:t>Download only required tables; validate schemas; filter invalid normalized values (-1/101); align timestamps; aggregate to five-minute intervals; handle missing values; normalize using training data only; add lags/rolling statistics; split chronologically; generate controlled streaming events and labels.</w:t>
            </w:r>
          </w:p>
        </w:tc>
      </w:tr>
      <w:tr>
        <w:tc>
          <w:tcPr>
            <w:tcW w:type="dxa" w:w="5083"/>
            <w:shd w:fill="DCE6F1"/>
            <w:vAlign w:val="center"/>
          </w:tcPr>
          <w:p>
            <w:pPr>
              <w:spacing w:after="0" w:before="0"/>
            </w:pPr>
            <w:r>
              <w:rPr>
                <w:rFonts w:ascii="Aptos" w:hAnsi="Aptos"/>
                <w:b/>
                <w:sz w:val="17"/>
              </w:rPr>
              <w:t>Critical Limitation</w:t>
            </w:r>
          </w:p>
        </w:tc>
        <w:tc>
          <w:tcPr>
            <w:tcW w:type="dxa" w:w="5083"/>
            <w:vAlign w:val="center"/>
          </w:tcPr>
          <w:p>
            <w:pPr>
              <w:spacing w:after="0" w:before="0"/>
            </w:pPr>
            <w:r>
              <w:rPr>
                <w:rFonts w:ascii="Aptos" w:hAnsi="Aptos"/>
                <w:sz w:val="17"/>
              </w:rPr>
              <w:t>This is not a native video streaming request dataset. Results must be described as a workload-proxy experiment until real prototype CloudWatch/CloudFront telemetry is collected.</w:t>
            </w:r>
          </w:p>
        </w:tc>
      </w:tr>
    </w:tbl>
    <w:p>
      <w:pPr>
        <w:pStyle w:val="Heading1"/>
        <w:keepNext/>
      </w:pPr>
      <w:r>
        <w:t>13. AWS Services Planning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E406B"/>
            <w:vAlign w:val="center"/>
          </w:tcPr>
          <w:p>
            <w:pPr>
              <w:spacing w:after="0" w:before="0"/>
            </w:pPr>
            <w:r>
              <w:rPr>
                <w:rFonts w:ascii="Aptos" w:hAnsi="Aptos"/>
                <w:b/>
                <w:color w:val="FFFFFF"/>
                <w:sz w:val="17"/>
              </w:rPr>
              <w:t>AWS Service</w:t>
            </w:r>
          </w:p>
        </w:tc>
        <w:tc>
          <w:tcPr>
            <w:tcW w:type="dxa" w:w="5083"/>
            <w:shd w:fill="1E406B"/>
            <w:vAlign w:val="center"/>
          </w:tcPr>
          <w:p>
            <w:pPr>
              <w:spacing w:after="0" w:before="0"/>
            </w:pPr>
            <w:r>
              <w:rPr>
                <w:rFonts w:ascii="Aptos" w:hAnsi="Aptos"/>
                <w:b/>
                <w:color w:val="FFFFFF"/>
                <w:sz w:val="17"/>
              </w:rPr>
              <w:t>Planned Purpose</w:t>
            </w:r>
          </w:p>
        </w:tc>
      </w:tr>
      <w:tr>
        <w:tc>
          <w:tcPr>
            <w:tcW w:type="dxa" w:w="5083"/>
            <w:vAlign w:val="center"/>
          </w:tcPr>
          <w:p>
            <w:pPr>
              <w:spacing w:after="0" w:before="0"/>
            </w:pPr>
            <w:r>
              <w:rPr>
                <w:rFonts w:ascii="Aptos" w:hAnsi="Aptos"/>
                <w:sz w:val="17"/>
              </w:rPr>
              <w:t>Amazon CloudFront</w:t>
            </w:r>
          </w:p>
        </w:tc>
        <w:tc>
          <w:tcPr>
            <w:tcW w:type="dxa" w:w="5083"/>
            <w:vAlign w:val="center"/>
          </w:tcPr>
          <w:p>
            <w:pPr>
              <w:spacing w:after="0" w:before="0"/>
            </w:pPr>
            <w:r>
              <w:rPr>
                <w:rFonts w:ascii="Aptos" w:hAnsi="Aptos"/>
                <w:sz w:val="17"/>
              </w:rPr>
              <w:t>Distribute live and on-demand video and expose request, byte, and error metrics.</w:t>
            </w:r>
          </w:p>
        </w:tc>
      </w:tr>
      <w:tr>
        <w:tc>
          <w:tcPr>
            <w:tcW w:type="dxa" w:w="5083"/>
            <w:vAlign w:val="center"/>
          </w:tcPr>
          <w:p>
            <w:pPr>
              <w:spacing w:after="0" w:before="0"/>
            </w:pPr>
            <w:r>
              <w:rPr>
                <w:rFonts w:ascii="Aptos" w:hAnsi="Aptos"/>
                <w:sz w:val="17"/>
              </w:rPr>
              <w:t>AWS Elemental MediaLive</w:t>
            </w:r>
          </w:p>
        </w:tc>
        <w:tc>
          <w:tcPr>
            <w:tcW w:type="dxa" w:w="5083"/>
            <w:vAlign w:val="center"/>
          </w:tcPr>
          <w:p>
            <w:pPr>
              <w:spacing w:after="0" w:before="0"/>
            </w:pPr>
            <w:r>
              <w:rPr>
                <w:rFonts w:ascii="Aptos" w:hAnsi="Aptos"/>
                <w:sz w:val="17"/>
              </w:rPr>
              <w:t>Encode live input into adaptive bitrate outputs.</w:t>
            </w:r>
          </w:p>
        </w:tc>
      </w:tr>
      <w:tr>
        <w:tc>
          <w:tcPr>
            <w:tcW w:type="dxa" w:w="5083"/>
            <w:vAlign w:val="center"/>
          </w:tcPr>
          <w:p>
            <w:pPr>
              <w:spacing w:after="0" w:before="0"/>
            </w:pPr>
            <w:r>
              <w:rPr>
                <w:rFonts w:ascii="Aptos" w:hAnsi="Aptos"/>
                <w:sz w:val="17"/>
              </w:rPr>
              <w:t>AWS Elemental MediaPackage</w:t>
            </w:r>
          </w:p>
        </w:tc>
        <w:tc>
          <w:tcPr>
            <w:tcW w:type="dxa" w:w="5083"/>
            <w:vAlign w:val="center"/>
          </w:tcPr>
          <w:p>
            <w:pPr>
              <w:spacing w:after="0" w:before="0"/>
            </w:pPr>
            <w:r>
              <w:rPr>
                <w:rFonts w:ascii="Aptos" w:hAnsi="Aptos"/>
                <w:sz w:val="17"/>
              </w:rPr>
              <w:t>Package streams into HLS/DASH/CMAF and act as the CloudFront origin.</w:t>
            </w:r>
          </w:p>
        </w:tc>
      </w:tr>
      <w:tr>
        <w:tc>
          <w:tcPr>
            <w:tcW w:type="dxa" w:w="5083"/>
            <w:vAlign w:val="center"/>
          </w:tcPr>
          <w:p>
            <w:pPr>
              <w:spacing w:after="0" w:before="0"/>
            </w:pPr>
            <w:r>
              <w:rPr>
                <w:rFonts w:ascii="Aptos" w:hAnsi="Aptos"/>
                <w:sz w:val="17"/>
              </w:rPr>
              <w:t>Amazon CloudWatch</w:t>
            </w:r>
          </w:p>
        </w:tc>
        <w:tc>
          <w:tcPr>
            <w:tcW w:type="dxa" w:w="5083"/>
            <w:vAlign w:val="center"/>
          </w:tcPr>
          <w:p>
            <w:pPr>
              <w:spacing w:after="0" w:before="0"/>
            </w:pPr>
            <w:r>
              <w:rPr>
                <w:rFonts w:ascii="Aptos" w:hAnsi="Aptos"/>
                <w:sz w:val="17"/>
              </w:rPr>
              <w:t>Collect streaming, application, infrastructure, model, and scaling metrics/logs.</w:t>
            </w:r>
          </w:p>
        </w:tc>
      </w:tr>
      <w:tr>
        <w:tc>
          <w:tcPr>
            <w:tcW w:type="dxa" w:w="5083"/>
            <w:vAlign w:val="center"/>
          </w:tcPr>
          <w:p>
            <w:pPr>
              <w:spacing w:after="0" w:before="0"/>
            </w:pPr>
            <w:r>
              <w:rPr>
                <w:rFonts w:ascii="Aptos" w:hAnsi="Aptos"/>
                <w:sz w:val="17"/>
              </w:rPr>
              <w:t>Amazon Kinesis Data Firehose</w:t>
            </w:r>
          </w:p>
        </w:tc>
        <w:tc>
          <w:tcPr>
            <w:tcW w:type="dxa" w:w="5083"/>
            <w:vAlign w:val="center"/>
          </w:tcPr>
          <w:p>
            <w:pPr>
              <w:spacing w:after="0" w:before="0"/>
            </w:pPr>
            <w:r>
              <w:rPr>
                <w:rFonts w:ascii="Aptos" w:hAnsi="Aptos"/>
                <w:sz w:val="17"/>
              </w:rPr>
              <w:t>Deliver telemetry streams to S3 with buffering and optional transformation.</w:t>
            </w:r>
          </w:p>
        </w:tc>
      </w:tr>
      <w:tr>
        <w:tc>
          <w:tcPr>
            <w:tcW w:type="dxa" w:w="5083"/>
            <w:vAlign w:val="center"/>
          </w:tcPr>
          <w:p>
            <w:pPr>
              <w:spacing w:after="0" w:before="0"/>
            </w:pPr>
            <w:r>
              <w:rPr>
                <w:rFonts w:ascii="Aptos" w:hAnsi="Aptos"/>
                <w:sz w:val="17"/>
              </w:rPr>
              <w:t>Amazon S3</w:t>
            </w:r>
          </w:p>
        </w:tc>
        <w:tc>
          <w:tcPr>
            <w:tcW w:type="dxa" w:w="5083"/>
            <w:vAlign w:val="center"/>
          </w:tcPr>
          <w:p>
            <w:pPr>
              <w:spacing w:after="0" w:before="0"/>
            </w:pPr>
            <w:r>
              <w:rPr>
                <w:rFonts w:ascii="Aptos" w:hAnsi="Aptos"/>
                <w:sz w:val="17"/>
              </w:rPr>
              <w:t>Store raw traces, curated features, model artifacts, backtests, and reports.</w:t>
            </w:r>
          </w:p>
        </w:tc>
      </w:tr>
      <w:tr>
        <w:tc>
          <w:tcPr>
            <w:tcW w:type="dxa" w:w="5083"/>
            <w:vAlign w:val="center"/>
          </w:tcPr>
          <w:p>
            <w:pPr>
              <w:spacing w:after="0" w:before="0"/>
            </w:pPr>
            <w:r>
              <w:rPr>
                <w:rFonts w:ascii="Aptos" w:hAnsi="Aptos"/>
                <w:sz w:val="17"/>
              </w:rPr>
              <w:t>Amazon Timestream for LiveAnalytics</w:t>
            </w:r>
          </w:p>
        </w:tc>
        <w:tc>
          <w:tcPr>
            <w:tcW w:type="dxa" w:w="5083"/>
            <w:vAlign w:val="center"/>
          </w:tcPr>
          <w:p>
            <w:pPr>
              <w:spacing w:after="0" w:before="0"/>
            </w:pPr>
            <w:r>
              <w:rPr>
                <w:rFonts w:ascii="Aptos" w:hAnsi="Aptos"/>
                <w:sz w:val="17"/>
              </w:rPr>
              <w:t>Store recent operational time-series metrics and query windows for dashboards/inference.</w:t>
            </w:r>
          </w:p>
        </w:tc>
      </w:tr>
      <w:tr>
        <w:tc>
          <w:tcPr>
            <w:tcW w:type="dxa" w:w="5083"/>
            <w:vAlign w:val="center"/>
          </w:tcPr>
          <w:p>
            <w:pPr>
              <w:spacing w:after="0" w:before="0"/>
            </w:pPr>
            <w:r>
              <w:rPr>
                <w:rFonts w:ascii="Aptos" w:hAnsi="Aptos"/>
                <w:sz w:val="17"/>
              </w:rPr>
              <w:t>AWS Glue</w:t>
            </w:r>
          </w:p>
        </w:tc>
        <w:tc>
          <w:tcPr>
            <w:tcW w:type="dxa" w:w="5083"/>
            <w:vAlign w:val="center"/>
          </w:tcPr>
          <w:p>
            <w:pPr>
              <w:spacing w:after="0" w:before="0"/>
            </w:pPr>
            <w:r>
              <w:rPr>
                <w:rFonts w:ascii="Aptos" w:hAnsi="Aptos"/>
                <w:sz w:val="17"/>
              </w:rPr>
              <w:t>Catalog and transform historical datasets; create curated training tables.</w:t>
            </w:r>
          </w:p>
        </w:tc>
      </w:tr>
      <w:tr>
        <w:tc>
          <w:tcPr>
            <w:tcW w:type="dxa" w:w="5083"/>
            <w:vAlign w:val="center"/>
          </w:tcPr>
          <w:p>
            <w:pPr>
              <w:spacing w:after="0" w:before="0"/>
            </w:pPr>
            <w:r>
              <w:rPr>
                <w:rFonts w:ascii="Aptos" w:hAnsi="Aptos"/>
                <w:sz w:val="17"/>
              </w:rPr>
              <w:t>AWS Lambda</w:t>
            </w:r>
          </w:p>
        </w:tc>
        <w:tc>
          <w:tcPr>
            <w:tcW w:type="dxa" w:w="5083"/>
            <w:vAlign w:val="center"/>
          </w:tcPr>
          <w:p>
            <w:pPr>
              <w:spacing w:after="0" w:before="0"/>
            </w:pPr>
            <w:r>
              <w:rPr>
                <w:rFonts w:ascii="Aptos" w:hAnsi="Aptos"/>
                <w:sz w:val="17"/>
              </w:rPr>
              <w:t>Validate telemetry, trigger inference, calculate capacity, and route notifications.</w:t>
            </w:r>
          </w:p>
        </w:tc>
      </w:tr>
      <w:tr>
        <w:tc>
          <w:tcPr>
            <w:tcW w:type="dxa" w:w="5083"/>
            <w:vAlign w:val="center"/>
          </w:tcPr>
          <w:p>
            <w:pPr>
              <w:spacing w:after="0" w:before="0"/>
            </w:pPr>
            <w:r>
              <w:rPr>
                <w:rFonts w:ascii="Aptos" w:hAnsi="Aptos"/>
                <w:sz w:val="17"/>
              </w:rPr>
              <w:t>Amazon SageMaker AI</w:t>
            </w:r>
          </w:p>
        </w:tc>
        <w:tc>
          <w:tcPr>
            <w:tcW w:type="dxa" w:w="5083"/>
            <w:vAlign w:val="center"/>
          </w:tcPr>
          <w:p>
            <w:pPr>
              <w:spacing w:after="0" w:before="0"/>
            </w:pPr>
            <w:r>
              <w:rPr>
                <w:rFonts w:ascii="Aptos" w:hAnsi="Aptos"/>
                <w:sz w:val="17"/>
              </w:rPr>
              <w:t>Train, fine-tune, host, or batch-run TSFM and baseline forecasting models.</w:t>
            </w:r>
          </w:p>
        </w:tc>
      </w:tr>
      <w:tr>
        <w:tc>
          <w:tcPr>
            <w:tcW w:type="dxa" w:w="5083"/>
            <w:vAlign w:val="center"/>
          </w:tcPr>
          <w:p>
            <w:pPr>
              <w:spacing w:after="0" w:before="0"/>
            </w:pPr>
            <w:r>
              <w:rPr>
                <w:rFonts w:ascii="Aptos" w:hAnsi="Aptos"/>
                <w:sz w:val="17"/>
              </w:rPr>
              <w:t>AWS Step Functions / EventBridge</w:t>
            </w:r>
          </w:p>
        </w:tc>
        <w:tc>
          <w:tcPr>
            <w:tcW w:type="dxa" w:w="5083"/>
            <w:vAlign w:val="center"/>
          </w:tcPr>
          <w:p>
            <w:pPr>
              <w:spacing w:after="0" w:before="0"/>
            </w:pPr>
            <w:r>
              <w:rPr>
                <w:rFonts w:ascii="Aptos" w:hAnsi="Aptos"/>
                <w:sz w:val="17"/>
              </w:rPr>
              <w:t>Schedule recurring inference, backtesting, retraining, and approval workflows.</w:t>
            </w:r>
          </w:p>
        </w:tc>
      </w:tr>
      <w:tr>
        <w:tc>
          <w:tcPr>
            <w:tcW w:type="dxa" w:w="5083"/>
            <w:vAlign w:val="center"/>
          </w:tcPr>
          <w:p>
            <w:pPr>
              <w:spacing w:after="0" w:before="0"/>
            </w:pPr>
            <w:r>
              <w:rPr>
                <w:rFonts w:ascii="Aptos" w:hAnsi="Aptos"/>
                <w:sz w:val="17"/>
              </w:rPr>
              <w:t>Amazon ECS on Fargate / EC2 Auto Scaling</w:t>
            </w:r>
          </w:p>
        </w:tc>
        <w:tc>
          <w:tcPr>
            <w:tcW w:type="dxa" w:w="5083"/>
            <w:vAlign w:val="center"/>
          </w:tcPr>
          <w:p>
            <w:pPr>
              <w:spacing w:after="0" w:before="0"/>
            </w:pPr>
            <w:r>
              <w:rPr>
                <w:rFonts w:ascii="Aptos" w:hAnsi="Aptos"/>
                <w:sz w:val="17"/>
              </w:rPr>
              <w:t>Represent scalable application/origin/transcoding worker capacity.</w:t>
            </w:r>
          </w:p>
        </w:tc>
      </w:tr>
      <w:tr>
        <w:tc>
          <w:tcPr>
            <w:tcW w:type="dxa" w:w="5083"/>
            <w:vAlign w:val="center"/>
          </w:tcPr>
          <w:p>
            <w:pPr>
              <w:spacing w:after="0" w:before="0"/>
            </w:pPr>
            <w:r>
              <w:rPr>
                <w:rFonts w:ascii="Aptos" w:hAnsi="Aptos"/>
                <w:sz w:val="17"/>
              </w:rPr>
              <w:t>Application Auto Scaling</w:t>
            </w:r>
          </w:p>
        </w:tc>
        <w:tc>
          <w:tcPr>
            <w:tcW w:type="dxa" w:w="5083"/>
            <w:vAlign w:val="center"/>
          </w:tcPr>
          <w:p>
            <w:pPr>
              <w:spacing w:after="0" w:before="0"/>
            </w:pPr>
            <w:r>
              <w:rPr>
                <w:rFonts w:ascii="Aptos" w:hAnsi="Aptos"/>
                <w:sz w:val="17"/>
              </w:rPr>
              <w:t>Adjust desired capacity after guardrails and approval policy are satisfied.</w:t>
            </w:r>
          </w:p>
        </w:tc>
      </w:tr>
      <w:tr>
        <w:tc>
          <w:tcPr>
            <w:tcW w:type="dxa" w:w="5083"/>
            <w:vAlign w:val="center"/>
          </w:tcPr>
          <w:p>
            <w:pPr>
              <w:spacing w:after="0" w:before="0"/>
            </w:pPr>
            <w:r>
              <w:rPr>
                <w:rFonts w:ascii="Aptos" w:hAnsi="Aptos"/>
                <w:sz w:val="17"/>
              </w:rPr>
              <w:t>Amazon SNS</w:t>
            </w:r>
          </w:p>
        </w:tc>
        <w:tc>
          <w:tcPr>
            <w:tcW w:type="dxa" w:w="5083"/>
            <w:vAlign w:val="center"/>
          </w:tcPr>
          <w:p>
            <w:pPr>
              <w:spacing w:after="0" w:before="0"/>
            </w:pPr>
            <w:r>
              <w:rPr>
                <w:rFonts w:ascii="Aptos" w:hAnsi="Aptos"/>
                <w:sz w:val="17"/>
              </w:rPr>
              <w:t>Notify operators about predicted peaks, low confidence, or proposed scaling actions.</w:t>
            </w:r>
          </w:p>
        </w:tc>
      </w:tr>
      <w:tr>
        <w:tc>
          <w:tcPr>
            <w:tcW w:type="dxa" w:w="5083"/>
            <w:vAlign w:val="center"/>
          </w:tcPr>
          <w:p>
            <w:pPr>
              <w:spacing w:after="0" w:before="0"/>
            </w:pPr>
            <w:r>
              <w:rPr>
                <w:rFonts w:ascii="Aptos" w:hAnsi="Aptos"/>
                <w:sz w:val="17"/>
              </w:rPr>
              <w:t>Amazon QuickSight</w:t>
            </w:r>
          </w:p>
        </w:tc>
        <w:tc>
          <w:tcPr>
            <w:tcW w:type="dxa" w:w="5083"/>
            <w:vAlign w:val="center"/>
          </w:tcPr>
          <w:p>
            <w:pPr>
              <w:spacing w:after="0" w:before="0"/>
            </w:pPr>
            <w:r>
              <w:rPr>
                <w:rFonts w:ascii="Aptos" w:hAnsi="Aptos"/>
                <w:sz w:val="17"/>
              </w:rPr>
              <w:t>Display demand forecasts, capacity plans, confidence, cost, and SLA metrics.</w:t>
            </w:r>
          </w:p>
        </w:tc>
      </w:tr>
      <w:tr>
        <w:tc>
          <w:tcPr>
            <w:tcW w:type="dxa" w:w="5083"/>
            <w:vAlign w:val="center"/>
          </w:tcPr>
          <w:p>
            <w:pPr>
              <w:spacing w:after="0" w:before="0"/>
            </w:pPr>
            <w:r>
              <w:rPr>
                <w:rFonts w:ascii="Aptos" w:hAnsi="Aptos"/>
                <w:sz w:val="17"/>
              </w:rPr>
              <w:t>Amazon API Gateway + Cognito</w:t>
            </w:r>
          </w:p>
        </w:tc>
        <w:tc>
          <w:tcPr>
            <w:tcW w:type="dxa" w:w="5083"/>
            <w:vAlign w:val="center"/>
          </w:tcPr>
          <w:p>
            <w:pPr>
              <w:spacing w:after="0" w:before="0"/>
            </w:pPr>
            <w:r>
              <w:rPr>
                <w:rFonts w:ascii="Aptos" w:hAnsi="Aptos"/>
                <w:sz w:val="17"/>
              </w:rPr>
              <w:t>Expose authenticated forecast/capacity APIs and protect the operator dashboard.</w:t>
            </w:r>
          </w:p>
        </w:tc>
      </w:tr>
      <w:tr>
        <w:tc>
          <w:tcPr>
            <w:tcW w:type="dxa" w:w="5083"/>
            <w:vAlign w:val="center"/>
          </w:tcPr>
          <w:p>
            <w:pPr>
              <w:spacing w:after="0" w:before="0"/>
            </w:pPr>
            <w:r>
              <w:rPr>
                <w:rFonts w:ascii="Aptos" w:hAnsi="Aptos"/>
                <w:sz w:val="17"/>
              </w:rPr>
              <w:t>AWS IAM, KMS, Secrets Manager, CloudTrail</w:t>
            </w:r>
          </w:p>
        </w:tc>
        <w:tc>
          <w:tcPr>
            <w:tcW w:type="dxa" w:w="5083"/>
            <w:vAlign w:val="center"/>
          </w:tcPr>
          <w:p>
            <w:pPr>
              <w:spacing w:after="0" w:before="0"/>
            </w:pPr>
            <w:r>
              <w:rPr>
                <w:rFonts w:ascii="Aptos" w:hAnsi="Aptos"/>
                <w:sz w:val="17"/>
              </w:rPr>
              <w:t>Apply least privilege, encryption, secret storage, and auditing.</w:t>
            </w:r>
          </w:p>
        </w:tc>
      </w:tr>
    </w:tbl>
    <w:p>
      <w:pPr>
        <w:pStyle w:val="Heading1"/>
        <w:keepNext/>
      </w:pPr>
      <w:r>
        <w:t>14.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E406B"/>
            <w:vAlign w:val="center"/>
          </w:tcPr>
          <w:p>
            <w:pPr>
              <w:spacing w:after="0" w:before="0"/>
            </w:pPr>
            <w:r>
              <w:rPr>
                <w:rFonts w:ascii="Aptos" w:hAnsi="Aptos"/>
                <w:b/>
                <w:color w:val="FFFFFF"/>
                <w:sz w:val="17"/>
              </w:rPr>
              <w:t>Layer</w:t>
            </w:r>
          </w:p>
        </w:tc>
        <w:tc>
          <w:tcPr>
            <w:tcW w:type="dxa" w:w="3389"/>
            <w:shd w:fill="1E406B"/>
            <w:vAlign w:val="center"/>
          </w:tcPr>
          <w:p>
            <w:pPr>
              <w:spacing w:after="0" w:before="0"/>
            </w:pPr>
            <w:r>
              <w:rPr>
                <w:rFonts w:ascii="Aptos" w:hAnsi="Aptos"/>
                <w:b/>
                <w:color w:val="FFFFFF"/>
                <w:sz w:val="17"/>
              </w:rPr>
              <w:t>Proposed Technology</w:t>
            </w:r>
          </w:p>
        </w:tc>
        <w:tc>
          <w:tcPr>
            <w:tcW w:type="dxa" w:w="3389"/>
            <w:shd w:fill="1E406B"/>
            <w:vAlign w:val="center"/>
          </w:tcPr>
          <w:p>
            <w:pPr>
              <w:spacing w:after="0" w:before="0"/>
            </w:pPr>
            <w:r>
              <w:rPr>
                <w:rFonts w:ascii="Aptos" w:hAnsi="Aptos"/>
                <w:b/>
                <w:color w:val="FFFFFF"/>
                <w:sz w:val="17"/>
              </w:rPr>
              <w:t>Reason</w:t>
            </w:r>
          </w:p>
        </w:tc>
      </w:tr>
      <w:tr>
        <w:tc>
          <w:tcPr>
            <w:tcW w:type="dxa" w:w="3389"/>
            <w:vAlign w:val="center"/>
          </w:tcPr>
          <w:p>
            <w:pPr>
              <w:spacing w:after="0" w:before="0"/>
            </w:pPr>
            <w:r>
              <w:rPr>
                <w:rFonts w:ascii="Aptos" w:hAnsi="Aptos"/>
                <w:sz w:val="17"/>
              </w:rPr>
              <w:t>Frontend</w:t>
            </w:r>
          </w:p>
        </w:tc>
        <w:tc>
          <w:tcPr>
            <w:tcW w:type="dxa" w:w="3389"/>
            <w:vAlign w:val="center"/>
          </w:tcPr>
          <w:p>
            <w:pPr>
              <w:spacing w:after="0" w:before="0"/>
            </w:pPr>
            <w:r>
              <w:rPr>
                <w:rFonts w:ascii="Aptos" w:hAnsi="Aptos"/>
                <w:sz w:val="17"/>
              </w:rPr>
              <w:t>React / Next.js or Streamlit</w:t>
            </w:r>
          </w:p>
        </w:tc>
        <w:tc>
          <w:tcPr>
            <w:tcW w:type="dxa" w:w="3389"/>
            <w:vAlign w:val="center"/>
          </w:tcPr>
          <w:p>
            <w:pPr>
              <w:spacing w:after="0" w:before="0"/>
            </w:pPr>
            <w:r>
              <w:rPr>
                <w:rFonts w:ascii="Aptos" w:hAnsi="Aptos"/>
                <w:sz w:val="17"/>
              </w:rPr>
              <w:t>Forecast and capacity dashboard; implementation choice can be finalized in Phase II.</w:t>
            </w:r>
          </w:p>
        </w:tc>
      </w:tr>
      <w:tr>
        <w:tc>
          <w:tcPr>
            <w:tcW w:type="dxa" w:w="3389"/>
            <w:vAlign w:val="center"/>
          </w:tcPr>
          <w:p>
            <w:pPr>
              <w:spacing w:after="0" w:before="0"/>
            </w:pPr>
            <w:r>
              <w:rPr>
                <w:rFonts w:ascii="Aptos" w:hAnsi="Aptos"/>
                <w:sz w:val="17"/>
              </w:rPr>
              <w:t>Backend API</w:t>
            </w:r>
          </w:p>
        </w:tc>
        <w:tc>
          <w:tcPr>
            <w:tcW w:type="dxa" w:w="3389"/>
            <w:vAlign w:val="center"/>
          </w:tcPr>
          <w:p>
            <w:pPr>
              <w:spacing w:after="0" w:before="0"/>
            </w:pPr>
            <w:r>
              <w:rPr>
                <w:rFonts w:ascii="Aptos" w:hAnsi="Aptos"/>
                <w:sz w:val="17"/>
              </w:rPr>
              <w:t>Python FastAPI</w:t>
            </w:r>
          </w:p>
        </w:tc>
        <w:tc>
          <w:tcPr>
            <w:tcW w:type="dxa" w:w="3389"/>
            <w:vAlign w:val="center"/>
          </w:tcPr>
          <w:p>
            <w:pPr>
              <w:spacing w:after="0" w:before="0"/>
            </w:pPr>
            <w:r>
              <w:rPr>
                <w:rFonts w:ascii="Aptos" w:hAnsi="Aptos"/>
                <w:sz w:val="17"/>
              </w:rPr>
              <w:t>Simple model-serving and capacity-policy endpoints.</w:t>
            </w:r>
          </w:p>
        </w:tc>
      </w:tr>
      <w:tr>
        <w:tc>
          <w:tcPr>
            <w:tcW w:type="dxa" w:w="3389"/>
            <w:vAlign w:val="center"/>
          </w:tcPr>
          <w:p>
            <w:pPr>
              <w:spacing w:after="0" w:before="0"/>
            </w:pPr>
            <w:r>
              <w:rPr>
                <w:rFonts w:ascii="Aptos" w:hAnsi="Aptos"/>
                <w:sz w:val="17"/>
              </w:rPr>
              <w:t>Forecasting</w:t>
            </w:r>
          </w:p>
        </w:tc>
        <w:tc>
          <w:tcPr>
            <w:tcW w:type="dxa" w:w="3389"/>
            <w:vAlign w:val="center"/>
          </w:tcPr>
          <w:p>
            <w:pPr>
              <w:spacing w:after="0" w:before="0"/>
            </w:pPr>
            <w:r>
              <w:rPr>
                <w:rFonts w:ascii="Aptos" w:hAnsi="Aptos"/>
                <w:sz w:val="17"/>
              </w:rPr>
              <w:t>PyTorch, Hugging Face, GluonTS / model libraries</w:t>
            </w:r>
          </w:p>
        </w:tc>
        <w:tc>
          <w:tcPr>
            <w:tcW w:type="dxa" w:w="3389"/>
            <w:vAlign w:val="center"/>
          </w:tcPr>
          <w:p>
            <w:pPr>
              <w:spacing w:after="0" w:before="0"/>
            </w:pPr>
            <w:r>
              <w:rPr>
                <w:rFonts w:ascii="Aptos" w:hAnsi="Aptos"/>
                <w:sz w:val="17"/>
              </w:rPr>
              <w:t>Run TSFMs and baselines with reproducible backtesting.</w:t>
            </w:r>
          </w:p>
        </w:tc>
      </w:tr>
      <w:tr>
        <w:tc>
          <w:tcPr>
            <w:tcW w:type="dxa" w:w="3389"/>
            <w:vAlign w:val="center"/>
          </w:tcPr>
          <w:p>
            <w:pPr>
              <w:spacing w:after="0" w:before="0"/>
            </w:pPr>
            <w:r>
              <w:rPr>
                <w:rFonts w:ascii="Aptos" w:hAnsi="Aptos"/>
                <w:sz w:val="17"/>
              </w:rPr>
              <w:t>Models</w:t>
            </w:r>
          </w:p>
        </w:tc>
        <w:tc>
          <w:tcPr>
            <w:tcW w:type="dxa" w:w="3389"/>
            <w:vAlign w:val="center"/>
          </w:tcPr>
          <w:p>
            <w:pPr>
              <w:spacing w:after="0" w:before="0"/>
            </w:pPr>
            <w:r>
              <w:rPr>
                <w:rFonts w:ascii="Aptos" w:hAnsi="Aptos"/>
                <w:sz w:val="17"/>
              </w:rPr>
              <w:t>Chronos, TimesFM, Moirai, TTM; baselines: seasonal naive, XGBoost, LSTM/iTransformer</w:t>
            </w:r>
          </w:p>
        </w:tc>
        <w:tc>
          <w:tcPr>
            <w:tcW w:type="dxa" w:w="3389"/>
            <w:vAlign w:val="center"/>
          </w:tcPr>
          <w:p>
            <w:pPr>
              <w:spacing w:after="0" w:before="0"/>
            </w:pPr>
            <w:r>
              <w:rPr>
                <w:rFonts w:ascii="Aptos" w:hAnsi="Aptos"/>
                <w:sz w:val="17"/>
              </w:rPr>
              <w:t>Compare accuracy, uncertainty, inference cost, and operational impact.</w:t>
            </w:r>
          </w:p>
        </w:tc>
      </w:tr>
      <w:tr>
        <w:tc>
          <w:tcPr>
            <w:tcW w:type="dxa" w:w="3389"/>
            <w:vAlign w:val="center"/>
          </w:tcPr>
          <w:p>
            <w:pPr>
              <w:spacing w:after="0" w:before="0"/>
            </w:pPr>
            <w:r>
              <w:rPr>
                <w:rFonts w:ascii="Aptos" w:hAnsi="Aptos"/>
                <w:sz w:val="17"/>
              </w:rPr>
              <w:t>Storage</w:t>
            </w:r>
          </w:p>
        </w:tc>
        <w:tc>
          <w:tcPr>
            <w:tcW w:type="dxa" w:w="3389"/>
            <w:vAlign w:val="center"/>
          </w:tcPr>
          <w:p>
            <w:pPr>
              <w:spacing w:after="0" w:before="0"/>
            </w:pPr>
            <w:r>
              <w:rPr>
                <w:rFonts w:ascii="Aptos" w:hAnsi="Aptos"/>
                <w:sz w:val="17"/>
              </w:rPr>
              <w:t>Amazon S3 and Amazon Timestream</w:t>
            </w:r>
          </w:p>
        </w:tc>
        <w:tc>
          <w:tcPr>
            <w:tcW w:type="dxa" w:w="3389"/>
            <w:vAlign w:val="center"/>
          </w:tcPr>
          <w:p>
            <w:pPr>
              <w:spacing w:after="0" w:before="0"/>
            </w:pPr>
            <w:r>
              <w:rPr>
                <w:rFonts w:ascii="Aptos" w:hAnsi="Aptos"/>
                <w:sz w:val="17"/>
              </w:rPr>
              <w:t>Historical lake plus recent operational windows.</w:t>
            </w:r>
          </w:p>
        </w:tc>
      </w:tr>
      <w:tr>
        <w:tc>
          <w:tcPr>
            <w:tcW w:type="dxa" w:w="3389"/>
            <w:vAlign w:val="center"/>
          </w:tcPr>
          <w:p>
            <w:pPr>
              <w:spacing w:after="0" w:before="0"/>
            </w:pPr>
            <w:r>
              <w:rPr>
                <w:rFonts w:ascii="Aptos" w:hAnsi="Aptos"/>
                <w:sz w:val="17"/>
              </w:rPr>
              <w:t>Cloud Runtime</w:t>
            </w:r>
          </w:p>
        </w:tc>
        <w:tc>
          <w:tcPr>
            <w:tcW w:type="dxa" w:w="3389"/>
            <w:vAlign w:val="center"/>
          </w:tcPr>
          <w:p>
            <w:pPr>
              <w:spacing w:after="0" w:before="0"/>
            </w:pPr>
            <w:r>
              <w:rPr>
                <w:rFonts w:ascii="Aptos" w:hAnsi="Aptos"/>
                <w:sz w:val="17"/>
              </w:rPr>
              <w:t>AWS Lambda, ECS/Fargate, SageMaker AI</w:t>
            </w:r>
          </w:p>
        </w:tc>
        <w:tc>
          <w:tcPr>
            <w:tcW w:type="dxa" w:w="3389"/>
            <w:vAlign w:val="center"/>
          </w:tcPr>
          <w:p>
            <w:pPr>
              <w:spacing w:after="0" w:before="0"/>
            </w:pPr>
            <w:r>
              <w:rPr>
                <w:rFonts w:ascii="Aptos" w:hAnsi="Aptos"/>
                <w:sz w:val="17"/>
              </w:rPr>
              <w:t>Serverless orchestration, scalable services, and managed model hosting.</w:t>
            </w:r>
          </w:p>
        </w:tc>
      </w:tr>
      <w:tr>
        <w:tc>
          <w:tcPr>
            <w:tcW w:type="dxa" w:w="3389"/>
            <w:vAlign w:val="center"/>
          </w:tcPr>
          <w:p>
            <w:pPr>
              <w:spacing w:after="0" w:before="0"/>
            </w:pPr>
            <w:r>
              <w:rPr>
                <w:rFonts w:ascii="Aptos" w:hAnsi="Aptos"/>
                <w:sz w:val="17"/>
              </w:rPr>
              <w:t>Visualization</w:t>
            </w:r>
          </w:p>
        </w:tc>
        <w:tc>
          <w:tcPr>
            <w:tcW w:type="dxa" w:w="3389"/>
            <w:vAlign w:val="center"/>
          </w:tcPr>
          <w:p>
            <w:pPr>
              <w:spacing w:after="0" w:before="0"/>
            </w:pPr>
            <w:r>
              <w:rPr>
                <w:rFonts w:ascii="Aptos" w:hAnsi="Aptos"/>
                <w:sz w:val="17"/>
              </w:rPr>
              <w:t>Amazon QuickSight and/or web dashboard</w:t>
            </w:r>
          </w:p>
        </w:tc>
        <w:tc>
          <w:tcPr>
            <w:tcW w:type="dxa" w:w="3389"/>
            <w:vAlign w:val="center"/>
          </w:tcPr>
          <w:p>
            <w:pPr>
              <w:spacing w:after="0" w:before="0"/>
            </w:pPr>
            <w:r>
              <w:rPr>
                <w:rFonts w:ascii="Aptos" w:hAnsi="Aptos"/>
                <w:sz w:val="17"/>
              </w:rPr>
              <w:t>Operational forecast, confidence, cost, and SLA views.</w:t>
            </w:r>
          </w:p>
        </w:tc>
      </w:tr>
      <w:tr>
        <w:tc>
          <w:tcPr>
            <w:tcW w:type="dxa" w:w="3389"/>
            <w:vAlign w:val="center"/>
          </w:tcPr>
          <w:p>
            <w:pPr>
              <w:spacing w:after="0" w:before="0"/>
            </w:pPr>
            <w:r>
              <w:rPr>
                <w:rFonts w:ascii="Aptos" w:hAnsi="Aptos"/>
                <w:sz w:val="17"/>
              </w:rPr>
              <w:t>DevOps</w:t>
            </w:r>
          </w:p>
        </w:tc>
        <w:tc>
          <w:tcPr>
            <w:tcW w:type="dxa" w:w="3389"/>
            <w:vAlign w:val="center"/>
          </w:tcPr>
          <w:p>
            <w:pPr>
              <w:spacing w:after="0" w:before="0"/>
            </w:pPr>
            <w:r>
              <w:rPr>
                <w:rFonts w:ascii="Aptos" w:hAnsi="Aptos"/>
                <w:sz w:val="17"/>
              </w:rPr>
              <w:t>GitHub, feature branches, pull requests, GitHub Actions, AWS CDK/Terraform later</w:t>
            </w:r>
          </w:p>
        </w:tc>
        <w:tc>
          <w:tcPr>
            <w:tcW w:type="dxa" w:w="3389"/>
            <w:vAlign w:val="center"/>
          </w:tcPr>
          <w:p>
            <w:pPr>
              <w:spacing w:after="0" w:before="0"/>
            </w:pPr>
            <w:r>
              <w:rPr>
                <w:rFonts w:ascii="Aptos" w:hAnsi="Aptos"/>
                <w:sz w:val="17"/>
              </w:rPr>
              <w:t>Traceable collaboration and future infrastructure automation.</w:t>
            </w:r>
          </w:p>
        </w:tc>
      </w:tr>
    </w:tbl>
    <w:p>
      <w:pPr>
        <w:pStyle w:val="Heading1"/>
        <w:keepNext/>
      </w:pPr>
      <w:r>
        <w:t>15. Evaluation Plan</w:t>
      </w:r>
    </w:p>
    <w:tbl>
      <w:tblPr>
        <w:tblStyle w:val="TableGrid"/>
        <w:tblW w:type="auto" w:w="0"/>
        <w:jc w:val="center"/>
        <w:tblLook w:firstColumn="1" w:firstRow="1" w:lastColumn="0" w:lastRow="0" w:noHBand="0" w:noVBand="1" w:val="04A0"/>
      </w:tblPr>
      <w:tblGrid>
        <w:gridCol w:w="5083"/>
        <w:gridCol w:w="5083"/>
      </w:tblGrid>
      <w:tr>
        <w:tc>
          <w:tcPr>
            <w:tcW w:type="dxa" w:w="5083"/>
            <w:shd w:fill="1E406B"/>
            <w:vAlign w:val="center"/>
          </w:tcPr>
          <w:p>
            <w:pPr>
              <w:spacing w:after="0" w:before="0"/>
            </w:pPr>
            <w:r>
              <w:rPr>
                <w:rFonts w:ascii="Aptos" w:hAnsi="Aptos"/>
                <w:b/>
                <w:color w:val="FFFFFF"/>
                <w:sz w:val="17"/>
              </w:rPr>
              <w:t>Evaluation Area</w:t>
            </w:r>
          </w:p>
        </w:tc>
        <w:tc>
          <w:tcPr>
            <w:tcW w:type="dxa" w:w="5083"/>
            <w:shd w:fill="1E406B"/>
            <w:vAlign w:val="center"/>
          </w:tcPr>
          <w:p>
            <w:pPr>
              <w:spacing w:after="0" w:before="0"/>
            </w:pPr>
            <w:r>
              <w:rPr>
                <w:rFonts w:ascii="Aptos" w:hAnsi="Aptos"/>
                <w:b/>
                <w:color w:val="FFFFFF"/>
                <w:sz w:val="17"/>
              </w:rPr>
              <w:t>Measures</w:t>
            </w:r>
          </w:p>
        </w:tc>
      </w:tr>
      <w:tr>
        <w:tc>
          <w:tcPr>
            <w:tcW w:type="dxa" w:w="5083"/>
            <w:vAlign w:val="center"/>
          </w:tcPr>
          <w:p>
            <w:pPr>
              <w:spacing w:after="0" w:before="0"/>
            </w:pPr>
            <w:r>
              <w:rPr>
                <w:rFonts w:ascii="Aptos" w:hAnsi="Aptos"/>
                <w:sz w:val="17"/>
              </w:rPr>
              <w:t>Forecast accuracy</w:t>
            </w:r>
          </w:p>
        </w:tc>
        <w:tc>
          <w:tcPr>
            <w:tcW w:type="dxa" w:w="5083"/>
            <w:vAlign w:val="center"/>
          </w:tcPr>
          <w:p>
            <w:pPr>
              <w:spacing w:after="0" w:before="0"/>
            </w:pPr>
            <w:r>
              <w:rPr>
                <w:rFonts w:ascii="Aptos" w:hAnsi="Aptos"/>
                <w:sz w:val="17"/>
              </w:rPr>
              <w:t>MAE, RMSE, sMAPE, MASE by horizon and workload regime.</w:t>
            </w:r>
          </w:p>
        </w:tc>
      </w:tr>
      <w:tr>
        <w:tc>
          <w:tcPr>
            <w:tcW w:type="dxa" w:w="5083"/>
            <w:vAlign w:val="center"/>
          </w:tcPr>
          <w:p>
            <w:pPr>
              <w:spacing w:after="0" w:before="0"/>
            </w:pPr>
            <w:r>
              <w:rPr>
                <w:rFonts w:ascii="Aptos" w:hAnsi="Aptos"/>
                <w:sz w:val="17"/>
              </w:rPr>
              <w:t>Uncertainty quality</w:t>
            </w:r>
          </w:p>
        </w:tc>
        <w:tc>
          <w:tcPr>
            <w:tcW w:type="dxa" w:w="5083"/>
            <w:vAlign w:val="center"/>
          </w:tcPr>
          <w:p>
            <w:pPr>
              <w:spacing w:after="0" w:before="0"/>
            </w:pPr>
            <w:r>
              <w:rPr>
                <w:rFonts w:ascii="Aptos" w:hAnsi="Aptos"/>
                <w:sz w:val="17"/>
              </w:rPr>
              <w:t>P90 interval coverage, interval width, calibration error.</w:t>
            </w:r>
          </w:p>
        </w:tc>
      </w:tr>
      <w:tr>
        <w:tc>
          <w:tcPr>
            <w:tcW w:type="dxa" w:w="5083"/>
            <w:vAlign w:val="center"/>
          </w:tcPr>
          <w:p>
            <w:pPr>
              <w:spacing w:after="0" w:before="0"/>
            </w:pPr>
            <w:r>
              <w:rPr>
                <w:rFonts w:ascii="Aptos" w:hAnsi="Aptos"/>
                <w:sz w:val="17"/>
              </w:rPr>
              <w:t>Operational quality</w:t>
            </w:r>
          </w:p>
        </w:tc>
        <w:tc>
          <w:tcPr>
            <w:tcW w:type="dxa" w:w="5083"/>
            <w:vAlign w:val="center"/>
          </w:tcPr>
          <w:p>
            <w:pPr>
              <w:spacing w:after="0" w:before="0"/>
            </w:pPr>
            <w:r>
              <w:rPr>
                <w:rFonts w:ascii="Aptos" w:hAnsi="Aptos"/>
                <w:sz w:val="17"/>
              </w:rPr>
              <w:t>SLA violation minutes, overload events, underutilization, scaling oscillations, and time-to-capacity.</w:t>
            </w:r>
          </w:p>
        </w:tc>
      </w:tr>
      <w:tr>
        <w:tc>
          <w:tcPr>
            <w:tcW w:type="dxa" w:w="5083"/>
            <w:vAlign w:val="center"/>
          </w:tcPr>
          <w:p>
            <w:pPr>
              <w:spacing w:after="0" w:before="0"/>
            </w:pPr>
            <w:r>
              <w:rPr>
                <w:rFonts w:ascii="Aptos" w:hAnsi="Aptos"/>
                <w:sz w:val="17"/>
              </w:rPr>
              <w:t>Cost</w:t>
            </w:r>
          </w:p>
        </w:tc>
        <w:tc>
          <w:tcPr>
            <w:tcW w:type="dxa" w:w="5083"/>
            <w:vAlign w:val="center"/>
          </w:tcPr>
          <w:p>
            <w:pPr>
              <w:spacing w:after="0" w:before="0"/>
            </w:pPr>
            <w:r>
              <w:rPr>
                <w:rFonts w:ascii="Aptos" w:hAnsi="Aptos"/>
                <w:sz w:val="17"/>
              </w:rPr>
              <w:t>Estimated instance/task-hours, model-inference cost, data-pipeline cost, and total simulated cost.</w:t>
            </w:r>
          </w:p>
        </w:tc>
      </w:tr>
      <w:tr>
        <w:tc>
          <w:tcPr>
            <w:tcW w:type="dxa" w:w="5083"/>
            <w:vAlign w:val="center"/>
          </w:tcPr>
          <w:p>
            <w:pPr>
              <w:spacing w:after="0" w:before="0"/>
            </w:pPr>
            <w:r>
              <w:rPr>
                <w:rFonts w:ascii="Aptos" w:hAnsi="Aptos"/>
                <w:sz w:val="17"/>
              </w:rPr>
              <w:t>Efficiency</w:t>
            </w:r>
          </w:p>
        </w:tc>
        <w:tc>
          <w:tcPr>
            <w:tcW w:type="dxa" w:w="5083"/>
            <w:vAlign w:val="center"/>
          </w:tcPr>
          <w:p>
            <w:pPr>
              <w:spacing w:after="0" w:before="0"/>
            </w:pPr>
            <w:r>
              <w:rPr>
                <w:rFonts w:ascii="Aptos" w:hAnsi="Aptos"/>
                <w:sz w:val="17"/>
              </w:rPr>
              <w:t>Inference latency, memory, CPU/GPU requirement, and model size.</w:t>
            </w:r>
          </w:p>
        </w:tc>
      </w:tr>
      <w:tr>
        <w:tc>
          <w:tcPr>
            <w:tcW w:type="dxa" w:w="5083"/>
            <w:vAlign w:val="center"/>
          </w:tcPr>
          <w:p>
            <w:pPr>
              <w:spacing w:after="0" w:before="0"/>
            </w:pPr>
            <w:r>
              <w:rPr>
                <w:rFonts w:ascii="Aptos" w:hAnsi="Aptos"/>
                <w:sz w:val="17"/>
              </w:rPr>
              <w:t>Robustness</w:t>
            </w:r>
          </w:p>
        </w:tc>
        <w:tc>
          <w:tcPr>
            <w:tcW w:type="dxa" w:w="5083"/>
            <w:vAlign w:val="center"/>
          </w:tcPr>
          <w:p>
            <w:pPr>
              <w:spacing w:after="0" w:before="0"/>
            </w:pPr>
            <w:r>
              <w:rPr>
                <w:rFonts w:ascii="Aptos" w:hAnsi="Aptos"/>
                <w:sz w:val="17"/>
              </w:rPr>
              <w:t>Missing telemetry, delayed data, event spikes, distribution shift, and model-service failure.</w:t>
            </w:r>
          </w:p>
        </w:tc>
      </w:tr>
    </w:tbl>
    <w:p>
      <w:pPr>
        <w:pStyle w:val="Heading1"/>
        <w:keepNext/>
      </w:pPr>
      <w:r>
        <w:t>16. Work Distribution and Individual Contribution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E406B"/>
            <w:vAlign w:val="center"/>
          </w:tcPr>
          <w:p>
            <w:pPr>
              <w:spacing w:after="0" w:before="0"/>
            </w:pPr>
            <w:r>
              <w:rPr>
                <w:rFonts w:ascii="Aptos" w:hAnsi="Aptos"/>
                <w:b/>
                <w:color w:val="FFFFFF"/>
                <w:sz w:val="16"/>
              </w:rPr>
              <w:t>Team Member</w:t>
            </w:r>
          </w:p>
        </w:tc>
        <w:tc>
          <w:tcPr>
            <w:tcW w:type="dxa" w:w="2541"/>
            <w:shd w:fill="1E406B"/>
            <w:vAlign w:val="center"/>
          </w:tcPr>
          <w:p>
            <w:pPr>
              <w:spacing w:after="0" w:before="0"/>
            </w:pPr>
            <w:r>
              <w:rPr>
                <w:rFonts w:ascii="Aptos" w:hAnsi="Aptos"/>
                <w:b/>
                <w:color w:val="FFFFFF"/>
                <w:sz w:val="16"/>
              </w:rPr>
              <w:t>Registration No.</w:t>
            </w:r>
          </w:p>
        </w:tc>
        <w:tc>
          <w:tcPr>
            <w:tcW w:type="dxa" w:w="2541"/>
            <w:shd w:fill="1E406B"/>
            <w:vAlign w:val="center"/>
          </w:tcPr>
          <w:p>
            <w:pPr>
              <w:spacing w:after="0" w:before="0"/>
            </w:pPr>
            <w:r>
              <w:rPr>
                <w:rFonts w:ascii="Aptos" w:hAnsi="Aptos"/>
                <w:b/>
                <w:color w:val="FFFFFF"/>
                <w:sz w:val="16"/>
              </w:rPr>
              <w:t>Paper Allocation</w:t>
            </w:r>
          </w:p>
        </w:tc>
        <w:tc>
          <w:tcPr>
            <w:tcW w:type="dxa" w:w="2541"/>
            <w:shd w:fill="1E406B"/>
            <w:vAlign w:val="center"/>
          </w:tcPr>
          <w:p>
            <w:pPr>
              <w:spacing w:after="0" w:before="0"/>
            </w:pPr>
            <w:r>
              <w:rPr>
                <w:rFonts w:ascii="Aptos" w:hAnsi="Aptos"/>
                <w:b/>
                <w:color w:val="FFFFFF"/>
                <w:sz w:val="16"/>
              </w:rPr>
              <w:t>Primary Responsibilities</w:t>
            </w:r>
          </w:p>
        </w:tc>
      </w:tr>
      <w:tr>
        <w:tc>
          <w:tcPr>
            <w:tcW w:type="dxa" w:w="2541"/>
            <w:vAlign w:val="center"/>
          </w:tcPr>
          <w:p>
            <w:pPr>
              <w:spacing w:after="0" w:before="0"/>
            </w:pPr>
            <w:r>
              <w:rPr>
                <w:rFonts w:ascii="Aptos" w:hAnsi="Aptos"/>
                <w:sz w:val="16"/>
              </w:rPr>
              <w:t>Piyush Sagar</w:t>
            </w:r>
          </w:p>
        </w:tc>
        <w:tc>
          <w:tcPr>
            <w:tcW w:type="dxa" w:w="2541"/>
            <w:vAlign w:val="center"/>
          </w:tcPr>
          <w:p>
            <w:pPr>
              <w:spacing w:after="0" w:before="0"/>
            </w:pPr>
            <w:r>
              <w:rPr>
                <w:rFonts w:ascii="Aptos" w:hAnsi="Aptos"/>
                <w:sz w:val="16"/>
              </w:rPr>
              <w:t>24BIT0620</w:t>
            </w:r>
          </w:p>
        </w:tc>
        <w:tc>
          <w:tcPr>
            <w:tcW w:type="dxa" w:w="2541"/>
            <w:vAlign w:val="center"/>
          </w:tcPr>
          <w:p>
            <w:pPr>
              <w:spacing w:after="0" w:before="0"/>
            </w:pPr>
            <w:r>
              <w:rPr>
                <w:rFonts w:ascii="Aptos" w:hAnsi="Aptos"/>
                <w:sz w:val="16"/>
              </w:rPr>
              <w:t>Papers 1-5</w:t>
            </w:r>
          </w:p>
        </w:tc>
        <w:tc>
          <w:tcPr>
            <w:tcW w:type="dxa" w:w="2541"/>
            <w:vAlign w:val="center"/>
          </w:tcPr>
          <w:p>
            <w:pPr>
              <w:spacing w:after="0" w:before="0"/>
            </w:pPr>
            <w:r>
              <w:rPr>
                <w:rFonts w:ascii="Aptos" w:hAnsi="Aptos"/>
                <w:sz w:val="16"/>
              </w:rPr>
              <w:t>Papers 1-5; problem definition; frontend/dashboard planning; capacity-policy logic; complete system architecture; API contract and documentation integration.</w:t>
            </w:r>
          </w:p>
        </w:tc>
      </w:tr>
      <w:tr>
        <w:tc>
          <w:tcPr>
            <w:tcW w:type="dxa" w:w="2541"/>
            <w:vAlign w:val="center"/>
          </w:tcPr>
          <w:p>
            <w:pPr>
              <w:spacing w:after="0" w:before="0"/>
            </w:pPr>
            <w:r>
              <w:rPr>
                <w:rFonts w:ascii="Aptos" w:hAnsi="Aptos"/>
                <w:sz w:val="16"/>
              </w:rPr>
              <w:t>Chirayu Sahu</w:t>
            </w:r>
          </w:p>
        </w:tc>
        <w:tc>
          <w:tcPr>
            <w:tcW w:type="dxa" w:w="2541"/>
            <w:vAlign w:val="center"/>
          </w:tcPr>
          <w:p>
            <w:pPr>
              <w:spacing w:after="0" w:before="0"/>
            </w:pPr>
            <w:r>
              <w:rPr>
                <w:rFonts w:ascii="Aptos" w:hAnsi="Aptos"/>
                <w:sz w:val="16"/>
              </w:rPr>
              <w:t>24BIT0622</w:t>
            </w:r>
          </w:p>
        </w:tc>
        <w:tc>
          <w:tcPr>
            <w:tcW w:type="dxa" w:w="2541"/>
            <w:vAlign w:val="center"/>
          </w:tcPr>
          <w:p>
            <w:pPr>
              <w:spacing w:after="0" w:before="0"/>
            </w:pPr>
            <w:r>
              <w:rPr>
                <w:rFonts w:ascii="Aptos" w:hAnsi="Aptos"/>
                <w:sz w:val="16"/>
              </w:rPr>
              <w:t>Papers 6-10</w:t>
            </w:r>
          </w:p>
        </w:tc>
        <w:tc>
          <w:tcPr>
            <w:tcW w:type="dxa" w:w="2541"/>
            <w:vAlign w:val="center"/>
          </w:tcPr>
          <w:p>
            <w:pPr>
              <w:spacing w:after="0" w:before="0"/>
            </w:pPr>
            <w:r>
              <w:rPr>
                <w:rFonts w:ascii="Aptos" w:hAnsi="Aptos"/>
                <w:sz w:val="16"/>
              </w:rPr>
              <w:t>Papers 6-10; AWS architecture and service mapping; backend/data-ingestion planning; authentication and notification workflow; repository governance and reviews.</w:t>
            </w:r>
          </w:p>
        </w:tc>
      </w:tr>
      <w:tr>
        <w:tc>
          <w:tcPr>
            <w:tcW w:type="dxa" w:w="2541"/>
            <w:vAlign w:val="center"/>
          </w:tcPr>
          <w:p>
            <w:pPr>
              <w:spacing w:after="0" w:before="0"/>
            </w:pPr>
            <w:r>
              <w:rPr>
                <w:rFonts w:ascii="Aptos" w:hAnsi="Aptos"/>
                <w:sz w:val="16"/>
              </w:rPr>
              <w:t>Sujal Agarwal</w:t>
            </w:r>
          </w:p>
        </w:tc>
        <w:tc>
          <w:tcPr>
            <w:tcW w:type="dxa" w:w="2541"/>
            <w:vAlign w:val="center"/>
          </w:tcPr>
          <w:p>
            <w:pPr>
              <w:spacing w:after="0" w:before="0"/>
            </w:pPr>
            <w:r>
              <w:rPr>
                <w:rFonts w:ascii="Aptos" w:hAnsi="Aptos"/>
                <w:sz w:val="16"/>
              </w:rPr>
              <w:t>24BIT0623</w:t>
            </w:r>
          </w:p>
        </w:tc>
        <w:tc>
          <w:tcPr>
            <w:tcW w:type="dxa" w:w="2541"/>
            <w:vAlign w:val="center"/>
          </w:tcPr>
          <w:p>
            <w:pPr>
              <w:spacing w:after="0" w:before="0"/>
            </w:pPr>
            <w:r>
              <w:rPr>
                <w:rFonts w:ascii="Aptos" w:hAnsi="Aptos"/>
                <w:sz w:val="16"/>
              </w:rPr>
              <w:t>Papers 11-15</w:t>
            </w:r>
          </w:p>
        </w:tc>
        <w:tc>
          <w:tcPr>
            <w:tcW w:type="dxa" w:w="2541"/>
            <w:vAlign w:val="center"/>
          </w:tcPr>
          <w:p>
            <w:pPr>
              <w:spacing w:after="0" w:before="0"/>
            </w:pPr>
            <w:r>
              <w:rPr>
                <w:rFonts w:ascii="Aptos" w:hAnsi="Aptos"/>
                <w:sz w:val="16"/>
              </w:rPr>
              <w:t>Papers 11-15; dataset study and preprocessing plan; TSFM/baseline experiment design; evaluation metrics; results-folder planning and model monitoring.</w:t>
            </w:r>
          </w:p>
        </w:tc>
      </w:tr>
    </w:tbl>
    <w:p>
      <w:pPr>
        <w:pStyle w:val="Heading1"/>
        <w:keepNext/>
      </w:pPr>
      <w:r>
        <w:t>17. GitHub Repository Plan</w:t>
      </w:r>
    </w:p>
    <w:p>
      <w:r>
        <w:rPr>
          <w:b/>
        </w:rPr>
        <w:t>Repository name: PredictiveCapacityPlanning_Cloud_Project_2026</w:t>
      </w:r>
    </w:p>
    <w:p>
      <w:r>
        <w:rPr>
          <w:rFonts w:ascii="Liberation Mono" w:hAnsi="Liberation Mono"/>
          <w:sz w:val="16"/>
        </w:rPr>
        <w:t>PredictiveCapacityPlanning_Cloud_Project_2026/</w:t>
        <w:br/>
        <w:t>|-- README.md</w:t>
        <w:br/>
        <w:t>|-- LICENSE</w:t>
        <w:br/>
        <w:t>|-- .gitignore</w:t>
        <w:br/>
        <w:t>|-- docs/</w:t>
        <w:br/>
        <w:t>|   |-- Project_Report.docx</w:t>
        <w:br/>
        <w:t>|   |-- Literature_Survey.md</w:t>
        <w:br/>
        <w:t>|   |-- Research_Gap.md</w:t>
        <w:br/>
        <w:t>|   |-- Objectives_and_Novelty.md</w:t>
        <w:br/>
        <w:t>|   `-- References.md</w:t>
        <w:br/>
        <w:t>|-- architecture/</w:t>
        <w:br/>
        <w:t>|   |-- AWS_Architecture.png</w:t>
        <w:br/>
        <w:t>|   |-- System_Architecture.png</w:t>
        <w:br/>
        <w:t>|   `-- README.md</w:t>
        <w:br/>
        <w:t>|-- dataset/</w:t>
        <w:br/>
        <w:t>|   |-- raw/README.md</w:t>
        <w:br/>
        <w:t>|   |-- processed/README.md</w:t>
        <w:br/>
        <w:t>|   `-- Dataset_Details.md</w:t>
        <w:br/>
        <w:t>|-- src/</w:t>
        <w:br/>
        <w:t>|   |-- frontend/README.md</w:t>
        <w:br/>
        <w:t>|   |-- backend/README.md</w:t>
        <w:br/>
        <w:t>|   |-- ai_models/README.md</w:t>
        <w:br/>
        <w:t>|   |-- database/README.md</w:t>
        <w:br/>
        <w:t>|   `-- aws/README.md</w:t>
        <w:br/>
        <w:t>|-- work_distribution/</w:t>
        <w:br/>
        <w:t>|   `-- Work_Distribution.md</w:t>
        <w:br/>
        <w:t>|-- results/README.md</w:t>
        <w:br/>
        <w:t>`-- presentation/README.md</w:t>
      </w:r>
    </w:p>
    <w:p>
      <w:pPr>
        <w:pStyle w:val="Heading2"/>
        <w:keepNext/>
      </w:pPr>
      <w:r>
        <w:t>17.1 Branch and Review Workflow</w:t>
      </w:r>
    </w:p>
    <w:p>
      <w:pPr>
        <w:spacing w:after="80"/>
        <w:ind w:left="403" w:hanging="403"/>
      </w:pPr>
      <w:r>
        <w:rPr>
          <w:rFonts w:ascii="Aptos" w:hAnsi="Aptos"/>
          <w:sz w:val="20"/>
        </w:rPr>
        <w:t>1.  Create main and develop branches.</w:t>
      </w:r>
    </w:p>
    <w:p>
      <w:pPr>
        <w:spacing w:after="80"/>
        <w:ind w:left="403" w:hanging="403"/>
      </w:pPr>
      <w:r>
        <w:rPr>
          <w:rFonts w:ascii="Aptos" w:hAnsi="Aptos"/>
          <w:sz w:val="20"/>
        </w:rPr>
        <w:t>2.  Create feature/piyush, feature/chirayu, and feature/sujal branches.</w:t>
      </w:r>
    </w:p>
    <w:p>
      <w:pPr>
        <w:spacing w:after="80"/>
        <w:ind w:left="403" w:hanging="403"/>
      </w:pPr>
      <w:r>
        <w:rPr>
          <w:rFonts w:ascii="Aptos" w:hAnsi="Aptos"/>
          <w:sz w:val="20"/>
        </w:rPr>
        <w:t>3.  Each member commits only meaningful planning or documentation changes to their feature branch.</w:t>
      </w:r>
    </w:p>
    <w:p>
      <w:pPr>
        <w:spacing w:after="80"/>
        <w:ind w:left="403" w:hanging="403"/>
      </w:pPr>
      <w:r>
        <w:rPr>
          <w:rFonts w:ascii="Aptos" w:hAnsi="Aptos"/>
          <w:sz w:val="20"/>
        </w:rPr>
        <w:t>4.  Raise pull requests from feature branches to develop; at least one teammate reviews each change.</w:t>
      </w:r>
    </w:p>
    <w:p>
      <w:pPr>
        <w:spacing w:after="80"/>
        <w:ind w:left="403" w:hanging="403"/>
      </w:pPr>
      <w:r>
        <w:rPr>
          <w:rFonts w:ascii="Aptos" w:hAnsi="Aptos"/>
          <w:sz w:val="20"/>
        </w:rPr>
        <w:t>5.  Merge the stable develop branch into main and tag the Phase-I release as v1.0-Phase1.</w:t>
      </w:r>
    </w:p>
    <w:p>
      <w:pPr>
        <w:spacing w:after="80"/>
        <w:ind w:left="403" w:hanging="403"/>
      </w:pPr>
      <w:r>
        <w:rPr>
          <w:rFonts w:ascii="Aptos" w:hAnsi="Aptos"/>
          <w:sz w:val="20"/>
        </w:rPr>
        <w:t>6.  Do not manufacture meaningless commits. The attached guideline expects regular, meaningful activity; commit history should reflect real work.</w:t>
      </w:r>
    </w:p>
    <w:p>
      <w:pPr>
        <w:pStyle w:val="Heading1"/>
        <w:keepNext/>
      </w:pPr>
      <w:r>
        <w:t>18. Phase-I Completion Checklist</w:t>
      </w:r>
    </w:p>
    <w:tbl>
      <w:tblPr>
        <w:tblStyle w:val="TableGrid"/>
        <w:tblW w:type="auto" w:w="0"/>
        <w:jc w:val="center"/>
        <w:tblLook w:firstColumn="1" w:firstRow="1" w:lastColumn="0" w:lastRow="0" w:noHBand="0" w:noVBand="1" w:val="04A0"/>
      </w:tblPr>
      <w:tblGrid>
        <w:gridCol w:w="5083"/>
        <w:gridCol w:w="5083"/>
      </w:tblGrid>
      <w:tr>
        <w:tc>
          <w:tcPr>
            <w:tcW w:type="dxa" w:w="5083"/>
            <w:shd w:fill="1E406B"/>
            <w:vAlign w:val="center"/>
          </w:tcPr>
          <w:p>
            <w:pPr>
              <w:spacing w:after="0" w:before="0"/>
            </w:pPr>
            <w:r>
              <w:rPr>
                <w:rFonts w:ascii="Aptos" w:hAnsi="Aptos"/>
                <w:b/>
                <w:color w:val="FFFFFF"/>
                <w:sz w:val="17"/>
              </w:rPr>
              <w:t>Status</w:t>
            </w:r>
          </w:p>
        </w:tc>
        <w:tc>
          <w:tcPr>
            <w:tcW w:type="dxa" w:w="5083"/>
            <w:shd w:fill="1E406B"/>
            <w:vAlign w:val="center"/>
          </w:tcPr>
          <w:p>
            <w:pPr>
              <w:spacing w:after="0" w:before="0"/>
            </w:pPr>
            <w:r>
              <w:rPr>
                <w:rFonts w:ascii="Aptos" w:hAnsi="Aptos"/>
                <w:b/>
                <w:color w:val="FFFFFF"/>
                <w:sz w:val="17"/>
              </w:rPr>
              <w:t>Item</w:t>
            </w:r>
          </w:p>
        </w:tc>
      </w:tr>
      <w:tr>
        <w:tc>
          <w:tcPr>
            <w:tcW w:type="dxa" w:w="5083"/>
            <w:shd w:fill="E2F0D9"/>
            <w:vAlign w:val="center"/>
          </w:tcPr>
          <w:p>
            <w:pPr>
              <w:spacing w:after="0" w:before="0"/>
            </w:pPr>
            <w:r>
              <w:rPr>
                <w:rFonts w:ascii="Aptos" w:hAnsi="Aptos"/>
                <w:sz w:val="17"/>
              </w:rPr>
              <w:t>Completed</w:t>
            </w:r>
          </w:p>
        </w:tc>
        <w:tc>
          <w:tcPr>
            <w:tcW w:type="dxa" w:w="5083"/>
            <w:vAlign w:val="center"/>
          </w:tcPr>
          <w:p>
            <w:pPr>
              <w:spacing w:after="0" w:before="0"/>
            </w:pPr>
            <w:r>
              <w:rPr>
                <w:rFonts w:ascii="Aptos" w:hAnsi="Aptos"/>
                <w:sz w:val="17"/>
              </w:rPr>
              <w:t>Project title, problem statement, objectives, proposed solution, and novelty.</w:t>
            </w:r>
          </w:p>
        </w:tc>
      </w:tr>
      <w:tr>
        <w:tc>
          <w:tcPr>
            <w:tcW w:type="dxa" w:w="5083"/>
            <w:shd w:fill="E2F0D9"/>
            <w:vAlign w:val="center"/>
          </w:tcPr>
          <w:p>
            <w:pPr>
              <w:spacing w:after="0" w:before="0"/>
            </w:pPr>
            <w:r>
              <w:rPr>
                <w:rFonts w:ascii="Aptos" w:hAnsi="Aptos"/>
                <w:sz w:val="17"/>
              </w:rPr>
              <w:t>Completed</w:t>
            </w:r>
          </w:p>
        </w:tc>
        <w:tc>
          <w:tcPr>
            <w:tcW w:type="dxa" w:w="5083"/>
            <w:vAlign w:val="center"/>
          </w:tcPr>
          <w:p>
            <w:pPr>
              <w:spacing w:after="0" w:before="0"/>
            </w:pPr>
            <w:r>
              <w:rPr>
                <w:rFonts w:ascii="Aptos" w:hAnsi="Aptos"/>
                <w:sz w:val="17"/>
              </w:rPr>
              <w:t>Fifteen-paper literature survey with five papers allocated to each member.</w:t>
            </w:r>
          </w:p>
        </w:tc>
      </w:tr>
      <w:tr>
        <w:tc>
          <w:tcPr>
            <w:tcW w:type="dxa" w:w="5083"/>
            <w:shd w:fill="E2F0D9"/>
            <w:vAlign w:val="center"/>
          </w:tcPr>
          <w:p>
            <w:pPr>
              <w:spacing w:after="0" w:before="0"/>
            </w:pPr>
            <w:r>
              <w:rPr>
                <w:rFonts w:ascii="Aptos" w:hAnsi="Aptos"/>
                <w:sz w:val="17"/>
              </w:rPr>
              <w:t>Completed</w:t>
            </w:r>
          </w:p>
        </w:tc>
        <w:tc>
          <w:tcPr>
            <w:tcW w:type="dxa" w:w="5083"/>
            <w:vAlign w:val="center"/>
          </w:tcPr>
          <w:p>
            <w:pPr>
              <w:spacing w:after="0" w:before="0"/>
            </w:pPr>
            <w:r>
              <w:rPr>
                <w:rFonts w:ascii="Aptos" w:hAnsi="Aptos"/>
                <w:sz w:val="17"/>
              </w:rPr>
              <w:t>Individual research-gap analysis and consolidated project gap.</w:t>
            </w:r>
          </w:p>
        </w:tc>
      </w:tr>
      <w:tr>
        <w:tc>
          <w:tcPr>
            <w:tcW w:type="dxa" w:w="5083"/>
            <w:shd w:fill="E2F0D9"/>
            <w:vAlign w:val="center"/>
          </w:tcPr>
          <w:p>
            <w:pPr>
              <w:spacing w:after="0" w:before="0"/>
            </w:pPr>
            <w:r>
              <w:rPr>
                <w:rFonts w:ascii="Aptos" w:hAnsi="Aptos"/>
                <w:sz w:val="17"/>
              </w:rPr>
              <w:t>Completed</w:t>
            </w:r>
          </w:p>
        </w:tc>
        <w:tc>
          <w:tcPr>
            <w:tcW w:type="dxa" w:w="5083"/>
            <w:vAlign w:val="center"/>
          </w:tcPr>
          <w:p>
            <w:pPr>
              <w:spacing w:after="0" w:before="0"/>
            </w:pPr>
            <w:r>
              <w:rPr>
                <w:rFonts w:ascii="Aptos" w:hAnsi="Aptos"/>
                <w:sz w:val="17"/>
              </w:rPr>
              <w:t>AWS cloud architecture and complete system architecture diagrams.</w:t>
            </w:r>
          </w:p>
        </w:tc>
      </w:tr>
      <w:tr>
        <w:tc>
          <w:tcPr>
            <w:tcW w:type="dxa" w:w="5083"/>
            <w:shd w:fill="E2F0D9"/>
            <w:vAlign w:val="center"/>
          </w:tcPr>
          <w:p>
            <w:pPr>
              <w:spacing w:after="0" w:before="0"/>
            </w:pPr>
            <w:r>
              <w:rPr>
                <w:rFonts w:ascii="Aptos" w:hAnsi="Aptos"/>
                <w:sz w:val="17"/>
              </w:rPr>
              <w:t>Completed</w:t>
            </w:r>
          </w:p>
        </w:tc>
        <w:tc>
          <w:tcPr>
            <w:tcW w:type="dxa" w:w="5083"/>
            <w:vAlign w:val="center"/>
          </w:tcPr>
          <w:p>
            <w:pPr>
              <w:spacing w:after="0" w:before="0"/>
            </w:pPr>
            <w:r>
              <w:rPr>
                <w:rFonts w:ascii="Aptos" w:hAnsi="Aptos"/>
                <w:sz w:val="17"/>
              </w:rPr>
              <w:t>Dataset plan, limitations, preprocessing, and AWS service mapping.</w:t>
            </w:r>
          </w:p>
        </w:tc>
      </w:tr>
      <w:tr>
        <w:tc>
          <w:tcPr>
            <w:tcW w:type="dxa" w:w="5083"/>
            <w:shd w:fill="E2F0D9"/>
            <w:vAlign w:val="center"/>
          </w:tcPr>
          <w:p>
            <w:pPr>
              <w:spacing w:after="0" w:before="0"/>
            </w:pPr>
            <w:r>
              <w:rPr>
                <w:rFonts w:ascii="Aptos" w:hAnsi="Aptos"/>
                <w:sz w:val="17"/>
              </w:rPr>
              <w:t>Completed</w:t>
            </w:r>
          </w:p>
        </w:tc>
        <w:tc>
          <w:tcPr>
            <w:tcW w:type="dxa" w:w="5083"/>
            <w:vAlign w:val="center"/>
          </w:tcPr>
          <w:p>
            <w:pPr>
              <w:spacing w:after="0" w:before="0"/>
            </w:pPr>
            <w:r>
              <w:rPr>
                <w:rFonts w:ascii="Aptos" w:hAnsi="Aptos"/>
                <w:sz w:val="17"/>
              </w:rPr>
              <w:t>Repository structure, branch plan, placeholders, and work distribution.</w:t>
            </w:r>
          </w:p>
        </w:tc>
      </w:tr>
      <w:tr>
        <w:tc>
          <w:tcPr>
            <w:tcW w:type="dxa" w:w="5083"/>
            <w:shd w:fill="FFF2CC"/>
            <w:vAlign w:val="center"/>
          </w:tcPr>
          <w:p>
            <w:pPr>
              <w:spacing w:after="0" w:before="0"/>
            </w:pPr>
            <w:r>
              <w:rPr>
                <w:rFonts w:ascii="Aptos" w:hAnsi="Aptos"/>
                <w:sz w:val="17"/>
              </w:rPr>
              <w:t>Pending Phase II</w:t>
            </w:r>
          </w:p>
        </w:tc>
        <w:tc>
          <w:tcPr>
            <w:tcW w:type="dxa" w:w="5083"/>
            <w:vAlign w:val="center"/>
          </w:tcPr>
          <w:p>
            <w:pPr>
              <w:spacing w:after="0" w:before="0"/>
            </w:pPr>
            <w:r>
              <w:rPr>
                <w:rFonts w:ascii="Aptos" w:hAnsi="Aptos"/>
                <w:sz w:val="17"/>
              </w:rPr>
              <w:t>Dataset download/subset creation, model execution, prototype telemetry, implementation, experiments, results, and presentation screenshots.</w:t>
            </w:r>
          </w:p>
        </w:tc>
      </w:tr>
    </w:tbl>
    <w:p>
      <w:pPr>
        <w:pStyle w:val="Heading1"/>
        <w:keepNext/>
      </w:pPr>
      <w:r>
        <w:t>19. Risks and Mitigation</w:t>
      </w:r>
    </w:p>
    <w:tbl>
      <w:tblPr>
        <w:tblStyle w:val="TableGrid"/>
        <w:tblW w:type="auto" w:w="0"/>
        <w:jc w:val="center"/>
        <w:tblLook w:firstColumn="1" w:firstRow="1" w:lastColumn="0" w:lastRow="0" w:noHBand="0" w:noVBand="1" w:val="04A0"/>
      </w:tblPr>
      <w:tblGrid>
        <w:gridCol w:w="5083"/>
        <w:gridCol w:w="5083"/>
      </w:tblGrid>
      <w:tr>
        <w:tc>
          <w:tcPr>
            <w:tcW w:type="dxa" w:w="5083"/>
            <w:shd w:fill="1E406B"/>
            <w:vAlign w:val="center"/>
          </w:tcPr>
          <w:p>
            <w:pPr>
              <w:spacing w:after="0" w:before="0"/>
            </w:pPr>
            <w:r>
              <w:rPr>
                <w:rFonts w:ascii="Aptos" w:hAnsi="Aptos"/>
                <w:b/>
                <w:color w:val="FFFFFF"/>
                <w:sz w:val="17"/>
              </w:rPr>
              <w:t>Risk</w:t>
            </w:r>
          </w:p>
        </w:tc>
        <w:tc>
          <w:tcPr>
            <w:tcW w:type="dxa" w:w="5083"/>
            <w:shd w:fill="1E406B"/>
            <w:vAlign w:val="center"/>
          </w:tcPr>
          <w:p>
            <w:pPr>
              <w:spacing w:after="0" w:before="0"/>
            </w:pPr>
            <w:r>
              <w:rPr>
                <w:rFonts w:ascii="Aptos" w:hAnsi="Aptos"/>
                <w:b/>
                <w:color w:val="FFFFFF"/>
                <w:sz w:val="17"/>
              </w:rPr>
              <w:t>Mitigation</w:t>
            </w:r>
          </w:p>
        </w:tc>
      </w:tr>
      <w:tr>
        <w:tc>
          <w:tcPr>
            <w:tcW w:type="dxa" w:w="5083"/>
            <w:vAlign w:val="center"/>
          </w:tcPr>
          <w:p>
            <w:pPr>
              <w:spacing w:after="0" w:before="0"/>
            </w:pPr>
            <w:r>
              <w:rPr>
                <w:rFonts w:ascii="Aptos" w:hAnsi="Aptos"/>
                <w:sz w:val="17"/>
              </w:rPr>
              <w:t>Dataset mismatch</w:t>
            </w:r>
          </w:p>
        </w:tc>
        <w:tc>
          <w:tcPr>
            <w:tcW w:type="dxa" w:w="5083"/>
            <w:vAlign w:val="center"/>
          </w:tcPr>
          <w:p>
            <w:pPr>
              <w:spacing w:after="0" w:before="0"/>
            </w:pPr>
            <w:r>
              <w:rPr>
                <w:rFonts w:ascii="Aptos" w:hAnsi="Aptos"/>
                <w:sz w:val="17"/>
              </w:rPr>
              <w:t>Use Alibaba as a proxy only; create a transparent synthetic event overlay and later collect prototype CloudFront/CloudWatch metrics.</w:t>
            </w:r>
          </w:p>
        </w:tc>
      </w:tr>
      <w:tr>
        <w:tc>
          <w:tcPr>
            <w:tcW w:type="dxa" w:w="5083"/>
            <w:vAlign w:val="center"/>
          </w:tcPr>
          <w:p>
            <w:pPr>
              <w:spacing w:after="0" w:before="0"/>
            </w:pPr>
            <w:r>
              <w:rPr>
                <w:rFonts w:ascii="Aptos" w:hAnsi="Aptos"/>
                <w:sz w:val="17"/>
              </w:rPr>
              <w:t>Model cost/latency</w:t>
            </w:r>
          </w:p>
        </w:tc>
        <w:tc>
          <w:tcPr>
            <w:tcW w:type="dxa" w:w="5083"/>
            <w:vAlign w:val="center"/>
          </w:tcPr>
          <w:p>
            <w:pPr>
              <w:spacing w:after="0" w:before="0"/>
            </w:pPr>
            <w:r>
              <w:rPr>
                <w:rFonts w:ascii="Aptos" w:hAnsi="Aptos"/>
                <w:sz w:val="17"/>
              </w:rPr>
              <w:t>Benchmark TTM and simpler baselines; choose the operationally best model rather than the largest model.</w:t>
            </w:r>
          </w:p>
        </w:tc>
      </w:tr>
      <w:tr>
        <w:tc>
          <w:tcPr>
            <w:tcW w:type="dxa" w:w="5083"/>
            <w:vAlign w:val="center"/>
          </w:tcPr>
          <w:p>
            <w:pPr>
              <w:spacing w:after="0" w:before="0"/>
            </w:pPr>
            <w:r>
              <w:rPr>
                <w:rFonts w:ascii="Aptos" w:hAnsi="Aptos"/>
                <w:sz w:val="17"/>
              </w:rPr>
              <w:t>Unsafe scaling</w:t>
            </w:r>
          </w:p>
        </w:tc>
        <w:tc>
          <w:tcPr>
            <w:tcW w:type="dxa" w:w="5083"/>
            <w:vAlign w:val="center"/>
          </w:tcPr>
          <w:p>
            <w:pPr>
              <w:spacing w:after="0" w:before="0"/>
            </w:pPr>
            <w:r>
              <w:rPr>
                <w:rFonts w:ascii="Aptos" w:hAnsi="Aptos"/>
                <w:sz w:val="17"/>
              </w:rPr>
              <w:t>Start in recommendation mode; enforce min/max bounds, cooldown, deadband, confidence checks, and reactive fallback.</w:t>
            </w:r>
          </w:p>
        </w:tc>
      </w:tr>
      <w:tr>
        <w:tc>
          <w:tcPr>
            <w:tcW w:type="dxa" w:w="5083"/>
            <w:vAlign w:val="center"/>
          </w:tcPr>
          <w:p>
            <w:pPr>
              <w:spacing w:after="0" w:before="0"/>
            </w:pPr>
            <w:r>
              <w:rPr>
                <w:rFonts w:ascii="Aptos" w:hAnsi="Aptos"/>
                <w:sz w:val="17"/>
              </w:rPr>
              <w:t>Concept drift</w:t>
            </w:r>
          </w:p>
        </w:tc>
        <w:tc>
          <w:tcPr>
            <w:tcW w:type="dxa" w:w="5083"/>
            <w:vAlign w:val="center"/>
          </w:tcPr>
          <w:p>
            <w:pPr>
              <w:spacing w:after="0" w:before="0"/>
            </w:pPr>
            <w:r>
              <w:rPr>
                <w:rFonts w:ascii="Aptos" w:hAnsi="Aptos"/>
                <w:sz w:val="17"/>
              </w:rPr>
              <w:t>Track recent backtest errors and interval coverage; trigger model fallback or retraining.</w:t>
            </w:r>
          </w:p>
        </w:tc>
      </w:tr>
      <w:tr>
        <w:tc>
          <w:tcPr>
            <w:tcW w:type="dxa" w:w="5083"/>
            <w:vAlign w:val="center"/>
          </w:tcPr>
          <w:p>
            <w:pPr>
              <w:spacing w:after="0" w:before="0"/>
            </w:pPr>
            <w:r>
              <w:rPr>
                <w:rFonts w:ascii="Aptos" w:hAnsi="Aptos"/>
                <w:sz w:val="17"/>
              </w:rPr>
              <w:t>Data gaps</w:t>
            </w:r>
          </w:p>
        </w:tc>
        <w:tc>
          <w:tcPr>
            <w:tcW w:type="dxa" w:w="5083"/>
            <w:vAlign w:val="center"/>
          </w:tcPr>
          <w:p>
            <w:pPr>
              <w:spacing w:after="0" w:before="0"/>
            </w:pPr>
            <w:r>
              <w:rPr>
                <w:rFonts w:ascii="Aptos" w:hAnsi="Aptos"/>
                <w:sz w:val="17"/>
              </w:rPr>
              <w:t>Validate freshness and completeness; impute only within defined limits; suppress automatic actions when quality is poor.</w:t>
            </w:r>
          </w:p>
        </w:tc>
      </w:tr>
      <w:tr>
        <w:tc>
          <w:tcPr>
            <w:tcW w:type="dxa" w:w="5083"/>
            <w:vAlign w:val="center"/>
          </w:tcPr>
          <w:p>
            <w:pPr>
              <w:spacing w:after="0" w:before="0"/>
            </w:pPr>
            <w:r>
              <w:rPr>
                <w:rFonts w:ascii="Aptos" w:hAnsi="Aptos"/>
                <w:sz w:val="17"/>
              </w:rPr>
              <w:t>Cost overrun</w:t>
            </w:r>
          </w:p>
        </w:tc>
        <w:tc>
          <w:tcPr>
            <w:tcW w:type="dxa" w:w="5083"/>
            <w:vAlign w:val="center"/>
          </w:tcPr>
          <w:p>
            <w:pPr>
              <w:spacing w:after="0" w:before="0"/>
            </w:pPr>
            <w:r>
              <w:rPr>
                <w:rFonts w:ascii="Aptos" w:hAnsi="Aptos"/>
                <w:sz w:val="17"/>
              </w:rPr>
              <w:t>Use small samples, spot/training limits where appropriate, scheduled endpoints, and cost alarms.</w:t>
            </w:r>
          </w:p>
        </w:tc>
      </w:tr>
      <w:tr>
        <w:tc>
          <w:tcPr>
            <w:tcW w:type="dxa" w:w="5083"/>
            <w:vAlign w:val="center"/>
          </w:tcPr>
          <w:p>
            <w:pPr>
              <w:spacing w:after="0" w:before="0"/>
            </w:pPr>
            <w:r>
              <w:rPr>
                <w:rFonts w:ascii="Aptos" w:hAnsi="Aptos"/>
                <w:sz w:val="17"/>
              </w:rPr>
              <w:t>Security</w:t>
            </w:r>
          </w:p>
        </w:tc>
        <w:tc>
          <w:tcPr>
            <w:tcW w:type="dxa" w:w="5083"/>
            <w:vAlign w:val="center"/>
          </w:tcPr>
          <w:p>
            <w:pPr>
              <w:spacing w:after="0" w:before="0"/>
            </w:pPr>
            <w:r>
              <w:rPr>
                <w:rFonts w:ascii="Aptos" w:hAnsi="Aptos"/>
                <w:sz w:val="17"/>
              </w:rPr>
              <w:t>Apply IAM least privilege, KMS encryption, Secrets Manager, private networking, and CloudTrail audits.</w:t>
            </w:r>
          </w:p>
        </w:tc>
      </w:tr>
    </w:tbl>
    <w:p>
      <w:pPr>
        <w:pStyle w:val="Heading1"/>
        <w:keepNext/>
      </w:pPr>
      <w:r>
        <w:t>20. References</w:t>
      </w:r>
    </w:p>
    <w:p>
      <w:pPr>
        <w:spacing w:after="80"/>
        <w:ind w:left="288" w:hanging="288"/>
      </w:pPr>
      <w:r>
        <w:rPr>
          <w:rFonts w:ascii="Aptos" w:hAnsi="Aptos"/>
          <w:sz w:val="17"/>
        </w:rPr>
        <w:t>[1] Y. Nie et al., “A Time Series is Worth 64 Words: Long-term Forecasting with Transformers,” ICLR, 2023. https://openreview.net/forum?id=Jbdc0vTOcol</w:t>
      </w:r>
    </w:p>
    <w:p>
      <w:pPr>
        <w:spacing w:after="80"/>
        <w:ind w:left="288" w:hanging="288"/>
      </w:pPr>
      <w:r>
        <w:rPr>
          <w:rFonts w:ascii="Aptos" w:hAnsi="Aptos"/>
          <w:sz w:val="17"/>
        </w:rPr>
        <w:t>[2] T. Zhou et al., “One Fits All: Power General Time Series Analysis by Pretrained LM,” NeurIPS, 2023. https://arxiv.org/abs/2302.11939</w:t>
      </w:r>
    </w:p>
    <w:p>
      <w:pPr>
        <w:spacing w:after="80"/>
        <w:ind w:left="288" w:hanging="288"/>
      </w:pPr>
      <w:r>
        <w:rPr>
          <w:rFonts w:ascii="Aptos" w:hAnsi="Aptos"/>
          <w:sz w:val="17"/>
        </w:rPr>
        <w:t>[3] K. Rasul et al., “Lag-Llama: Towards Foundation Models for Probabilistic Time Series Forecasting,” 2023. https://arxiv.org/abs/2310.08278</w:t>
      </w:r>
    </w:p>
    <w:p>
      <w:pPr>
        <w:spacing w:after="80"/>
        <w:ind w:left="288" w:hanging="288"/>
      </w:pPr>
      <w:r>
        <w:rPr>
          <w:rFonts w:ascii="Aptos" w:hAnsi="Aptos"/>
          <w:sz w:val="17"/>
        </w:rPr>
        <w:t>[4] D. Cao et al., “TEMPO: Prompt-based Generative Pre-trained Transformer for Time Series Forecasting,” ICLR, 2024. https://arxiv.org/abs/2310.04948</w:t>
      </w:r>
    </w:p>
    <w:p>
      <w:pPr>
        <w:spacing w:after="80"/>
        <w:ind w:left="288" w:hanging="288"/>
      </w:pPr>
      <w:r>
        <w:rPr>
          <w:rFonts w:ascii="Aptos" w:hAnsi="Aptos"/>
          <w:sz w:val="17"/>
        </w:rPr>
        <w:t>[5] M. Jin et al., “Time-LLM: Time Series Forecasting by Reprogramming Large Language Models,” ICLR, 2024. https://openreview.net/forum?id=Unb5CVPtae</w:t>
      </w:r>
    </w:p>
    <w:p>
      <w:pPr>
        <w:spacing w:after="80"/>
        <w:ind w:left="288" w:hanging="288"/>
      </w:pPr>
      <w:r>
        <w:rPr>
          <w:rFonts w:ascii="Aptos" w:hAnsi="Aptos"/>
          <w:sz w:val="17"/>
        </w:rPr>
        <w:t>[6] A. F. Ansari et al., “Chronos: Learning the Language of Time Series,” 2024. https://arxiv.org/abs/2403.07815</w:t>
      </w:r>
    </w:p>
    <w:p>
      <w:pPr>
        <w:spacing w:after="80"/>
        <w:ind w:left="288" w:hanging="288"/>
      </w:pPr>
      <w:r>
        <w:rPr>
          <w:rFonts w:ascii="Aptos" w:hAnsi="Aptos"/>
          <w:sz w:val="17"/>
        </w:rPr>
        <w:t>[7] A. Das et al., “A Decoder-only Foundation Model for Time-Series Forecasting,” ICML, 2024. https://proceedings.mlr.press/v235/das24c.html</w:t>
      </w:r>
    </w:p>
    <w:p>
      <w:pPr>
        <w:spacing w:after="80"/>
        <w:ind w:left="288" w:hanging="288"/>
      </w:pPr>
      <w:r>
        <w:rPr>
          <w:rFonts w:ascii="Aptos" w:hAnsi="Aptos"/>
          <w:sz w:val="17"/>
        </w:rPr>
        <w:t>[8] G. Woo et al., “Unified Training of Universal Time Series Forecasting Transformers,” ICML, 2024. https://proceedings.mlr.press/v235/woo24a.html</w:t>
      </w:r>
    </w:p>
    <w:p>
      <w:pPr>
        <w:spacing w:after="80"/>
        <w:ind w:left="288" w:hanging="288"/>
      </w:pPr>
      <w:r>
        <w:rPr>
          <w:rFonts w:ascii="Aptos" w:hAnsi="Aptos"/>
          <w:sz w:val="17"/>
        </w:rPr>
        <w:t>[9] M. Goswami et al., “MOMENT: A Family of Open Time-series Foundation Models,” ICML, 2024. https://arxiv.org/abs/2402.03885</w:t>
      </w:r>
    </w:p>
    <w:p>
      <w:pPr>
        <w:spacing w:after="80"/>
        <w:ind w:left="288" w:hanging="288"/>
      </w:pPr>
      <w:r>
        <w:rPr>
          <w:rFonts w:ascii="Aptos" w:hAnsi="Aptos"/>
          <w:sz w:val="17"/>
        </w:rPr>
        <w:t>[10] Y. Liu et al., “Timer: Generative Pre-trained Transformers Are Large Time Series Models,” ICML, 2024. https://arxiv.org/abs/2402.02368</w:t>
      </w:r>
    </w:p>
    <w:p>
      <w:pPr>
        <w:spacing w:after="80"/>
        <w:ind w:left="288" w:hanging="288"/>
      </w:pPr>
      <w:r>
        <w:rPr>
          <w:rFonts w:ascii="Aptos" w:hAnsi="Aptos"/>
          <w:sz w:val="17"/>
        </w:rPr>
        <w:t>[11] V. Ekambaram et al., “Tiny Time Mixers: Fast Pre-trained Models for Enhanced Zero/Few-Shot Forecasting,” 2024. https://arxiv.org/abs/2401.03955</w:t>
      </w:r>
    </w:p>
    <w:p>
      <w:pPr>
        <w:spacing w:after="80"/>
        <w:ind w:left="288" w:hanging="288"/>
      </w:pPr>
      <w:r>
        <w:rPr>
          <w:rFonts w:ascii="Aptos" w:hAnsi="Aptos"/>
          <w:sz w:val="17"/>
        </w:rPr>
        <w:t>[12] X. Shi et al., “Time-MoE: Billion-Scale Time Series Foundation Models with Mixture of Experts,” ICLR, 2025. https://arxiv.org/abs/2409.16040</w:t>
      </w:r>
    </w:p>
    <w:p>
      <w:pPr>
        <w:spacing w:after="80"/>
        <w:ind w:left="288" w:hanging="288"/>
      </w:pPr>
      <w:r>
        <w:rPr>
          <w:rFonts w:ascii="Aptos" w:hAnsi="Aptos"/>
          <w:sz w:val="17"/>
        </w:rPr>
        <w:t>[13] S. Gao et al., “UniTS: A Unified Multi-Task Time Series Model,” NeurIPS, 2024. https://proceedings.neurips.cc/paper_files/paper/2024/file/fe248e22b241ae5a9adf11493c8c12bc-Paper-Conference.pdf</w:t>
      </w:r>
    </w:p>
    <w:p>
      <w:pPr>
        <w:spacing w:after="80"/>
        <w:ind w:left="288" w:hanging="288"/>
      </w:pPr>
      <w:r>
        <w:rPr>
          <w:rFonts w:ascii="Aptos" w:hAnsi="Aptos"/>
          <w:sz w:val="17"/>
        </w:rPr>
        <w:t>[14] A. Rossi et al., “Forecasting Workload in Cloud Computing: Towards Uncertainty-Aware Predictions and Transfer Learning,” 2023. https://arxiv.org/abs/2303.13525</w:t>
      </w:r>
    </w:p>
    <w:p>
      <w:pPr>
        <w:spacing w:after="80"/>
        <w:ind w:left="288" w:hanging="288"/>
      </w:pPr>
      <w:r>
        <w:rPr>
          <w:rFonts w:ascii="Aptos" w:hAnsi="Aptos"/>
          <w:sz w:val="17"/>
        </w:rPr>
        <w:t>[15] Z. Zhou et al., “AHPA: Adaptive Horizontal Pod Autoscaling Systems on Alibaba Cloud Container Service for Kubernetes,” 2023. https://arxiv.org/abs/2303.03640</w:t>
      </w:r>
    </w:p>
    <w:p>
      <w:pPr>
        <w:spacing w:after="80"/>
        <w:ind w:left="288" w:hanging="288"/>
      </w:pPr>
      <w:r>
        <w:rPr>
          <w:rFonts w:ascii="Aptos" w:hAnsi="Aptos"/>
          <w:sz w:val="17"/>
        </w:rPr>
        <w:t>[16] Alibaba Cluster Trace Program, “Cluster Trace v2018.” https://github.com/alibaba/clusterdata/tree/master/cluster-trace-v2018</w:t>
      </w:r>
    </w:p>
    <w:p>
      <w:pPr>
        <w:spacing w:after="80"/>
        <w:ind w:left="288" w:hanging="288"/>
      </w:pPr>
      <w:r>
        <w:rPr>
          <w:rFonts w:ascii="Aptos" w:hAnsi="Aptos"/>
          <w:sz w:val="17"/>
        </w:rPr>
        <w:t>[17] AWS, “Live Streaming on AWS - Architecture Overview.” https://docs.aws.amazon.com/solutions/latest/live-streaming-on-aws/architecture-overview.html</w:t>
      </w:r>
    </w:p>
    <w:p>
      <w:pPr>
        <w:spacing w:after="80"/>
        <w:ind w:left="288" w:hanging="288"/>
      </w:pPr>
      <w:r>
        <w:rPr>
          <w:rFonts w:ascii="Aptos" w:hAnsi="Aptos"/>
          <w:sz w:val="17"/>
        </w:rPr>
        <w:t>[18] AWS, “Video on Demand and Live Streaming Video with CloudFront.” https://docs.aws.amazon.com/AmazonCloudFront/latest/DeveloperGuide/on-demand-streaming-video.html</w:t>
      </w:r>
    </w:p>
    <w:p>
      <w:pPr>
        <w:spacing w:after="80"/>
        <w:ind w:left="288" w:hanging="288"/>
      </w:pPr>
      <w:r>
        <w:rPr>
          <w:rFonts w:ascii="Aptos" w:hAnsi="Aptos"/>
          <w:sz w:val="17"/>
        </w:rPr>
        <w:t>[19] AWS, “What is Amazon SageMaker AI?” https://docs.aws.amazon.com/sagemaker/latest/dg/whatis.html</w:t>
      </w:r>
    </w:p>
    <w:p>
      <w:pPr>
        <w:spacing w:after="80"/>
        <w:ind w:left="288" w:hanging="288"/>
      </w:pPr>
      <w:r>
        <w:rPr>
          <w:rFonts w:ascii="Aptos" w:hAnsi="Aptos"/>
          <w:sz w:val="17"/>
        </w:rPr>
        <w:t>[20] AWS, “Amazon Timestream for LiveAnalytics Architecture.” https://docs.aws.amazon.com/timestream/latest/developerguide/architecture.html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BCSE355L - Cloud Architecture Design | Phase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0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B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406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