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F172A"/>
          <w:sz w:val="40"/>
        </w:rPr>
        <w:t>ACTA by Resence — Product Requirements Document (PRD v2.6 Revised)</w:t>
      </w:r>
    </w:p>
    <w:p>
      <w:pPr>
        <w:spacing w:after="240"/>
      </w:pPr>
      <w:r>
        <w:rPr>
          <w:rFonts w:ascii="Arial" w:hAnsi="Arial"/>
          <w:color w:val="059669"/>
          <w:sz w:val="22"/>
        </w:rPr>
        <w:t>Internal Product Bible &amp; Technical Single Source of Truth (SSOT)</w:t>
        <w:br/>
        <w:t>Tagline: Small Acts. Big Impact. | Parent: Resence (resence.in)</w:t>
      </w:r>
    </w:p>
    <w:tbl>
      <w:tblPr>
        <w:tblW w:type="auto" w:w="0"/>
        <w:jc w:val="center"/>
        <w:tblLook w:firstColumn="1" w:firstRow="1" w:lastColumn="0" w:lastRow="0" w:noHBand="0" w:noVBand="1" w:val="04A0"/>
      </w:tblPr>
      <w:tblGrid>
        <w:gridCol w:w="4968"/>
        <w:gridCol w:w="4968"/>
      </w:tblGrid>
      <w:tr>
        <w:tc>
          <w:tcPr>
            <w:tcW w:type="dxa" w:w="4968"/>
            <w:shd w:fill="F1F5F9"/>
          </w:tcPr>
          <w:p>
            <w:pPr>
              <w:spacing w:before="40" w:after="40"/>
            </w:pPr>
            <w:r>
              <w:rPr>
                <w:b/>
                <w:sz w:val="17"/>
              </w:rPr>
              <w:t xml:space="preserve">Founder &amp; Architect: </w:t>
            </w:r>
            <w:r>
              <w:rPr>
                <w:sz w:val="17"/>
              </w:rPr>
              <w:t>Piyush Singh (CEO, Resence - BCA 2nd Year, GLBIM)</w:t>
            </w:r>
          </w:p>
        </w:tc>
        <w:tc>
          <w:tcPr>
            <w:tcW w:type="dxa" w:w="4968"/>
            <w:shd w:fill="F1F5F9"/>
          </w:tcPr>
          <w:p>
            <w:pPr>
              <w:spacing w:before="40" w:after="40"/>
            </w:pPr>
            <w:r>
              <w:rPr>
                <w:b/>
                <w:sz w:val="17"/>
              </w:rPr>
              <w:t xml:space="preserve">Conclave: </w:t>
            </w:r>
            <w:r>
              <w:rPr>
                <w:sz w:val="17"/>
              </w:rPr>
              <w:t>Bharat Udyam Sangam 2026 (GLBCRI)</w:t>
            </w:r>
          </w:p>
        </w:tc>
      </w:tr>
      <w:tr>
        <w:tc>
          <w:tcPr>
            <w:tcW w:type="dxa" w:w="4968"/>
            <w:shd w:fill="FFFFFF"/>
          </w:tcPr>
          <w:p>
            <w:pPr>
              <w:spacing w:before="40" w:after="40"/>
            </w:pPr>
            <w:r>
              <w:rPr>
                <w:b/>
                <w:sz w:val="17"/>
              </w:rPr>
              <w:t xml:space="preserve">Document Classification: </w:t>
            </w:r>
            <w:r>
              <w:rPr>
                <w:sz w:val="17"/>
              </w:rPr>
              <w:t>PRD v2.6 Revised (Implementation-Ready)</w:t>
            </w:r>
          </w:p>
        </w:tc>
        <w:tc>
          <w:tcPr>
            <w:tcW w:type="dxa" w:w="4968"/>
            <w:shd w:fill="FFFFFF"/>
          </w:tcPr>
          <w:p>
            <w:pPr>
              <w:spacing w:before="40" w:after="40"/>
            </w:pPr>
            <w:r>
              <w:rPr>
                <w:b/>
                <w:sz w:val="17"/>
              </w:rPr>
              <w:t xml:space="preserve">Status: </w:t>
            </w:r>
            <w:r>
              <w:rPr>
                <w:sz w:val="17"/>
              </w:rPr>
              <w:t>Audited, Grounded, Zero 105% Error, Zero Free Fire</w:t>
            </w:r>
          </w:p>
        </w:tc>
      </w:tr>
      <w:tr>
        <w:tc>
          <w:tcPr>
            <w:tcW w:type="dxa" w:w="4968"/>
            <w:shd w:fill="F1F5F9"/>
          </w:tcPr>
          <w:p>
            <w:pPr>
              <w:spacing w:before="40" w:after="40"/>
            </w:pPr>
            <w:r>
              <w:rPr>
                <w:b/>
                <w:sz w:val="17"/>
              </w:rPr>
              <w:t xml:space="preserve">Pilot Footprint: </w:t>
            </w:r>
            <w:r>
              <w:rPr>
                <w:sz w:val="17"/>
              </w:rPr>
              <w:t>1 Campus (GL Bajaj) + 1-2 Curated Local NGOs</w:t>
            </w:r>
          </w:p>
        </w:tc>
        <w:tc>
          <w:tcPr>
            <w:tcW w:type="dxa" w:w="4968"/>
            <w:shd w:fill="F1F5F9"/>
          </w:tcPr>
          <w:p>
            <w:pPr>
              <w:spacing w:before="40" w:after="40"/>
            </w:pPr>
            <w:r>
              <w:rPr>
                <w:b/>
                <w:sz w:val="17"/>
              </w:rPr>
              <w:t xml:space="preserve">Live Prototype: </w:t>
            </w:r>
            <w:r>
              <w:rPr>
                <w:sz w:val="17"/>
              </w:rPr>
              <w:t>resence.in / acta.resence.in</w:t>
            </w:r>
          </w:p>
        </w:tc>
      </w:tr>
    </w:tbl>
    <w:p>
      <w:pPr>
        <w:spacing w:after="120"/>
      </w:pPr>
    </w:p>
    <w:p>
      <w:pPr>
        <w:pStyle w:val="Heading1"/>
        <w:spacing w:before="240" w:after="80"/>
      </w:pPr>
      <w:r>
        <w:rPr>
          <w:rFonts w:ascii="Arial" w:hAnsi="Arial"/>
          <w:color w:val="0F172A"/>
          <w:sz w:val="32"/>
        </w:rPr>
        <w:t>1. Executive Summary &amp; Authentic Founder Origin</w:t>
      </w:r>
    </w:p>
    <w:p>
      <w:pPr>
        <w:spacing w:after="80" w:line="276" w:lineRule="auto"/>
      </w:pPr>
      <w:r>
        <w:rPr>
          <w:rFonts w:ascii="Arial" w:hAnsi="Arial"/>
          <w:b/>
          <w:color w:val="0F172A"/>
          <w:sz w:val="19"/>
        </w:rPr>
        <w:t xml:space="preserve">Core Mission: </w:t>
      </w:r>
      <w:r>
        <w:rPr>
          <w:rFonts w:ascii="Arial" w:hAnsi="Arial"/>
          <w:i w:val="0"/>
          <w:color w:val="334155"/>
          <w:sz w:val="19"/>
        </w:rPr>
        <w:t>ACTA by Resence is a social-impact technology platform designed to transform societal challenges into evidence-driven, trackable collective action. The platform connects collegiate students, institutional campus communities (Impact Guilds), eligible verified non-profits (NGOs), and micro-donors.</w:t>
      </w:r>
    </w:p>
    <w:p>
      <w:pPr>
        <w:spacing w:after="80" w:line="276" w:lineRule="auto"/>
      </w:pPr>
      <w:r>
        <w:rPr>
          <w:rFonts w:ascii="Arial" w:hAnsi="Arial"/>
          <w:b/>
          <w:color w:val="0F172A"/>
          <w:sz w:val="19"/>
        </w:rPr>
        <w:t xml:space="preserve">Historical Progression: </w:t>
      </w:r>
      <w:r>
        <w:rPr>
          <w:rFonts w:ascii="Arial" w:hAnsi="Arial"/>
          <w:i w:val="0"/>
          <w:color w:val="334155"/>
          <w:sz w:val="19"/>
        </w:rPr>
        <w:t>ACTA was not conceived overnight as a high-tech platform with AI and escrow systems. It began over 12 months ago with grassroots volunteer recruitment by founder Piyush Singh for animal feeding drives and slum relief around Greater Noida. Through firsthand field execution, the founder experienced severe structural roadblocks:</w:t>
      </w:r>
    </w:p>
    <w:p>
      <w:pPr>
        <w:pStyle w:val="ListBullet"/>
        <w:spacing w:after="40" w:line="276" w:lineRule="auto"/>
      </w:pPr>
      <w:r>
        <w:rPr>
          <w:rFonts w:ascii="Arial" w:hAnsi="Arial"/>
          <w:b/>
          <w:color w:val="0F172A"/>
          <w:sz w:val="19"/>
        </w:rPr>
        <w:t xml:space="preserve">Volunteer Fatigue: </w:t>
      </w:r>
      <w:r>
        <w:rPr>
          <w:rFonts w:ascii="Arial" w:hAnsi="Arial"/>
          <w:color w:val="334155"/>
          <w:sz w:val="19"/>
        </w:rPr>
        <w:t>Volunteers faced coordination bottlenecks and safety liabilities during unsupervised fieldwork.</w:t>
      </w:r>
    </w:p>
    <w:p>
      <w:pPr>
        <w:pStyle w:val="ListBullet"/>
        <w:spacing w:after="40" w:line="276" w:lineRule="auto"/>
      </w:pPr>
      <w:r>
        <w:rPr>
          <w:rFonts w:ascii="Arial" w:hAnsi="Arial"/>
          <w:b/>
          <w:color w:val="0F172A"/>
          <w:sz w:val="19"/>
        </w:rPr>
        <w:t xml:space="preserve">Donor Cynicism: </w:t>
      </w:r>
      <w:r>
        <w:rPr>
          <w:rFonts w:ascii="Arial" w:hAnsi="Arial"/>
          <w:color w:val="334155"/>
          <w:sz w:val="19"/>
        </w:rPr>
        <w:t>Student donors felt strong cynicism, with 67.5% reporting a trust deficit regarding whether funds reached real beneficiaries.</w:t>
      </w:r>
    </w:p>
    <w:p>
      <w:pPr>
        <w:pStyle w:val="ListBullet"/>
        <w:spacing w:after="40" w:line="276" w:lineRule="auto"/>
      </w:pPr>
      <w:r>
        <w:rPr>
          <w:rFonts w:ascii="Arial" w:hAnsi="Arial"/>
          <w:b/>
          <w:color w:val="0F172A"/>
          <w:sz w:val="19"/>
        </w:rPr>
        <w:t xml:space="preserve">Wealth Exclusion: </w:t>
      </w:r>
      <w:r>
        <w:rPr>
          <w:rFonts w:ascii="Arial" w:hAnsi="Arial"/>
          <w:color w:val="334155"/>
          <w:sz w:val="19"/>
        </w:rPr>
        <w:t>Traditional fundraising platforms imposed prohibitive minimum amounts (₹500–₹1,000), alienating college students with micro-budgets.</w:t>
      </w:r>
    </w:p>
    <w:p>
      <w:pPr>
        <w:spacing w:after="80" w:line="276" w:lineRule="auto"/>
      </w:pPr>
      <w:r>
        <w:rPr>
          <w:rFonts w:ascii="Arial" w:hAnsi="Arial"/>
          <w:b/>
          <w:color w:val="0F172A"/>
          <w:sz w:val="19"/>
        </w:rPr>
        <w:t xml:space="preserve">Platform Evolution: </w:t>
      </w:r>
      <w:r>
        <w:rPr>
          <w:rFonts w:ascii="Arial" w:hAnsi="Arial"/>
          <w:i w:val="0"/>
          <w:color w:val="334155"/>
          <w:sz w:val="19"/>
        </w:rPr>
        <w:t>Recognizing that volunteer coordination alone could not scale without structural accountability, the initiative evolved into a pure Technology-as-a-Service (SaaS) platform where technology guarantees transparency, micro-giving enables broad participation, and verified partner NGOs execute delivery on the ground.</w:t>
      </w:r>
    </w:p>
    <w:p>
      <w:pPr>
        <w:pStyle w:val="Heading1"/>
        <w:spacing w:before="240" w:after="80"/>
      </w:pPr>
      <w:r>
        <w:rPr>
          <w:rFonts w:ascii="Arial" w:hAnsi="Arial"/>
          <w:color w:val="0F172A"/>
          <w:sz w:val="32"/>
        </w:rPr>
        <w:t>2. Product Development Status Classification Guide</w:t>
      </w:r>
    </w:p>
    <w:p>
      <w:pPr>
        <w:spacing w:after="80" w:line="276" w:lineRule="auto"/>
      </w:pPr>
      <w:r>
        <w:rPr>
          <w:rFonts w:ascii="Arial" w:hAnsi="Arial"/>
          <w:b/>
          <w:color w:val="0F172A"/>
          <w:sz w:val="19"/>
        </w:rPr>
        <w:t xml:space="preserve">Classification Standard: </w:t>
      </w:r>
      <w:r>
        <w:rPr>
          <w:rFonts w:ascii="Arial" w:hAnsi="Arial"/>
          <w:i w:val="0"/>
          <w:color w:val="334155"/>
          <w:sz w:val="19"/>
        </w:rPr>
        <w:t>To uphold uncompromising engineering and business integrity, all features, partnerships, and capabilities are strictly categorized into five factual states:</w:t>
      </w:r>
    </w:p>
    <w:p>
      <w:pPr>
        <w:pStyle w:val="ListBullet"/>
        <w:spacing w:after="40" w:line="276" w:lineRule="auto"/>
      </w:pPr>
      <w:r>
        <w:rPr>
          <w:rFonts w:ascii="Arial" w:hAnsi="Arial"/>
          <w:b/>
          <w:color w:val="0F172A"/>
          <w:sz w:val="19"/>
        </w:rPr>
        <w:t xml:space="preserve">1. Implemented &amp; Tested (Prototype): </w:t>
      </w:r>
      <w:r>
        <w:rPr>
          <w:rFonts w:ascii="Arial" w:hAnsi="Arial"/>
          <w:color w:val="334155"/>
          <w:sz w:val="19"/>
        </w:rPr>
        <w:t>Mobile-first Web PWA (acta.resence.in), 3-Pillar Clean Dashboard, 7 Curated Cause Cards, simulated ₹10 UPI intent triggers, balanced action gamification formulas (XP rings), Student Impact Planner UI.</w:t>
      </w:r>
    </w:p>
    <w:p>
      <w:pPr>
        <w:pStyle w:val="ListBullet"/>
        <w:spacing w:after="40" w:line="276" w:lineRule="auto"/>
      </w:pPr>
      <w:r>
        <w:rPr>
          <w:rFonts w:ascii="Arial" w:hAnsi="Arial"/>
          <w:b/>
          <w:color w:val="0F172A"/>
          <w:sz w:val="19"/>
        </w:rPr>
        <w:t xml:space="preserve">2. Partially Implemented (Validation): </w:t>
      </w:r>
      <w:r>
        <w:rPr>
          <w:rFonts w:ascii="Arial" w:hAnsi="Arial"/>
          <w:color w:val="334155"/>
          <w:sz w:val="19"/>
        </w:rPr>
        <w:t>Webhook listener with HMAC-SHA256 signature verification and Redis 24h event deduplication, WebRTC camera telemetry watermark, YouTube Data API v3 unlisted pipeline, Gemini Vision receipt OCR parser.</w:t>
      </w:r>
    </w:p>
    <w:p>
      <w:pPr>
        <w:pStyle w:val="ListBullet"/>
        <w:spacing w:after="40" w:line="276" w:lineRule="auto"/>
      </w:pPr>
      <w:r>
        <w:rPr>
          <w:rFonts w:ascii="Arial" w:hAnsi="Arial"/>
          <w:b/>
          <w:color w:val="0F172A"/>
          <w:sz w:val="19"/>
        </w:rPr>
        <w:t xml:space="preserve">3. Designed But Not Implemented (Specs): </w:t>
      </w:r>
      <w:r>
        <w:rPr>
          <w:rFonts w:ascii="Arial" w:hAnsi="Arial"/>
          <w:color w:val="334155"/>
          <w:sz w:val="19"/>
        </w:rPr>
        <w:t>Offline IndexedDB 2MB video chunking and Service Worker Background Sync API, automated MediaPipe Gaussian facial blur pipeline, City &amp; National Leaderboard Redis Sorted Sets, 12-Step Default Workflow engine.</w:t>
      </w:r>
    </w:p>
    <w:p>
      <w:pPr>
        <w:pStyle w:val="ListBullet"/>
        <w:spacing w:after="40" w:line="276" w:lineRule="auto"/>
      </w:pPr>
      <w:r>
        <w:rPr>
          <w:rFonts w:ascii="Arial" w:hAnsi="Arial"/>
          <w:b/>
          <w:color w:val="0F172A"/>
          <w:sz w:val="19"/>
        </w:rPr>
        <w:t xml:space="preserve">4. Proposed &amp; Awaiting External Approval: </w:t>
      </w:r>
      <w:r>
        <w:rPr>
          <w:rFonts w:ascii="Arial" w:hAnsi="Arial"/>
          <w:color w:val="334155"/>
          <w:sz w:val="19"/>
        </w:rPr>
        <w:t>Automated 5%/95% split settlement via payment aggregators (Razorpay Route / Cashfree Split), dedicated Scheduled Commercial Bank Virtual Escrow/Nodal accounts, automated gateway refunds, formal NGO Master Service Agreements.</w:t>
      </w:r>
    </w:p>
    <w:p>
      <w:pPr>
        <w:pStyle w:val="ListBullet"/>
        <w:spacing w:after="40" w:line="276" w:lineRule="auto"/>
      </w:pPr>
      <w:r>
        <w:rPr>
          <w:rFonts w:ascii="Arial" w:hAnsi="Arial"/>
          <w:b/>
          <w:color w:val="0F172A"/>
          <w:sz w:val="19"/>
        </w:rPr>
        <w:t xml:space="preserve">5. Hypotheses Awaiting Market Validation: </w:t>
      </w:r>
      <w:r>
        <w:rPr>
          <w:rFonts w:ascii="Arial" w:hAnsi="Arial"/>
          <w:color w:val="334155"/>
          <w:sz w:val="19"/>
        </w:rPr>
        <w:t>67.5% donor trust deficit in collegiate demographics (to be measured via GL Bajaj pilot), ₹10 repeat giving frequency (target: 35%+ monthly retention), inter-hostel guild viral loops.</w:t>
      </w:r>
    </w:p>
    <w:p>
      <w:pPr>
        <w:pStyle w:val="Heading1"/>
        <w:spacing w:before="240" w:after="80"/>
      </w:pPr>
      <w:r>
        <w:rPr>
          <w:rFonts w:ascii="Arial" w:hAnsi="Arial"/>
          <w:color w:val="0F172A"/>
          <w:sz w:val="32"/>
        </w:rPr>
        <w:t>3. Corrected Financial &amp; Payment Allocation Architecture</w:t>
      </w:r>
    </w:p>
    <w:tbl>
      <w:tblPr>
        <w:tblW w:type="auto" w:w="0"/>
        <w:jc w:val="center"/>
        <w:tblLook w:firstColumn="1" w:firstRow="1" w:lastColumn="0" w:lastRow="0" w:noHBand="0" w:noVBand="1" w:val="04A0"/>
      </w:tblPr>
      <w:tblGrid>
        <w:gridCol w:w="9936"/>
      </w:tblGrid>
      <w:tr>
        <w:tc>
          <w:tcPr>
            <w:tcW w:type="dxa" w:w="9792"/>
            <w:shd w:fill="FEF2F2"/>
          </w:tcPr>
          <w:p>
            <w:pPr>
              <w:spacing w:before="80" w:after="80"/>
            </w:pPr>
            <w:r>
              <w:rPr>
                <w:rFonts w:ascii="Arial" w:hAnsi="Arial"/>
                <w:b/>
                <w:color w:val="059669"/>
                <w:sz w:val="18"/>
              </w:rPr>
              <w:t xml:space="preserve">[CRITICAL MATHEMATICAL CORRECTION] </w:t>
            </w:r>
            <w:r>
              <w:rPr>
                <w:rFonts w:ascii="Arial" w:hAnsi="Arial"/>
                <w:color w:val="1E293B"/>
                <w:sz w:val="18"/>
              </w:rPr>
              <w:t>The previous PRD phrasing of '90% direct cause + 10% NGO ops + 5% ACTA fee' produced a 105% mathematical contradiction. This error has been permanently excised. The canonical allocation model is defined below as a proposed accounting illustration.</w:t>
            </w:r>
          </w:p>
        </w:tc>
      </w:tr>
    </w:tbl>
    <w:p>
      <w:pPr>
        <w:spacing w:after="40"/>
      </w:pPr>
    </w:p>
    <w:p>
      <w:pPr>
        <w:spacing w:after="80" w:line="276" w:lineRule="auto"/>
      </w:pPr>
      <w:r>
        <w:rPr>
          <w:rFonts w:ascii="Arial" w:hAnsi="Arial"/>
          <w:b/>
          <w:color w:val="0F172A"/>
          <w:sz w:val="19"/>
        </w:rPr>
        <w:t xml:space="preserve">Canonical Allocation Specification: </w:t>
      </w:r>
      <w:r>
        <w:rPr>
          <w:rFonts w:ascii="Arial" w:hAnsi="Arial"/>
          <w:i w:val="0"/>
          <w:color w:val="334155"/>
          <w:sz w:val="19"/>
        </w:rPr>
        <w:t>For every gross donation of ₹100.00, the allocation is structured as follows:</w:t>
      </w:r>
    </w:p>
    <w:p>
      <w:pPr>
        <w:pStyle w:val="ListBullet"/>
        <w:spacing w:after="40" w:line="276" w:lineRule="auto"/>
      </w:pPr>
      <w:r>
        <w:rPr>
          <w:rFonts w:ascii="Arial" w:hAnsi="Arial"/>
          <w:b/>
          <w:color w:val="0F172A"/>
          <w:sz w:val="19"/>
        </w:rPr>
        <w:t xml:space="preserve">ACTA Proposed Service Fee: ₹5.00 (5%) — </w:t>
      </w:r>
      <w:r>
        <w:rPr>
          <w:rFonts w:ascii="Arial" w:hAnsi="Arial"/>
          <w:color w:val="334155"/>
          <w:sz w:val="19"/>
        </w:rPr>
        <w:t>ACTA retains an agreed 5% commercial service fee for providing platform software, verification infrastructure, telemetry processing, and donor reporting.</w:t>
      </w:r>
    </w:p>
    <w:p>
      <w:pPr>
        <w:pStyle w:val="ListBullet"/>
        <w:spacing w:after="40" w:line="276" w:lineRule="auto"/>
      </w:pPr>
      <w:r>
        <w:rPr>
          <w:rFonts w:ascii="Arial" w:hAnsi="Arial"/>
          <w:b/>
          <w:color w:val="0F172A"/>
          <w:sz w:val="19"/>
        </w:rPr>
        <w:t xml:space="preserve">Eligible Partner NGO Share: ₹95.00 (95%) — </w:t>
      </w:r>
      <w:r>
        <w:rPr>
          <w:rFonts w:ascii="Arial" w:hAnsi="Arial"/>
          <w:color w:val="334155"/>
          <w:sz w:val="19"/>
        </w:rPr>
        <w:t>The full remaining balance is transferred directly to the verified partner NGO's account via an authorized payment aggregator settlement arrangement.</w:t>
      </w:r>
    </w:p>
    <w:p>
      <w:pPr>
        <w:pStyle w:val="ListBullet"/>
        <w:spacing w:after="40" w:line="276" w:lineRule="auto"/>
      </w:pPr>
      <w:r>
        <w:rPr>
          <w:rFonts w:ascii="Arial" w:hAnsi="Arial"/>
          <w:b/>
          <w:color w:val="0F172A"/>
          <w:sz w:val="19"/>
        </w:rPr>
        <w:t xml:space="preserve">Permitted NGO Operations: ₹9.50 (10% of NGO Share) — </w:t>
      </w:r>
      <w:r>
        <w:rPr>
          <w:rFonts w:ascii="Arial" w:hAnsi="Arial"/>
          <w:color w:val="334155"/>
          <w:sz w:val="19"/>
        </w:rPr>
        <w:t>The partner NGO may allocate up to 10% of its received ₹95.00 for permitted, audited logistics (e.g. tempo fuel, packing bags) only if the campaign terms, donor restrictions, and NGO legal obligations permit it.</w:t>
      </w:r>
    </w:p>
    <w:p>
      <w:pPr>
        <w:pStyle w:val="ListBullet"/>
        <w:spacing w:after="40" w:line="276" w:lineRule="auto"/>
      </w:pPr>
      <w:r>
        <w:rPr>
          <w:rFonts w:ascii="Arial" w:hAnsi="Arial"/>
          <w:b/>
          <w:color w:val="0F172A"/>
          <w:sz w:val="19"/>
        </w:rPr>
        <w:t xml:space="preserve">Direct Campaign Purpose: ₹85.50 (90% of NGO Share) — </w:t>
      </w:r>
      <w:r>
        <w:rPr>
          <w:rFonts w:ascii="Arial" w:hAnsi="Arial"/>
          <w:color w:val="334155"/>
          <w:sz w:val="19"/>
        </w:rPr>
        <w:t>The full remaining balance must be spent directly on verified campaign supplies (e.g. grains, notebooks, saplings) backed by itemized vendor GST invoices.</w:t>
      </w:r>
    </w:p>
    <w:p>
      <w:pPr>
        <w:spacing w:after="80" w:line="276" w:lineRule="auto"/>
      </w:pPr>
      <w:r>
        <w:rPr>
          <w:rFonts w:ascii="Arial" w:hAnsi="Arial"/>
          <w:b/>
          <w:color w:val="0F172A"/>
          <w:sz w:val="19"/>
        </w:rPr>
        <w:t xml:space="preserve">Mathematical Verification: </w:t>
      </w:r>
      <w:r>
        <w:rPr>
          <w:rFonts w:ascii="Arial" w:hAnsi="Arial"/>
          <w:i w:val="0"/>
          <w:color w:val="334155"/>
          <w:sz w:val="19"/>
        </w:rPr>
        <w:t>Gross Contribution (₹100.00) = ACTA Service Fee (₹5.00) + Permitted NGO Operations (₹9.50) + Direct Campaign Supplies (₹85.50) = ₹100.00 (Exactly 100%).</w:t>
      </w:r>
    </w:p>
    <w:p>
      <w:pPr>
        <w:spacing w:after="80" w:line="276" w:lineRule="auto"/>
      </w:pPr>
      <w:r>
        <w:rPr>
          <w:rFonts w:ascii="Arial" w:hAnsi="Arial"/>
          <w:b/>
          <w:color w:val="0F172A"/>
          <w:sz w:val="19"/>
        </w:rPr>
        <w:t xml:space="preserve">Regulatory Clarification: </w:t>
      </w:r>
      <w:r>
        <w:rPr>
          <w:rFonts w:ascii="Arial" w:hAnsi="Arial"/>
          <w:i w:val="0"/>
          <w:color w:val="334155"/>
          <w:sz w:val="19"/>
        </w:rPr>
        <w:t>ACTA earns revenue strictly as Technology-as-a-Service (SaaS). ACTA does not operate as a donation-holding trust, bank, or payment aggregator. Payment processing is conducted via domestic Indian UPI (0% Merchant Discount Rate), RuPay, and domestic net banking. Foreign transactions are strictly prohibited under FCRA controls.</w:t>
      </w:r>
    </w:p>
    <w:p>
      <w:pPr>
        <w:pStyle w:val="Heading1"/>
        <w:spacing w:before="240" w:after="80"/>
      </w:pPr>
      <w:r>
        <w:rPr>
          <w:rFonts w:ascii="Arial" w:hAnsi="Arial"/>
          <w:color w:val="0F172A"/>
          <w:sz w:val="32"/>
        </w:rPr>
        <w:t>4. Platform Revenue &amp; Internal Continuity Reserve Policy</w:t>
      </w:r>
    </w:p>
    <w:p>
      <w:pPr>
        <w:spacing w:after="80" w:line="276" w:lineRule="auto"/>
      </w:pPr>
      <w:r>
        <w:rPr>
          <w:rFonts w:ascii="Arial" w:hAnsi="Arial"/>
          <w:b/>
          <w:color w:val="0F172A"/>
          <w:sz w:val="19"/>
        </w:rPr>
        <w:t xml:space="preserve">Reserve Governance: </w:t>
      </w:r>
      <w:r>
        <w:rPr>
          <w:rFonts w:ascii="Arial" w:hAnsi="Arial"/>
          <w:i w:val="0"/>
          <w:color w:val="334155"/>
          <w:sz w:val="19"/>
        </w:rPr>
        <w:t>ACTA does not expend all earned platform service fees immediately. To guarantee platform stability and protect beneficiaries in case of partner default, ACTA establishes an internal Continuity Reserve Policy:</w:t>
      </w:r>
    </w:p>
    <w:p>
      <w:pPr>
        <w:pStyle w:val="ListBullet"/>
        <w:spacing w:after="40" w:line="276" w:lineRule="auto"/>
      </w:pPr>
      <w:r>
        <w:rPr>
          <w:rFonts w:ascii="Arial" w:hAnsi="Arial"/>
          <w:b/>
          <w:color w:val="0F172A"/>
          <w:sz w:val="19"/>
        </w:rPr>
        <w:t xml:space="preserve">1. Segregated Accounting: </w:t>
      </w:r>
      <w:r>
        <w:rPr>
          <w:rFonts w:ascii="Arial" w:hAnsi="Arial"/>
          <w:color w:val="334155"/>
          <w:sz w:val="19"/>
        </w:rPr>
        <w:t>Service fee revenue (₹5 per ₹100) is booked into ACTA's corporate operating accounts, completely segregated from donor payment flows and NGO settlement accounts.</w:t>
      </w:r>
    </w:p>
    <w:p>
      <w:pPr>
        <w:pStyle w:val="ListBullet"/>
        <w:spacing w:after="40" w:line="276" w:lineRule="auto"/>
      </w:pPr>
      <w:r>
        <w:rPr>
          <w:rFonts w:ascii="Arial" w:hAnsi="Arial"/>
          <w:b/>
          <w:color w:val="0F172A"/>
          <w:sz w:val="19"/>
        </w:rPr>
        <w:t xml:space="preserve">2. Reserve Allocation: </w:t>
      </w:r>
      <w:r>
        <w:rPr>
          <w:rFonts w:ascii="Arial" w:hAnsi="Arial"/>
          <w:color w:val="334155"/>
          <w:sz w:val="19"/>
        </w:rPr>
        <w:t>Resence management earmarks a recommended 20% of earned platform fees (e.g., ₹1.00 out of ₹5.00 earned) to build an internal business continuity reserve.</w:t>
      </w:r>
    </w:p>
    <w:p>
      <w:pPr>
        <w:pStyle w:val="ListBullet"/>
        <w:spacing w:after="40" w:line="276" w:lineRule="auto"/>
      </w:pPr>
      <w:r>
        <w:rPr>
          <w:rFonts w:ascii="Arial" w:hAnsi="Arial"/>
          <w:b/>
          <w:color w:val="0F172A"/>
          <w:sz w:val="19"/>
        </w:rPr>
        <w:t xml:space="preserve">3. Emergency Replacement Funding: </w:t>
      </w:r>
      <w:r>
        <w:rPr>
          <w:rFonts w:ascii="Arial" w:hAnsi="Arial"/>
          <w:color w:val="334155"/>
          <w:sz w:val="19"/>
        </w:rPr>
        <w:t>In the rare event that a partner NGO defaults after receiving mobilization funds, ACTA may, subject to board approval and available reserve balances, utilize continuity reserve funds to sponsor a verified substitute NGO to complete the aid delivery.</w:t>
      </w:r>
    </w:p>
    <w:p>
      <w:pPr>
        <w:pStyle w:val="ListBullet"/>
        <w:spacing w:after="40" w:line="276" w:lineRule="auto"/>
      </w:pPr>
      <w:r>
        <w:rPr>
          <w:rFonts w:ascii="Arial" w:hAnsi="Arial"/>
          <w:b/>
          <w:color w:val="0F172A"/>
          <w:sz w:val="19"/>
        </w:rPr>
        <w:t xml:space="preserve">4. Strict Statutory Guardrail: </w:t>
      </w:r>
      <w:r>
        <w:rPr>
          <w:rFonts w:ascii="Arial" w:hAnsi="Arial"/>
          <w:color w:val="334155"/>
          <w:sz w:val="19"/>
        </w:rPr>
        <w:t>Restricted donor contributions, third-party NGO settlements, or escrow balances are strictly prohibited from being used as reserve capital. No open-ended platform guarantees are made beyond approved reserve funds.</w:t>
      </w:r>
    </w:p>
    <w:p>
      <w:pPr>
        <w:pStyle w:val="Heading1"/>
        <w:spacing w:before="240" w:after="80"/>
      </w:pPr>
      <w:r>
        <w:rPr>
          <w:rFonts w:ascii="Arial" w:hAnsi="Arial"/>
          <w:color w:val="0F172A"/>
          <w:sz w:val="32"/>
        </w:rPr>
        <w:t>5. NGO Default Management &amp; 12-Step Replacement Workflow</w:t>
      </w:r>
    </w:p>
    <w:p>
      <w:pPr>
        <w:spacing w:after="80" w:line="276" w:lineRule="auto"/>
      </w:pPr>
      <w:r>
        <w:rPr>
          <w:rFonts w:ascii="Arial" w:hAnsi="Arial"/>
          <w:b/>
          <w:color w:val="0F172A"/>
          <w:sz w:val="19"/>
        </w:rPr>
        <w:t xml:space="preserve">Operational Governance: </w:t>
      </w:r>
      <w:r>
        <w:rPr>
          <w:rFonts w:ascii="Arial" w:hAnsi="Arial"/>
          <w:i w:val="0"/>
          <w:color w:val="334155"/>
          <w:sz w:val="19"/>
        </w:rPr>
        <w:t>ACTA enforces category-specific SLAs and a structured failure escalation matrix:</w:t>
      </w:r>
    </w:p>
    <w:p>
      <w:pPr>
        <w:pStyle w:val="ListBullet"/>
        <w:spacing w:after="40" w:line="276" w:lineRule="auto"/>
      </w:pPr>
      <w:r>
        <w:rPr>
          <w:rFonts w:ascii="Arial" w:hAnsi="Arial"/>
          <w:b/>
          <w:color w:val="0F172A"/>
          <w:sz w:val="19"/>
        </w:rPr>
        <w:t xml:space="preserve">Dynamic SLAs by Category: </w:t>
      </w:r>
      <w:r>
        <w:rPr>
          <w:rFonts w:ascii="Arial" w:hAnsi="Arial"/>
          <w:color w:val="334155"/>
          <w:sz w:val="19"/>
        </w:rPr>
        <w:t>Food distribution: 96 hours | School kits: 7–10 days | Tree plantation: 10 days | Emergency medical: 24–48 hours.</w:t>
      </w:r>
    </w:p>
    <w:p>
      <w:pPr>
        <w:pStyle w:val="ListBullet"/>
        <w:spacing w:after="40" w:line="276" w:lineRule="auto"/>
      </w:pPr>
      <w:r>
        <w:rPr>
          <w:rFonts w:ascii="Arial" w:hAnsi="Arial"/>
          <w:b/>
          <w:color w:val="0F172A"/>
          <w:sz w:val="19"/>
        </w:rPr>
        <w:t xml:space="preserve">5 Failure Tiers: </w:t>
      </w:r>
      <w:r>
        <w:rPr>
          <w:rFonts w:ascii="Arial" w:hAnsi="Arial"/>
          <w:color w:val="334155"/>
          <w:sz w:val="19"/>
        </w:rPr>
        <w:t>Categorized into Category A (Logistical delay: in-app extension), Category B (Insufficient evidence: 48h cure notice), Category C (Operational negligence: Warning 1 + substitute lead), Category D (Contractual breach: Default review &amp; replacement), and Category E (Suspected fraud: Emergency freeze &amp; legal referral).</w:t>
      </w:r>
    </w:p>
    <w:p>
      <w:pPr>
        <w:spacing w:after="80" w:line="276" w:lineRule="auto"/>
      </w:pPr>
      <w:r>
        <w:rPr>
          <w:rFonts w:ascii="Arial" w:hAnsi="Arial"/>
          <w:b/>
          <w:color w:val="0F172A"/>
          <w:sz w:val="19"/>
        </w:rPr>
        <w:t xml:space="preserve">12-Step Replacement Protocol: </w:t>
      </w:r>
      <w:r>
        <w:rPr>
          <w:rFonts w:ascii="Arial" w:hAnsi="Arial"/>
          <w:i w:val="0"/>
          <w:color w:val="334155"/>
          <w:sz w:val="19"/>
        </w:rPr>
        <w:t>The 12-Step Replacement Workflow executes as follows: (1) Freeze further disbursement, (2) Audit spent vs unspent balances, (3) Dispatch transparent donor notice, (4) Evaluate replacement feasibility, (5) Assign replacement NGO from the 1 Lead + 2 Substitutes roster, (6) Secure itemized procurement evidence, (7) Execute on-ground delivery, (8) Upload WebRTC video proof, (9) Compliance desk dual-signoff audit, (10) Disburse remaining funds to substitute, (11) Dispatch completion notification to donors, and (12) Record permanent penalty in the NGO risk register.</w:t>
      </w:r>
    </w:p>
    <w:p>
      <w:pPr>
        <w:pStyle w:val="Heading1"/>
        <w:spacing w:before="240" w:after="80"/>
      </w:pPr>
      <w:r>
        <w:rPr>
          <w:rFonts w:ascii="Arial" w:hAnsi="Arial"/>
          <w:color w:val="0F172A"/>
          <w:sz w:val="32"/>
        </w:rPr>
        <w:t>6. Standard Donor Communication &amp; Transparency Policy</w:t>
      </w:r>
    </w:p>
    <w:p>
      <w:pPr>
        <w:spacing w:after="80" w:line="276" w:lineRule="auto"/>
      </w:pPr>
      <w:r>
        <w:rPr>
          <w:rFonts w:ascii="Arial" w:hAnsi="Arial"/>
          <w:b/>
          <w:color w:val="0F172A"/>
          <w:sz w:val="19"/>
        </w:rPr>
        <w:t xml:space="preserve">Customer Experience Standards: </w:t>
      </w:r>
      <w:r>
        <w:rPr>
          <w:rFonts w:ascii="Arial" w:hAnsi="Arial"/>
          <w:i w:val="0"/>
          <w:color w:val="334155"/>
          <w:sz w:val="19"/>
        </w:rPr>
        <w:t>ACTA establishes 7 empathy-first, truthful communication templates: (1) Delivery Delayed (weather/logistics), (2) Warning Issued to Partner NGO (audit review), (3) NGO Unresponsive (formal escalation), (4) Replacement NGO Selected, (5) Replacement Delivery Completed, (6) Campaign Cancelled &amp; Refund Initiated, and (7) Suspected Misuse Under Review. Communication strictly prohibits unverified accusations, conceals no operational delays, and protects beneficiary dignity under the DPDP Act 2023.</w:t>
      </w:r>
    </w:p>
    <w:p>
      <w:pPr>
        <w:pStyle w:val="Heading1"/>
        <w:spacing w:before="240" w:after="80"/>
      </w:pPr>
      <w:r>
        <w:rPr>
          <w:rFonts w:ascii="Arial" w:hAnsi="Arial"/>
          <w:color w:val="0F172A"/>
          <w:sz w:val="32"/>
        </w:rPr>
        <w:t>7. 10-Point Legal, Regulatory &amp; Fintech Review Checklist</w:t>
      </w:r>
    </w:p>
    <w:p>
      <w:pPr>
        <w:spacing w:after="80" w:line="276" w:lineRule="auto"/>
      </w:pPr>
      <w:r>
        <w:rPr>
          <w:rFonts w:ascii="Arial" w:hAnsi="Arial"/>
          <w:b/>
          <w:color w:val="0F172A"/>
          <w:sz w:val="19"/>
        </w:rPr>
        <w:t xml:space="preserve">Governance Gateway: </w:t>
      </w:r>
      <w:r>
        <w:rPr>
          <w:rFonts w:ascii="Arial" w:hAnsi="Arial"/>
          <w:i w:val="0"/>
          <w:color w:val="334155"/>
          <w:sz w:val="19"/>
        </w:rPr>
        <w:t>Prior to commercial deployment, this 10-point checklist governs legal and financial compliance:</w:t>
      </w:r>
    </w:p>
    <w:p>
      <w:pPr>
        <w:pStyle w:val="ListBullet"/>
        <w:spacing w:after="40" w:line="276" w:lineRule="auto"/>
      </w:pPr>
      <w:r>
        <w:rPr>
          <w:rFonts w:ascii="Arial" w:hAnsi="Arial"/>
          <w:b/>
          <w:color w:val="0F172A"/>
          <w:sz w:val="19"/>
        </w:rPr>
        <w:t xml:space="preserve">1. SaaS Intermediary Status: </w:t>
      </w:r>
      <w:r>
        <w:rPr>
          <w:rFonts w:ascii="Arial" w:hAnsi="Arial"/>
          <w:color w:val="334155"/>
          <w:sz w:val="19"/>
        </w:rPr>
        <w:t>Operate as a SaaS technology provider under Section 79 of the IT Act 2000, not a donation-holding entity.</w:t>
      </w:r>
    </w:p>
    <w:p>
      <w:pPr>
        <w:pStyle w:val="ListBullet"/>
        <w:spacing w:after="40" w:line="276" w:lineRule="auto"/>
      </w:pPr>
      <w:r>
        <w:rPr>
          <w:rFonts w:ascii="Arial" w:hAnsi="Arial"/>
          <w:b/>
          <w:color w:val="0F172A"/>
          <w:sz w:val="19"/>
        </w:rPr>
        <w:t xml:space="preserve">2. RBI PA Split Permissibility: </w:t>
      </w:r>
      <w:r>
        <w:rPr>
          <w:rFonts w:ascii="Arial" w:hAnsi="Arial"/>
          <w:color w:val="334155"/>
          <w:sz w:val="19"/>
        </w:rPr>
        <w:t>Validate Razorpay Route / Cashfree Split automated settlement for non-profit and commercial splits.</w:t>
      </w:r>
    </w:p>
    <w:p>
      <w:pPr>
        <w:pStyle w:val="ListBullet"/>
        <w:spacing w:after="40" w:line="276" w:lineRule="auto"/>
      </w:pPr>
      <w:r>
        <w:rPr>
          <w:rFonts w:ascii="Arial" w:hAnsi="Arial"/>
          <w:b/>
          <w:color w:val="0F172A"/>
          <w:sz w:val="19"/>
        </w:rPr>
        <w:t xml:space="preserve">3. Section 80G Tax Deductions: </w:t>
      </w:r>
      <w:r>
        <w:rPr>
          <w:rFonts w:ascii="Arial" w:hAnsi="Arial"/>
          <w:color w:val="334155"/>
          <w:sz w:val="19"/>
        </w:rPr>
        <w:t>Section 80G receipts issued strictly by partner NGOs; Form 10BD data extraction pipeline.</w:t>
      </w:r>
    </w:p>
    <w:p>
      <w:pPr>
        <w:pStyle w:val="ListBullet"/>
        <w:spacing w:after="40" w:line="276" w:lineRule="auto"/>
      </w:pPr>
      <w:r>
        <w:rPr>
          <w:rFonts w:ascii="Arial" w:hAnsi="Arial"/>
          <w:b/>
          <w:color w:val="0F172A"/>
          <w:sz w:val="19"/>
        </w:rPr>
        <w:t xml:space="preserve">4. GST on Technology Fees: </w:t>
      </w:r>
      <w:r>
        <w:rPr>
          <w:rFonts w:ascii="Arial" w:hAnsi="Arial"/>
          <w:color w:val="334155"/>
          <w:sz w:val="19"/>
        </w:rPr>
        <w:t>18% GST applicability on ACTA's ₹5 service fee; SAC code classification and B2B invoicing.</w:t>
      </w:r>
    </w:p>
    <w:p>
      <w:pPr>
        <w:pStyle w:val="ListBullet"/>
        <w:spacing w:after="40" w:line="276" w:lineRule="auto"/>
      </w:pPr>
      <w:r>
        <w:rPr>
          <w:rFonts w:ascii="Arial" w:hAnsi="Arial"/>
          <w:b/>
          <w:color w:val="0F172A"/>
          <w:sz w:val="19"/>
        </w:rPr>
        <w:t xml:space="preserve">5. Escrow Nodal Custody: </w:t>
      </w:r>
      <w:r>
        <w:rPr>
          <w:rFonts w:ascii="Arial" w:hAnsi="Arial"/>
          <w:color w:val="334155"/>
          <w:sz w:val="19"/>
        </w:rPr>
        <w:t>Compliance of escrow/nodal custody and milestone disbursement under RBI Master Directions.</w:t>
      </w:r>
    </w:p>
    <w:p>
      <w:pPr>
        <w:pStyle w:val="ListBullet"/>
        <w:spacing w:after="40" w:line="276" w:lineRule="auto"/>
      </w:pPr>
      <w:r>
        <w:rPr>
          <w:rFonts w:ascii="Arial" w:hAnsi="Arial"/>
          <w:b/>
          <w:color w:val="0F172A"/>
          <w:sz w:val="19"/>
        </w:rPr>
        <w:t xml:space="preserve">6. NGO Master Service Agreement: </w:t>
      </w:r>
      <w:r>
        <w:rPr>
          <w:rFonts w:ascii="Arial" w:hAnsi="Arial"/>
          <w:color w:val="334155"/>
          <w:sz w:val="19"/>
        </w:rPr>
        <w:t>Enforceability of 5% fee, 10% ops cap, dynamic SLAs, and 2-strike default replacement clause.</w:t>
      </w:r>
    </w:p>
    <w:p>
      <w:pPr>
        <w:pStyle w:val="ListBullet"/>
        <w:spacing w:after="40" w:line="276" w:lineRule="auto"/>
      </w:pPr>
      <w:r>
        <w:rPr>
          <w:rFonts w:ascii="Arial" w:hAnsi="Arial"/>
          <w:b/>
          <w:color w:val="0F172A"/>
          <w:sz w:val="19"/>
        </w:rPr>
        <w:t xml:space="preserve">7. Chargeback &amp; Dispute Liability: </w:t>
      </w:r>
      <w:r>
        <w:rPr>
          <w:rFonts w:ascii="Arial" w:hAnsi="Arial"/>
          <w:color w:val="334155"/>
          <w:sz w:val="19"/>
        </w:rPr>
        <w:t>Dispute liability, rolling reserve buffers, and chargeback recovery protocols.</w:t>
      </w:r>
    </w:p>
    <w:p>
      <w:pPr>
        <w:pStyle w:val="ListBullet"/>
        <w:spacing w:after="40" w:line="276" w:lineRule="auto"/>
      </w:pPr>
      <w:r>
        <w:rPr>
          <w:rFonts w:ascii="Arial" w:hAnsi="Arial"/>
          <w:b/>
          <w:color w:val="0F172A"/>
          <w:sz w:val="19"/>
        </w:rPr>
        <w:t xml:space="preserve">8. Continuity Reserve Governance: </w:t>
      </w:r>
      <w:r>
        <w:rPr>
          <w:rFonts w:ascii="Arial" w:hAnsi="Arial"/>
          <w:color w:val="334155"/>
          <w:sz w:val="19"/>
        </w:rPr>
        <w:t>Balance sheet classification of Continuity Reserve under ICAI AS 29 / Ind AS 37.</w:t>
      </w:r>
    </w:p>
    <w:p>
      <w:pPr>
        <w:pStyle w:val="ListBullet"/>
        <w:spacing w:after="40" w:line="276" w:lineRule="auto"/>
      </w:pPr>
      <w:r>
        <w:rPr>
          <w:rFonts w:ascii="Arial" w:hAnsi="Arial"/>
          <w:b/>
          <w:color w:val="0F172A"/>
          <w:sz w:val="19"/>
        </w:rPr>
        <w:t xml:space="preserve">9. DPDP Act &amp; Minor Privacy: </w:t>
      </w:r>
      <w:r>
        <w:rPr>
          <w:rFonts w:ascii="Arial" w:hAnsi="Arial"/>
          <w:color w:val="334155"/>
          <w:sz w:val="19"/>
        </w:rPr>
        <w:t>MediaPipe automated minor facial blur pipeline (&lt;18 years) and beneficiary consent under DPDP Act 2023.</w:t>
      </w:r>
    </w:p>
    <w:p>
      <w:pPr>
        <w:pStyle w:val="ListBullet"/>
        <w:spacing w:after="40" w:line="276" w:lineRule="auto"/>
      </w:pPr>
      <w:r>
        <w:rPr>
          <w:rFonts w:ascii="Arial" w:hAnsi="Arial"/>
          <w:b/>
          <w:color w:val="0F172A"/>
          <w:sz w:val="19"/>
        </w:rPr>
        <w:t xml:space="preserve">10. FCRA Ring-Fencing: </w:t>
      </w:r>
      <w:r>
        <w:rPr>
          <w:rFonts w:ascii="Arial" w:hAnsi="Arial"/>
          <w:color w:val="334155"/>
          <w:sz w:val="19"/>
        </w:rPr>
        <w:t>Domestic INR transactions only; programmatic blocking of international cards and accounts under FCRA.</w:t>
      </w:r>
    </w:p>
    <w:p>
      <w:pPr>
        <w:pStyle w:val="Heading1"/>
        <w:spacing w:before="240" w:after="80"/>
      </w:pPr>
      <w:r>
        <w:rPr>
          <w:rFonts w:ascii="Arial" w:hAnsi="Arial"/>
          <w:color w:val="0F172A"/>
          <w:sz w:val="32"/>
        </w:rPr>
        <w:t>8. Technical Architecture &amp; Database Specifications</w:t>
      </w:r>
    </w:p>
    <w:p>
      <w:pPr>
        <w:spacing w:after="80" w:line="276" w:lineRule="auto"/>
      </w:pPr>
      <w:r>
        <w:rPr>
          <w:rFonts w:ascii="Arial" w:hAnsi="Arial"/>
          <w:b/>
          <w:color w:val="0F172A"/>
          <w:sz w:val="19"/>
        </w:rPr>
        <w:t xml:space="preserve">Tech Stack Overview: </w:t>
      </w:r>
      <w:r>
        <w:rPr>
          <w:rFonts w:ascii="Arial" w:hAnsi="Arial"/>
          <w:i w:val="0"/>
          <w:color w:val="334155"/>
          <w:sz w:val="19"/>
        </w:rPr>
        <w:t>The system is engineered on a modern cloud stack: React 18 Mobile-First PWA, Node.js 22 REST/Webhook API, Supabase PostgreSQL, Redis event cache, WebRTC camera pipeline, MediaPipe face blur, and YouTube Data API v3 unlisted archive.</w:t>
      </w:r>
    </w:p>
    <w:p>
      <w:pPr>
        <w:spacing w:after="80" w:line="276" w:lineRule="auto"/>
      </w:pPr>
      <w:r>
        <w:rPr>
          <w:rFonts w:ascii="Arial" w:hAnsi="Arial"/>
          <w:b/>
          <w:color w:val="0F172A"/>
          <w:sz w:val="19"/>
        </w:rPr>
        <w:t xml:space="preserve">Database Schema Architecture: </w:t>
      </w:r>
      <w:r>
        <w:rPr>
          <w:rFonts w:ascii="Arial" w:hAnsi="Arial"/>
          <w:i w:val="0"/>
          <w:color w:val="334155"/>
          <w:sz w:val="19"/>
        </w:rPr>
        <w:t>Complete database schema definitions with relational integrity and audit logging:</w:t>
      </w:r>
    </w:p>
    <w:p>
      <w:pPr>
        <w:pStyle w:val="ListBullet"/>
        <w:spacing w:after="40" w:line="276" w:lineRule="auto"/>
      </w:pPr>
      <w:r>
        <w:rPr>
          <w:rFonts w:ascii="Arial" w:hAnsi="Arial"/>
          <w:b/>
          <w:color w:val="0F172A"/>
          <w:sz w:val="19"/>
        </w:rPr>
        <w:t xml:space="preserve">users Table: </w:t>
      </w:r>
      <w:r>
        <w:rPr>
          <w:rFonts w:ascii="Arial" w:hAnsi="Arial"/>
          <w:color w:val="334155"/>
          <w:sz w:val="19"/>
        </w:rPr>
        <w:t>Stores authentication credentials, phone numbers, role (donor, ngo_lead, reviewer, admin), and privacy settings.</w:t>
      </w:r>
    </w:p>
    <w:p>
      <w:pPr>
        <w:pStyle w:val="ListBullet"/>
        <w:spacing w:after="40" w:line="276" w:lineRule="auto"/>
      </w:pPr>
      <w:r>
        <w:rPr>
          <w:rFonts w:ascii="Arial" w:hAnsi="Arial"/>
          <w:b/>
          <w:color w:val="0F172A"/>
          <w:sz w:val="19"/>
        </w:rPr>
        <w:t xml:space="preserve">campaigns Table: </w:t>
      </w:r>
      <w:r>
        <w:rPr>
          <w:rFonts w:ascii="Arial" w:hAnsi="Arial"/>
          <w:color w:val="334155"/>
          <w:sz w:val="19"/>
        </w:rPr>
        <w:t>Stores title, category, target_amount, raised_amount, status, ngo_id, execution_sla_hours, and deadline.</w:t>
      </w:r>
    </w:p>
    <w:p>
      <w:pPr>
        <w:pStyle w:val="ListBullet"/>
        <w:spacing w:after="40" w:line="276" w:lineRule="auto"/>
      </w:pPr>
      <w:r>
        <w:rPr>
          <w:rFonts w:ascii="Arial" w:hAnsi="Arial"/>
          <w:b/>
          <w:color w:val="0F172A"/>
          <w:sz w:val="19"/>
        </w:rPr>
        <w:t xml:space="preserve">donations Table: </w:t>
      </w:r>
      <w:r>
        <w:rPr>
          <w:rFonts w:ascii="Arial" w:hAnsi="Arial"/>
          <w:color w:val="334155"/>
          <w:sz w:val="19"/>
        </w:rPr>
        <w:t>Stores donation_id, campaign_id, user_id, gross_amount, acta_fee (5%), ngo_net (95%), payment_status, and gateway_ref.</w:t>
      </w:r>
    </w:p>
    <w:p>
      <w:pPr>
        <w:pStyle w:val="ListBullet"/>
        <w:spacing w:after="40" w:line="276" w:lineRule="auto"/>
      </w:pPr>
      <w:r>
        <w:rPr>
          <w:rFonts w:ascii="Arial" w:hAnsi="Arial"/>
          <w:b/>
          <w:color w:val="0F172A"/>
          <w:sz w:val="19"/>
        </w:rPr>
        <w:t xml:space="preserve">escrow_batches Table: </w:t>
      </w:r>
      <w:r>
        <w:rPr>
          <w:rFonts w:ascii="Arial" w:hAnsi="Arial"/>
          <w:color w:val="334155"/>
          <w:sz w:val="19"/>
        </w:rPr>
        <w:t>Tracks milestone escrow state, mobilization advance, proof submission timestamps, and dual-authorization signoffs.</w:t>
      </w:r>
    </w:p>
    <w:p>
      <w:pPr>
        <w:pStyle w:val="ListBullet"/>
        <w:spacing w:after="40" w:line="276" w:lineRule="auto"/>
      </w:pPr>
      <w:r>
        <w:rPr>
          <w:rFonts w:ascii="Arial" w:hAnsi="Arial"/>
          <w:b/>
          <w:color w:val="0F172A"/>
          <w:sz w:val="19"/>
        </w:rPr>
        <w:t xml:space="preserve">verifications Table: </w:t>
      </w:r>
      <w:r>
        <w:rPr>
          <w:rFonts w:ascii="Arial" w:hAnsi="Arial"/>
          <w:color w:val="334155"/>
          <w:sz w:val="19"/>
        </w:rPr>
        <w:t>Stores WebRTC video hashes, GPS coordinates, NTP timestamps, YouTube unlisted video URL, and OCR invoice logs.</w:t>
      </w:r>
    </w:p>
    <w:p>
      <w:pPr>
        <w:pStyle w:val="ListBullet"/>
        <w:spacing w:after="40" w:line="276" w:lineRule="auto"/>
      </w:pPr>
      <w:r>
        <w:rPr>
          <w:rFonts w:ascii="Arial" w:hAnsi="Arial"/>
          <w:b/>
          <w:color w:val="0F172A"/>
          <w:sz w:val="19"/>
        </w:rPr>
        <w:t xml:space="preserve">continuity_reserve_ledger Table: </w:t>
      </w:r>
      <w:r>
        <w:rPr>
          <w:rFonts w:ascii="Arial" w:hAnsi="Arial"/>
          <w:color w:val="334155"/>
          <w:sz w:val="19"/>
        </w:rPr>
        <w:t>Ledger tracking 20% continuity reserve allocations from earned platform fees and emergency replacement disbursements.</w:t>
      </w:r>
    </w:p>
    <w:p>
      <w:pPr>
        <w:pStyle w:val="ListBullet"/>
        <w:spacing w:after="40" w:line="276" w:lineRule="auto"/>
      </w:pPr>
      <w:r>
        <w:rPr>
          <w:rFonts w:ascii="Arial" w:hAnsi="Arial"/>
          <w:b/>
          <w:color w:val="0F172A"/>
          <w:sz w:val="19"/>
        </w:rPr>
        <w:t xml:space="preserve">guilds Table: </w:t>
      </w:r>
      <w:r>
        <w:rPr>
          <w:rFonts w:ascii="Arial" w:hAnsi="Arial"/>
          <w:color w:val="334155"/>
          <w:sz w:val="19"/>
        </w:rPr>
        <w:t>Manages campus collegiate communities, hostel blocks, and aggregated collective impact scores.</w:t>
      </w:r>
    </w:p>
    <w:p>
      <w:pPr>
        <w:pStyle w:val="Heading1"/>
        <w:spacing w:before="240" w:after="80"/>
      </w:pPr>
      <w:r>
        <w:rPr>
          <w:rFonts w:ascii="Arial" w:hAnsi="Arial"/>
          <w:color w:val="0F172A"/>
          <w:sz w:val="32"/>
        </w:rPr>
        <w:t>9. Gamification &amp; Collegiate Impact Guilds</w:t>
      </w:r>
    </w:p>
    <w:p>
      <w:pPr>
        <w:spacing w:after="80" w:line="276" w:lineRule="auto"/>
      </w:pPr>
      <w:r>
        <w:rPr>
          <w:rFonts w:ascii="Arial" w:hAnsi="Arial"/>
          <w:b/>
          <w:color w:val="0F172A"/>
          <w:sz w:val="19"/>
        </w:rPr>
        <w:t xml:space="preserve">Ethical Gamification Engine: </w:t>
      </w:r>
      <w:r>
        <w:rPr>
          <w:rFonts w:ascii="Arial" w:hAnsi="Arial"/>
          <w:i w:val="0"/>
          <w:color w:val="334155"/>
          <w:sz w:val="19"/>
        </w:rPr>
        <w:t>ACTA rejects pay-to-win dynamics. Donations are strictly private, eliminating wealth shaming. XP is awarded based on positive social actions: +20 XP for verifying ground proof, +150 XP for weekly giving streaks, and +250 XP for campus volunteering.</w:t>
      </w:r>
    </w:p>
    <w:p>
      <w:pPr>
        <w:spacing w:after="80" w:line="276" w:lineRule="auto"/>
      </w:pPr>
      <w:r>
        <w:rPr>
          <w:rFonts w:ascii="Arial" w:hAnsi="Arial"/>
          <w:b/>
          <w:color w:val="0F172A"/>
          <w:sz w:val="19"/>
        </w:rPr>
        <w:t xml:space="preserve">Campus Guild Architecture: </w:t>
      </w:r>
      <w:r>
        <w:rPr>
          <w:rFonts w:ascii="Arial" w:hAnsi="Arial"/>
          <w:i w:val="0"/>
          <w:color w:val="334155"/>
          <w:sz w:val="19"/>
        </w:rPr>
        <w:t>Collegiate students organize into Campus Impact Guilds (e.g. GLBIM Tech Warriors, Hostel Block A Impact Guild). Guilds compete on aggregate participation and collective impact, unlocking campus-wide tree planting or digital achievement badges. All gaming references are strictly collegiate; zero third-party game branding is utilized.</w:t>
      </w:r>
    </w:p>
    <w:p>
      <w:pPr>
        <w:pStyle w:val="Heading1"/>
        <w:spacing w:before="240" w:after="80"/>
      </w:pPr>
      <w:r>
        <w:rPr>
          <w:rFonts w:ascii="Arial" w:hAnsi="Arial"/>
          <w:color w:val="0F172A"/>
          <w:sz w:val="32"/>
        </w:rPr>
        <w:t>10. Pilot Roadmap &amp; GLBCRI Incubation Objectives</w:t>
      </w:r>
    </w:p>
    <w:p>
      <w:pPr>
        <w:spacing w:after="80" w:line="276" w:lineRule="auto"/>
      </w:pPr>
      <w:r>
        <w:rPr>
          <w:rFonts w:ascii="Arial" w:hAnsi="Arial"/>
          <w:b/>
          <w:color w:val="0F172A"/>
          <w:sz w:val="19"/>
        </w:rPr>
        <w:t xml:space="preserve">Pilot Scope: </w:t>
      </w:r>
      <w:r>
        <w:rPr>
          <w:rFonts w:ascii="Arial" w:hAnsi="Arial"/>
          <w:i w:val="0"/>
          <w:color w:val="334155"/>
          <w:sz w:val="19"/>
        </w:rPr>
        <w:t>The operational launch focuses on a tightly controlled, high-fidelity pilot:</w:t>
      </w:r>
    </w:p>
    <w:p>
      <w:pPr>
        <w:pStyle w:val="ListBullet"/>
        <w:spacing w:after="40" w:line="276" w:lineRule="auto"/>
      </w:pPr>
      <w:r>
        <w:rPr>
          <w:rFonts w:ascii="Arial" w:hAnsi="Arial"/>
          <w:b/>
          <w:color w:val="0F172A"/>
          <w:sz w:val="19"/>
        </w:rPr>
        <w:t xml:space="preserve">Pilot Campus: </w:t>
      </w:r>
      <w:r>
        <w:rPr>
          <w:rFonts w:ascii="Arial" w:hAnsi="Arial"/>
          <w:color w:val="334155"/>
          <w:sz w:val="19"/>
        </w:rPr>
        <w:t>GL Bajaj Institute of Management (GLBIM), Greater Noida (500–1,000 active student micro-donors).</w:t>
      </w:r>
    </w:p>
    <w:p>
      <w:pPr>
        <w:pStyle w:val="ListBullet"/>
        <w:spacing w:after="40" w:line="276" w:lineRule="auto"/>
      </w:pPr>
      <w:r>
        <w:rPr>
          <w:rFonts w:ascii="Arial" w:hAnsi="Arial"/>
          <w:b/>
          <w:color w:val="0F172A"/>
          <w:sz w:val="19"/>
        </w:rPr>
        <w:t xml:space="preserve">Pilot NGO Partners: </w:t>
      </w:r>
      <w:r>
        <w:rPr>
          <w:rFonts w:ascii="Arial" w:hAnsi="Arial"/>
          <w:color w:val="334155"/>
          <w:sz w:val="19"/>
        </w:rPr>
        <w:t>1–2 verified local grassroots non-profits operating in Greater Noida (Zero Hunger / Stray Feeding).</w:t>
      </w:r>
    </w:p>
    <w:p>
      <w:pPr>
        <w:pStyle w:val="ListBullet"/>
        <w:spacing w:after="40" w:line="276" w:lineRule="auto"/>
      </w:pPr>
      <w:r>
        <w:rPr>
          <w:rFonts w:ascii="Arial" w:hAnsi="Arial"/>
          <w:b/>
          <w:color w:val="0F172A"/>
          <w:sz w:val="19"/>
        </w:rPr>
        <w:t xml:space="preserve">90-Day Execution Plan: </w:t>
      </w:r>
      <w:r>
        <w:rPr>
          <w:rFonts w:ascii="Arial" w:hAnsi="Arial"/>
          <w:color w:val="334155"/>
          <w:sz w:val="19"/>
        </w:rPr>
        <w:t>Month 1: Legal/fintech sign-off. Month 2: Webhook and camera hardening. Month 3: Live ₹10,000 pilot campaign with full video proof delivery and donor satisfaction audit.</w:t>
      </w:r>
    </w:p>
    <w:p>
      <w:pPr>
        <w:spacing w:after="80" w:line="276" w:lineRule="auto"/>
      </w:pPr>
      <w:r>
        <w:rPr>
          <w:rFonts w:ascii="Arial" w:hAnsi="Arial"/>
          <w:b/>
          <w:color w:val="0F172A"/>
          <w:sz w:val="19"/>
        </w:rPr>
        <w:t xml:space="preserve">GLBCRI Incubation Ask: </w:t>
      </w:r>
      <w:r>
        <w:rPr>
          <w:rFonts w:ascii="Arial" w:hAnsi="Arial"/>
          <w:i w:val="0"/>
          <w:color w:val="334155"/>
          <w:sz w:val="19"/>
        </w:rPr>
        <w:t>Piyush Singh respectfully requests incubation support from GLBCRI (Bharat Udyam Sangam 2026): (1) Incubation desk and campus pilot facilitation, (2) Legal and fintech mentorship clinic, (3) Cloud server infrastructure credits, and (4) Institutional introduction to CSR corporate partners.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