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color w:val="4B4B4B"/>
          <w:sz w:val="20"/>
        </w:rPr>
        <w:t>THE CREATOR SHOP</w:t>
      </w:r>
    </w:p>
    <w:p>
      <w:pPr>
        <w:pStyle w:val="Title"/>
        <w:spacing w:after="280"/>
        <w:jc w:val="center"/>
      </w:pPr>
      <w:r>
        <w:t>Settings MVP — Developer Handoff</w:t>
      </w:r>
    </w:p>
    <w:p>
      <w:pPr>
        <w:spacing w:after="360"/>
        <w:jc w:val="center"/>
      </w:pPr>
      <w:r>
        <w:rPr>
          <w:rFonts w:ascii="Aptos" w:hAnsi="Aptos"/>
          <w:i/>
          <w:sz w:val="21"/>
        </w:rPr>
        <w:t>Code and contract closed · production transition and provider-runtime verification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96"/>
            <w:shd w:fill="D9EAF7"/>
            <w:vAlign w:val="center"/>
            <w:tcMar>
              <w:top w:w="60" w:type="dxa"/>
              <w:start w:w="85" w:type="dxa"/>
              <w:bottom w:w="60" w:type="dxa"/>
              <w:end w:w="85" w:type="dxa"/>
            </w:tcMar>
          </w:tcPr>
          <w:p>
            <w:pPr>
              <w:widowControl/>
              <w:spacing w:after="0" w:line="240" w:lineRule="auto"/>
            </w:pPr>
            <w:r/>
            <w:r>
              <w:rPr>
                <w:rFonts w:ascii="Aptos" w:hAnsi="Aptos"/>
                <w:b/>
                <w:i w:val="0"/>
                <w:sz w:val="17"/>
              </w:rPr>
              <w:t>Delivery status</w:t>
            </w:r>
          </w:p>
        </w:tc>
        <w:tc>
          <w:tcPr>
            <w:tcW w:type="dxa" w:w="6984"/>
            <w:shd w:fill="D9EAF7"/>
            <w:vAlign w:val="center"/>
            <w:tcMar>
              <w:top w:w="60" w:type="dxa"/>
              <w:start w:w="85" w:type="dxa"/>
              <w:bottom w:w="60" w:type="dxa"/>
              <w:end w:w="85" w:type="dxa"/>
            </w:tcMar>
          </w:tcPr>
          <w:p>
            <w:pPr>
              <w:widowControl/>
              <w:spacing w:after="0" w:line="240" w:lineRule="auto"/>
            </w:pPr>
            <w:r/>
            <w:r>
              <w:rPr>
                <w:rFonts w:ascii="Aptos" w:hAnsi="Aptos"/>
                <w:b/>
                <w:i w:val="0"/>
                <w:sz w:val="17"/>
              </w:rPr>
              <w:t>Current authority</w:t>
            </w:r>
          </w:p>
        </w:tc>
      </w:tr>
      <w:tr>
        <w:trPr>
          <w:cantSplit/>
        </w:trPr>
        <w:tc>
          <w:tcPr>
            <w:tcW w:type="dxa" w:w="3096"/>
            <w:vAlign w:val="top"/>
            <w:tcMar>
              <w:top w:w="60" w:type="dxa"/>
              <w:start w:w="85" w:type="dxa"/>
              <w:bottom w:w="60" w:type="dxa"/>
              <w:end w:w="85" w:type="dxa"/>
            </w:tcMar>
            <w:shd w:fill="EDEDED"/>
          </w:tcPr>
          <w:p>
            <w:pPr>
              <w:widowControl/>
              <w:spacing w:after="0" w:line="240" w:lineRule="auto"/>
            </w:pPr>
            <w:r/>
            <w:r>
              <w:rPr>
                <w:rFonts w:ascii="Aptos" w:hAnsi="Aptos"/>
                <w:b w:val="0"/>
                <w:i w:val="0"/>
                <w:sz w:val="17"/>
              </w:rPr>
              <w:t>Handoff status</w:t>
            </w:r>
          </w:p>
        </w:tc>
        <w:tc>
          <w:tcPr>
            <w:tcW w:type="dxa" w:w="6984"/>
            <w:vAlign w:val="top"/>
            <w:tcMar>
              <w:top w:w="60" w:type="dxa"/>
              <w:start w:w="85" w:type="dxa"/>
              <w:bottom w:w="60" w:type="dxa"/>
              <w:end w:w="85" w:type="dxa"/>
            </w:tcMar>
            <w:shd w:fill="E2F0D9"/>
          </w:tcPr>
          <w:p>
            <w:pPr>
              <w:widowControl/>
              <w:spacing w:after="0" w:line="240" w:lineRule="auto"/>
            </w:pPr>
            <w:r/>
            <w:r>
              <w:rPr>
                <w:rFonts w:ascii="Aptos" w:hAnsi="Aptos"/>
                <w:b w:val="0"/>
                <w:i w:val="0"/>
                <w:sz w:val="17"/>
              </w:rPr>
              <w:t>CLOSED / CANONICALLY INTEGRATED / READY FOR DEPLOYMENT PREP &amp; RUNTIME VERIFICATION</w:t>
            </w:r>
          </w:p>
        </w:tc>
      </w:tr>
      <w:tr>
        <w:trPr>
          <w:cantSplit/>
        </w:trPr>
        <w:tc>
          <w:tcPr>
            <w:tcW w:type="dxa" w:w="3096"/>
            <w:vAlign w:val="top"/>
            <w:tcMar>
              <w:top w:w="60" w:type="dxa"/>
              <w:start w:w="85" w:type="dxa"/>
              <w:bottom w:w="60" w:type="dxa"/>
              <w:end w:w="85" w:type="dxa"/>
            </w:tcMar>
            <w:shd w:fill="EDEDED"/>
          </w:tcPr>
          <w:p>
            <w:pPr>
              <w:widowControl/>
              <w:spacing w:after="0" w:line="240" w:lineRule="auto"/>
            </w:pPr>
            <w:r/>
            <w:r>
              <w:rPr>
                <w:rFonts w:ascii="Aptos" w:hAnsi="Aptos"/>
                <w:b w:val="0"/>
                <w:i w:val="0"/>
                <w:sz w:val="17"/>
              </w:rPr>
              <w:t>Frontend canonical</w:t>
            </w:r>
          </w:p>
        </w:tc>
        <w:tc>
          <w:tcPr>
            <w:tcW w:type="dxa" w:w="6984"/>
            <w:vAlign w:val="top"/>
            <w:tcMar>
              <w:top w:w="60" w:type="dxa"/>
              <w:start w:w="85" w:type="dxa"/>
              <w:bottom w:w="60" w:type="dxa"/>
              <w:end w:w="85" w:type="dxa"/>
            </w:tcMar>
          </w:tcPr>
          <w:p>
            <w:pPr>
              <w:widowControl/>
              <w:spacing w:after="0" w:line="240" w:lineRule="auto"/>
            </w:pPr>
            <w:r/>
            <w:r>
              <w:rPr>
                <w:rFonts w:ascii="Aptos" w:hAnsi="Aptos"/>
                <w:b w:val="0"/>
                <w:i w:val="0"/>
                <w:sz w:val="17"/>
              </w:rPr>
              <w:t>program/brand-settings-mvp @ 3e2cabbe95c16ee23bd77fe20a44fe9b1d8670d2</w:t>
            </w:r>
          </w:p>
        </w:tc>
      </w:tr>
      <w:tr>
        <w:trPr>
          <w:cantSplit/>
        </w:trPr>
        <w:tc>
          <w:tcPr>
            <w:tcW w:type="dxa" w:w="3096"/>
            <w:vAlign w:val="top"/>
            <w:tcMar>
              <w:top w:w="60" w:type="dxa"/>
              <w:start w:w="85" w:type="dxa"/>
              <w:bottom w:w="60" w:type="dxa"/>
              <w:end w:w="85" w:type="dxa"/>
            </w:tcMar>
            <w:shd w:fill="EDEDED"/>
          </w:tcPr>
          <w:p>
            <w:pPr>
              <w:widowControl/>
              <w:spacing w:after="0" w:line="240" w:lineRule="auto"/>
            </w:pPr>
            <w:r/>
            <w:r>
              <w:rPr>
                <w:rFonts w:ascii="Aptos" w:hAnsi="Aptos"/>
                <w:b w:val="0"/>
                <w:i w:val="0"/>
                <w:sz w:val="17"/>
              </w:rPr>
              <w:t>Backend canonical</w:t>
            </w:r>
          </w:p>
        </w:tc>
        <w:tc>
          <w:tcPr>
            <w:tcW w:type="dxa" w:w="6984"/>
            <w:vAlign w:val="top"/>
            <w:tcMar>
              <w:top w:w="60" w:type="dxa"/>
              <w:start w:w="85" w:type="dxa"/>
              <w:bottom w:w="60" w:type="dxa"/>
              <w:end w:w="85" w:type="dxa"/>
            </w:tcMar>
          </w:tcPr>
          <w:p>
            <w:pPr>
              <w:widowControl/>
              <w:spacing w:after="0" w:line="240" w:lineRule="auto"/>
            </w:pPr>
            <w:r/>
            <w:r>
              <w:rPr>
                <w:rFonts w:ascii="Aptos" w:hAnsi="Aptos"/>
                <w:b w:val="0"/>
                <w:i w:val="0"/>
                <w:sz w:val="17"/>
              </w:rPr>
              <w:t>program/brand-settings-mvp @ 517531682f6286d5ee45bd48ec4e145e96d583a7</w:t>
            </w:r>
          </w:p>
        </w:tc>
      </w:tr>
      <w:tr>
        <w:trPr>
          <w:cantSplit/>
        </w:trPr>
        <w:tc>
          <w:tcPr>
            <w:tcW w:type="dxa" w:w="3096"/>
            <w:vAlign w:val="top"/>
            <w:tcMar>
              <w:top w:w="60" w:type="dxa"/>
              <w:start w:w="85" w:type="dxa"/>
              <w:bottom w:w="60" w:type="dxa"/>
              <w:end w:w="85" w:type="dxa"/>
            </w:tcMar>
            <w:shd w:fill="EDEDED"/>
          </w:tcPr>
          <w:p>
            <w:pPr>
              <w:widowControl/>
              <w:spacing w:after="0" w:line="240" w:lineRule="auto"/>
            </w:pPr>
            <w:r/>
            <w:r>
              <w:rPr>
                <w:rFonts w:ascii="Aptos" w:hAnsi="Aptos"/>
                <w:b w:val="0"/>
                <w:i w:val="0"/>
                <w:sz w:val="17"/>
              </w:rPr>
              <w:t>Deployment performed</w:t>
            </w:r>
          </w:p>
        </w:tc>
        <w:tc>
          <w:tcPr>
            <w:tcW w:type="dxa" w:w="6984"/>
            <w:vAlign w:val="top"/>
            <w:tcMar>
              <w:top w:w="60" w:type="dxa"/>
              <w:start w:w="85" w:type="dxa"/>
              <w:bottom w:w="60" w:type="dxa"/>
              <w:end w:w="85" w:type="dxa"/>
            </w:tcMar>
            <w:shd w:fill="FFF2CC"/>
          </w:tcPr>
          <w:p>
            <w:pPr>
              <w:widowControl/>
              <w:spacing w:after="0" w:line="240" w:lineRule="auto"/>
            </w:pPr>
            <w:r/>
            <w:r>
              <w:rPr>
                <w:rFonts w:ascii="Aptos" w:hAnsi="Aptos"/>
                <w:b w:val="0"/>
                <w:i w:val="0"/>
                <w:sz w:val="17"/>
              </w:rPr>
              <w:t>NO</w:t>
            </w:r>
          </w:p>
        </w:tc>
      </w:tr>
      <w:tr>
        <w:trPr>
          <w:cantSplit/>
        </w:trPr>
        <w:tc>
          <w:tcPr>
            <w:tcW w:type="dxa" w:w="3096"/>
            <w:vAlign w:val="top"/>
            <w:tcMar>
              <w:top w:w="60" w:type="dxa"/>
              <w:start w:w="85" w:type="dxa"/>
              <w:bottom w:w="60" w:type="dxa"/>
              <w:end w:w="85" w:type="dxa"/>
            </w:tcMar>
            <w:shd w:fill="EDEDED"/>
          </w:tcPr>
          <w:p>
            <w:pPr>
              <w:widowControl/>
              <w:spacing w:after="0" w:line="240" w:lineRule="auto"/>
            </w:pPr>
            <w:r/>
            <w:r>
              <w:rPr>
                <w:rFonts w:ascii="Aptos" w:hAnsi="Aptos"/>
                <w:b w:val="0"/>
                <w:i w:val="0"/>
                <w:sz w:val="17"/>
              </w:rPr>
              <w:t>Production runtime certification</w:t>
            </w:r>
          </w:p>
        </w:tc>
        <w:tc>
          <w:tcPr>
            <w:tcW w:type="dxa" w:w="6984"/>
            <w:vAlign w:val="top"/>
            <w:tcMar>
              <w:top w:w="60" w:type="dxa"/>
              <w:start w:w="85" w:type="dxa"/>
              <w:bottom w:w="60" w:type="dxa"/>
              <w:end w:w="85" w:type="dxa"/>
            </w:tcMar>
            <w:shd w:fill="FFF2CC"/>
          </w:tcPr>
          <w:p>
            <w:pPr>
              <w:widowControl/>
              <w:spacing w:after="0" w:line="240" w:lineRule="auto"/>
            </w:pPr>
            <w:r/>
            <w:r>
              <w:rPr>
                <w:rFonts w:ascii="Aptos" w:hAnsi="Aptos"/>
                <w:b w:val="0"/>
                <w:i w:val="0"/>
                <w:sz w:val="17"/>
              </w:rPr>
              <w:t>NOT PERFORMED</w:t>
            </w:r>
          </w:p>
        </w:tc>
      </w:tr>
      <w:tr>
        <w:trPr>
          <w:cantSplit/>
        </w:trPr>
        <w:tc>
          <w:tcPr>
            <w:tcW w:type="dxa" w:w="3096"/>
            <w:vAlign w:val="top"/>
            <w:tcMar>
              <w:top w:w="60" w:type="dxa"/>
              <w:start w:w="85" w:type="dxa"/>
              <w:bottom w:w="60" w:type="dxa"/>
              <w:end w:w="85" w:type="dxa"/>
            </w:tcMar>
            <w:shd w:fill="EDEDED"/>
          </w:tcPr>
          <w:p>
            <w:pPr>
              <w:widowControl/>
              <w:spacing w:after="0" w:line="240" w:lineRule="auto"/>
            </w:pPr>
            <w:r/>
            <w:r>
              <w:rPr>
                <w:rFonts w:ascii="Aptos" w:hAnsi="Aptos"/>
                <w:b w:val="0"/>
                <w:i w:val="0"/>
                <w:sz w:val="17"/>
              </w:rPr>
              <w:t>Open bounded work</w:t>
            </w:r>
          </w:p>
        </w:tc>
        <w:tc>
          <w:tcPr>
            <w:tcW w:type="dxa" w:w="6984"/>
            <w:vAlign w:val="top"/>
            <w:tcMar>
              <w:top w:w="60" w:type="dxa"/>
              <w:start w:w="85" w:type="dxa"/>
              <w:bottom w:w="60" w:type="dxa"/>
              <w:end w:w="85" w:type="dxa"/>
            </w:tcMar>
            <w:shd w:fill="FFF2CC"/>
          </w:tcPr>
          <w:p>
            <w:pPr>
              <w:widowControl/>
              <w:spacing w:after="0" w:line="240" w:lineRule="auto"/>
            </w:pPr>
            <w:r/>
            <w:r>
              <w:rPr>
                <w:rFonts w:ascii="Aptos" w:hAnsi="Aptos"/>
                <w:b w:val="0"/>
                <w:i w:val="0"/>
                <w:sz w:val="17"/>
              </w:rPr>
              <w:t>Meta configuration · Postmark runtime/template validation · Razorpay provider enablement · deployment wiring gaps</w:t>
            </w:r>
          </w:p>
        </w:tc>
      </w:tr>
    </w:tbl>
    <w:p>
      <w:pPr>
        <w:spacing w:after="0"/>
      </w:pPr>
    </w:p>
    <w:p>
      <w:pPr>
        <w:pStyle w:val="Heading1"/>
        <w:keepNext/>
        <w:keepLines/>
        <w:spacing w:before="360" w:after="80"/>
      </w:pPr>
      <w:r>
        <w:t>1. Purpose and handoff outcome</w:t>
      </w:r>
    </w:p>
    <w:p>
      <w:pPr>
        <w:spacing w:before="0" w:after="60" w:line="250" w:lineRule="auto"/>
      </w:pPr>
      <w:r>
        <w:rPr>
          <w:i w:val="0"/>
        </w:rPr>
        <w:t>This document tells the production developer exactly what to deploy, which Settings contracts must remain unchanged, which provider and infrastructure items are still open, and what evidence is required before each capability is enabled. It supersedes the earlier Markdown handoff for production-transition use.</w:t>
      </w:r>
    </w:p>
    <w:p>
      <w:pPr>
        <w:pStyle w:val="ListBullet"/>
        <w:keepLines/>
        <w:spacing w:after="40" w:line="245" w:lineRule="auto"/>
      </w:pPr>
      <w:r>
        <w:rPr>
          <w:b/>
          <w:i w:val="0"/>
        </w:rPr>
        <w:t xml:space="preserve">Code status: </w:t>
      </w:r>
      <w:r>
        <w:rPr>
          <w:b w:val="0"/>
          <w:i w:val="0"/>
        </w:rPr>
        <w:t>the Settings backend and frontend programs are closed and canonically integrated at the SHAs in this document.</w:t>
      </w:r>
    </w:p>
    <w:p>
      <w:pPr>
        <w:pStyle w:val="ListBullet"/>
        <w:keepLines/>
        <w:spacing w:after="40" w:line="245" w:lineRule="auto"/>
      </w:pPr>
      <w:r>
        <w:rPr>
          <w:b/>
          <w:i w:val="0"/>
        </w:rPr>
        <w:t xml:space="preserve">Operational status: </w:t>
      </w:r>
      <w:r>
        <w:rPr>
          <w:b w:val="0"/>
          <w:i w:val="0"/>
        </w:rPr>
        <w:t>production deployment and runtime certification have not been performed.</w:t>
      </w:r>
    </w:p>
    <w:p>
      <w:pPr>
        <w:pStyle w:val="ListBullet"/>
        <w:keepLines/>
        <w:spacing w:after="40" w:line="245" w:lineRule="auto"/>
      </w:pPr>
      <w:r>
        <w:rPr>
          <w:b/>
          <w:i w:val="0"/>
        </w:rPr>
        <w:t xml:space="preserve">Debt status: </w:t>
      </w:r>
      <w:r>
        <w:rPr>
          <w:b w:val="0"/>
          <w:i w:val="0"/>
        </w:rPr>
        <w:t>the remaining Meta, Postmark, and Razorpay work is bounded provider/infrastructure work; two Razorpay surfaces also require live backend adapters before enablement.</w:t>
      </w:r>
    </w:p>
    <w:p>
      <w:pPr>
        <w:pStyle w:val="ListBullet"/>
        <w:keepLines/>
        <w:spacing w:after="40" w:line="245" w:lineRule="auto"/>
      </w:pPr>
      <w:r>
        <w:rPr>
          <w:b/>
          <w:i w:val="0"/>
        </w:rPr>
        <w:t xml:space="preserve">Change rule: </w:t>
      </w:r>
      <w:r>
        <w:rPr>
          <w:b w:val="0"/>
          <w:i w:val="0"/>
        </w:rPr>
        <w:t>do not reopen Settings product semantics merely to satisfy an old provider template, console setting, or legacy frontend behavior.</w:t>
      </w:r>
    </w:p>
    <w:p>
      <w:pPr>
        <w:keepLines/>
        <w:spacing w:before="60" w:after="120" w:line="250" w:lineRule="auto"/>
        <w:ind w:left="58" w:right="58"/>
        <w:shd w:fill="E2F0D9"/>
        <w:pBdr>
          <w:top w:val="single" w:sz="5" w:space="3" w:color="808080"/>
          <w:left w:val="single" w:sz="5" w:space="3" w:color="808080"/>
          <w:bottom w:val="single" w:sz="5" w:space="3" w:color="808080"/>
          <w:right w:val="single" w:sz="5" w:space="3" w:color="808080"/>
        </w:pBdr>
      </w:pPr>
      <w:r>
        <w:rPr>
          <w:b/>
          <w:i w:val="0"/>
          <w:color w:val="375623"/>
        </w:rPr>
        <w:t xml:space="preserve">Release principle: </w:t>
      </w:r>
      <w:r>
        <w:rPr>
          <w:b w:val="0"/>
          <w:i w:val="0"/>
        </w:rPr>
        <w:t>Core Settings may move through deployment preparation while deferred provider paths remain disabled or fail-closed. A provider-backed capability may not be represented as production-ready until its own gate in this handoff passes.</w:t>
      </w:r>
    </w:p>
    <w:p>
      <w:pPr>
        <w:pStyle w:val="Heading1"/>
        <w:keepNext/>
        <w:keepLines/>
        <w:spacing w:before="360" w:after="80"/>
      </w:pPr>
      <w:r>
        <w:t>2. Canonical repositories and source of truth</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080"/>
            <w:shd w:fill="D9EAF7"/>
            <w:vAlign w:val="center"/>
            <w:tcMar>
              <w:top w:w="60" w:type="dxa"/>
              <w:start w:w="85" w:type="dxa"/>
              <w:bottom w:w="60" w:type="dxa"/>
              <w:end w:w="85" w:type="dxa"/>
            </w:tcMar>
          </w:tcPr>
          <w:p>
            <w:pPr>
              <w:widowControl/>
              <w:spacing w:after="0" w:line="240" w:lineRule="auto"/>
            </w:pPr>
            <w:r/>
            <w:r>
              <w:rPr>
                <w:rFonts w:ascii="Aptos" w:hAnsi="Aptos"/>
                <w:b/>
                <w:i w:val="0"/>
                <w:sz w:val="15"/>
              </w:rPr>
              <w:t>Area</w:t>
            </w:r>
          </w:p>
        </w:tc>
        <w:tc>
          <w:tcPr>
            <w:tcW w:type="dxa" w:w="2376"/>
            <w:shd w:fill="D9EAF7"/>
            <w:vAlign w:val="center"/>
            <w:tcMar>
              <w:top w:w="60" w:type="dxa"/>
              <w:start w:w="85" w:type="dxa"/>
              <w:bottom w:w="60" w:type="dxa"/>
              <w:end w:w="85" w:type="dxa"/>
            </w:tcMar>
          </w:tcPr>
          <w:p>
            <w:pPr>
              <w:widowControl/>
              <w:spacing w:after="0" w:line="240" w:lineRule="auto"/>
            </w:pPr>
            <w:r/>
            <w:r>
              <w:rPr>
                <w:rFonts w:ascii="Aptos" w:hAnsi="Aptos"/>
                <w:b/>
                <w:i w:val="0"/>
                <w:sz w:val="15"/>
              </w:rPr>
              <w:t>Repository</w:t>
            </w:r>
          </w:p>
        </w:tc>
        <w:tc>
          <w:tcPr>
            <w:tcW w:type="dxa" w:w="1656"/>
            <w:shd w:fill="D9EAF7"/>
            <w:vAlign w:val="center"/>
            <w:tcMar>
              <w:top w:w="60" w:type="dxa"/>
              <w:start w:w="85" w:type="dxa"/>
              <w:bottom w:w="60" w:type="dxa"/>
              <w:end w:w="85" w:type="dxa"/>
            </w:tcMar>
          </w:tcPr>
          <w:p>
            <w:pPr>
              <w:widowControl/>
              <w:spacing w:after="0" w:line="240" w:lineRule="auto"/>
            </w:pPr>
            <w:r/>
            <w:r>
              <w:rPr>
                <w:rFonts w:ascii="Aptos" w:hAnsi="Aptos"/>
                <w:b/>
                <w:i w:val="0"/>
                <w:sz w:val="15"/>
              </w:rPr>
              <w:t>Branch</w:t>
            </w:r>
          </w:p>
        </w:tc>
        <w:tc>
          <w:tcPr>
            <w:tcW w:type="dxa" w:w="3096"/>
            <w:shd w:fill="D9EAF7"/>
            <w:vAlign w:val="center"/>
            <w:tcMar>
              <w:top w:w="60" w:type="dxa"/>
              <w:start w:w="85" w:type="dxa"/>
              <w:bottom w:w="60" w:type="dxa"/>
              <w:end w:w="85" w:type="dxa"/>
            </w:tcMar>
          </w:tcPr>
          <w:p>
            <w:pPr>
              <w:widowControl/>
              <w:spacing w:after="0" w:line="240" w:lineRule="auto"/>
            </w:pPr>
            <w:r/>
            <w:r>
              <w:rPr>
                <w:rFonts w:ascii="Aptos" w:hAnsi="Aptos"/>
                <w:b/>
                <w:i w:val="0"/>
                <w:sz w:val="15"/>
              </w:rPr>
              <w:t>Canonical SHA</w:t>
            </w:r>
          </w:p>
        </w:tc>
        <w:tc>
          <w:tcPr>
            <w:tcW w:type="dxa" w:w="1872"/>
            <w:shd w:fill="D9EAF7"/>
            <w:vAlign w:val="center"/>
            <w:tcMar>
              <w:top w:w="60" w:type="dxa"/>
              <w:start w:w="85" w:type="dxa"/>
              <w:bottom w:w="60" w:type="dxa"/>
              <w:end w:w="85" w:type="dxa"/>
            </w:tcMar>
          </w:tcPr>
          <w:p>
            <w:pPr>
              <w:widowControl/>
              <w:spacing w:after="0" w:line="240" w:lineRule="auto"/>
            </w:pPr>
            <w:r/>
            <w:r>
              <w:rPr>
                <w:rFonts w:ascii="Aptos" w:hAnsi="Aptos"/>
                <w:b/>
                <w:i w:val="0"/>
                <w:sz w:val="15"/>
              </w:rPr>
              <w:t>Use</w:t>
            </w:r>
          </w:p>
        </w:tc>
      </w:tr>
      <w:tr>
        <w:trPr>
          <w:cantSplit/>
        </w:trPr>
        <w:tc>
          <w:tcPr>
            <w:tcW w:type="dxa" w:w="1080"/>
            <w:vAlign w:val="top"/>
            <w:tcMar>
              <w:top w:w="60" w:type="dxa"/>
              <w:start w:w="85" w:type="dxa"/>
              <w:bottom w:w="60" w:type="dxa"/>
              <w:end w:w="85" w:type="dxa"/>
            </w:tcMar>
          </w:tcPr>
          <w:p>
            <w:pPr>
              <w:widowControl/>
              <w:spacing w:after="0" w:line="240" w:lineRule="auto"/>
            </w:pPr>
            <w:r/>
            <w:r>
              <w:rPr>
                <w:rFonts w:ascii="Aptos" w:hAnsi="Aptos"/>
                <w:b w:val="0"/>
                <w:i w:val="0"/>
                <w:sz w:val="15"/>
              </w:rPr>
              <w:t>Frontend</w:t>
            </w:r>
          </w:p>
        </w:tc>
        <w:tc>
          <w:tcPr>
            <w:tcW w:type="dxa" w:w="2376"/>
            <w:vAlign w:val="top"/>
            <w:tcMar>
              <w:top w:w="60" w:type="dxa"/>
              <w:start w:w="85" w:type="dxa"/>
              <w:bottom w:w="60" w:type="dxa"/>
              <w:end w:w="85" w:type="dxa"/>
            </w:tcMar>
          </w:tcPr>
          <w:p>
            <w:pPr>
              <w:widowControl/>
              <w:spacing w:after="0" w:line="240" w:lineRule="auto"/>
            </w:pPr>
            <w:r/>
            <w:r>
              <w:rPr>
                <w:rFonts w:ascii="Aptos" w:hAnsi="Aptos"/>
                <w:b w:val="0"/>
                <w:i w:val="0"/>
                <w:sz w:val="15"/>
              </w:rPr>
              <w:t>Piyush1087/creator-commerce-frontend-v2-clone</w:t>
            </w:r>
          </w:p>
        </w:tc>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5"/>
              </w:rPr>
              <w:t>program/brand-settings-mvp</w:t>
            </w:r>
          </w:p>
        </w:tc>
        <w:tc>
          <w:tcPr>
            <w:tcW w:type="dxa" w:w="3096"/>
            <w:vAlign w:val="top"/>
            <w:tcMar>
              <w:top w:w="60" w:type="dxa"/>
              <w:start w:w="85" w:type="dxa"/>
              <w:bottom w:w="60" w:type="dxa"/>
              <w:end w:w="85" w:type="dxa"/>
            </w:tcMar>
          </w:tcPr>
          <w:p>
            <w:pPr>
              <w:widowControl/>
              <w:spacing w:after="0" w:line="240" w:lineRule="auto"/>
            </w:pPr>
            <w:r/>
            <w:r>
              <w:rPr>
                <w:rFonts w:ascii="Aptos" w:hAnsi="Aptos"/>
                <w:b w:val="0"/>
                <w:i w:val="0"/>
                <w:sz w:val="15"/>
              </w:rPr>
              <w:t>3e2cabbe95c16ee23bd77fe20a44fe9b1d8670d2</w:t>
            </w:r>
          </w:p>
        </w:tc>
        <w:tc>
          <w:tcPr>
            <w:tcW w:type="dxa" w:w="1872"/>
            <w:vAlign w:val="top"/>
            <w:tcMar>
              <w:top w:w="60" w:type="dxa"/>
              <w:start w:w="85" w:type="dxa"/>
              <w:bottom w:w="60" w:type="dxa"/>
              <w:end w:w="85" w:type="dxa"/>
            </w:tcMar>
            <w:shd w:fill="E2F0D9"/>
          </w:tcPr>
          <w:p>
            <w:pPr>
              <w:widowControl/>
              <w:spacing w:after="0" w:line="240" w:lineRule="auto"/>
            </w:pPr>
            <w:r/>
            <w:r>
              <w:rPr>
                <w:rFonts w:ascii="Aptos" w:hAnsi="Aptos"/>
                <w:b w:val="0"/>
                <w:i w:val="0"/>
                <w:sz w:val="15"/>
              </w:rPr>
              <w:t>DEPLOYMENT CANDIDATE</w:t>
            </w:r>
          </w:p>
        </w:tc>
      </w:tr>
      <w:tr>
        <w:trPr>
          <w:cantSplit/>
        </w:trPr>
        <w:tc>
          <w:tcPr>
            <w:tcW w:type="dxa" w:w="1080"/>
            <w:vAlign w:val="top"/>
            <w:tcMar>
              <w:top w:w="60" w:type="dxa"/>
              <w:start w:w="85" w:type="dxa"/>
              <w:bottom w:w="60" w:type="dxa"/>
              <w:end w:w="85" w:type="dxa"/>
            </w:tcMar>
          </w:tcPr>
          <w:p>
            <w:pPr>
              <w:widowControl/>
              <w:spacing w:after="0" w:line="240" w:lineRule="auto"/>
            </w:pPr>
            <w:r/>
            <w:r>
              <w:rPr>
                <w:rFonts w:ascii="Aptos" w:hAnsi="Aptos"/>
                <w:b w:val="0"/>
                <w:i w:val="0"/>
                <w:sz w:val="15"/>
              </w:rPr>
              <w:t>Backend</w:t>
            </w:r>
          </w:p>
        </w:tc>
        <w:tc>
          <w:tcPr>
            <w:tcW w:type="dxa" w:w="2376"/>
            <w:vAlign w:val="top"/>
            <w:tcMar>
              <w:top w:w="60" w:type="dxa"/>
              <w:start w:w="85" w:type="dxa"/>
              <w:bottom w:w="60" w:type="dxa"/>
              <w:end w:w="85" w:type="dxa"/>
            </w:tcMar>
          </w:tcPr>
          <w:p>
            <w:pPr>
              <w:widowControl/>
              <w:spacing w:after="0" w:line="240" w:lineRule="auto"/>
            </w:pPr>
            <w:r/>
            <w:r>
              <w:rPr>
                <w:rFonts w:ascii="Aptos" w:hAnsi="Aptos"/>
                <w:b w:val="0"/>
                <w:i w:val="0"/>
                <w:sz w:val="15"/>
              </w:rPr>
              <w:t>Piyush1087/creator-commerce-backend-v2-clone</w:t>
            </w:r>
          </w:p>
        </w:tc>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5"/>
              </w:rPr>
              <w:t>program/brand-settings-mvp</w:t>
            </w:r>
          </w:p>
        </w:tc>
        <w:tc>
          <w:tcPr>
            <w:tcW w:type="dxa" w:w="3096"/>
            <w:vAlign w:val="top"/>
            <w:tcMar>
              <w:top w:w="60" w:type="dxa"/>
              <w:start w:w="85" w:type="dxa"/>
              <w:bottom w:w="60" w:type="dxa"/>
              <w:end w:w="85" w:type="dxa"/>
            </w:tcMar>
          </w:tcPr>
          <w:p>
            <w:pPr>
              <w:widowControl/>
              <w:spacing w:after="0" w:line="240" w:lineRule="auto"/>
            </w:pPr>
            <w:r/>
            <w:r>
              <w:rPr>
                <w:rFonts w:ascii="Aptos" w:hAnsi="Aptos"/>
                <w:b w:val="0"/>
                <w:i w:val="0"/>
                <w:sz w:val="15"/>
              </w:rPr>
              <w:t>517531682f6286d5ee45bd48ec4e145e96d583a7</w:t>
            </w:r>
          </w:p>
        </w:tc>
        <w:tc>
          <w:tcPr>
            <w:tcW w:type="dxa" w:w="1872"/>
            <w:vAlign w:val="top"/>
            <w:tcMar>
              <w:top w:w="60" w:type="dxa"/>
              <w:start w:w="85" w:type="dxa"/>
              <w:bottom w:w="60" w:type="dxa"/>
              <w:end w:w="85" w:type="dxa"/>
            </w:tcMar>
            <w:shd w:fill="E2F0D9"/>
          </w:tcPr>
          <w:p>
            <w:pPr>
              <w:widowControl/>
              <w:spacing w:after="0" w:line="240" w:lineRule="auto"/>
            </w:pPr>
            <w:r/>
            <w:r>
              <w:rPr>
                <w:rFonts w:ascii="Aptos" w:hAnsi="Aptos"/>
                <w:b w:val="0"/>
                <w:i w:val="0"/>
                <w:sz w:val="15"/>
              </w:rPr>
              <w:t>DEPLOYMENT CANDIDATE</w:t>
            </w:r>
          </w:p>
        </w:tc>
      </w:tr>
      <w:tr>
        <w:trPr>
          <w:cantSplit/>
        </w:trPr>
        <w:tc>
          <w:tcPr>
            <w:tcW w:type="dxa" w:w="1080"/>
            <w:vAlign w:val="top"/>
            <w:tcMar>
              <w:top w:w="60" w:type="dxa"/>
              <w:start w:w="85" w:type="dxa"/>
              <w:bottom w:w="60" w:type="dxa"/>
              <w:end w:w="85" w:type="dxa"/>
            </w:tcMar>
          </w:tcPr>
          <w:p>
            <w:pPr>
              <w:widowControl/>
              <w:spacing w:after="0" w:line="240" w:lineRule="auto"/>
            </w:pPr>
            <w:r/>
            <w:r>
              <w:rPr>
                <w:rFonts w:ascii="Aptos" w:hAnsi="Aptos"/>
                <w:b w:val="0"/>
                <w:i w:val="0"/>
                <w:sz w:val="15"/>
              </w:rPr>
              <w:t>Architecture / product</w:t>
            </w:r>
          </w:p>
        </w:tc>
        <w:tc>
          <w:tcPr>
            <w:tcW w:type="dxa" w:w="2376"/>
            <w:vAlign w:val="top"/>
            <w:tcMar>
              <w:top w:w="60" w:type="dxa"/>
              <w:start w:w="85" w:type="dxa"/>
              <w:bottom w:w="60" w:type="dxa"/>
              <w:end w:w="85" w:type="dxa"/>
            </w:tcMar>
          </w:tcPr>
          <w:p>
            <w:pPr>
              <w:widowControl/>
              <w:spacing w:after="0" w:line="240" w:lineRule="auto"/>
            </w:pPr>
            <w:r/>
            <w:r>
              <w:rPr>
                <w:rFonts w:ascii="Aptos" w:hAnsi="Aptos"/>
                <w:b w:val="0"/>
                <w:i w:val="0"/>
                <w:sz w:val="15"/>
              </w:rPr>
              <w:t>Piyush1087/dummy_tcs</w:t>
            </w:r>
          </w:p>
        </w:tc>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5"/>
              </w:rPr>
              <w:t>TO BE CONFIRMED</w:t>
            </w:r>
          </w:p>
        </w:tc>
        <w:tc>
          <w:tcPr>
            <w:tcW w:type="dxa" w:w="3096"/>
            <w:vAlign w:val="top"/>
            <w:tcMar>
              <w:top w:w="60" w:type="dxa"/>
              <w:start w:w="85" w:type="dxa"/>
              <w:bottom w:w="60" w:type="dxa"/>
              <w:end w:w="85" w:type="dxa"/>
            </w:tcMar>
            <w:shd w:fill="FFF2CC"/>
          </w:tcPr>
          <w:p>
            <w:pPr>
              <w:widowControl/>
              <w:spacing w:after="0" w:line="240" w:lineRule="auto"/>
            </w:pPr>
            <w:r/>
            <w:r>
              <w:rPr>
                <w:rFonts w:ascii="Aptos" w:hAnsi="Aptos"/>
                <w:b w:val="0"/>
                <w:i w:val="0"/>
                <w:sz w:val="15"/>
              </w:rPr>
              <w:t>TO BE CONFIRMED BY SYSTEMS ARCHITECT</w:t>
            </w:r>
          </w:p>
        </w:tc>
        <w:tc>
          <w:tcPr>
            <w:tcW w:type="dxa" w:w="1872"/>
            <w:vAlign w:val="top"/>
            <w:tcMar>
              <w:top w:w="60" w:type="dxa"/>
              <w:start w:w="85" w:type="dxa"/>
              <w:bottom w:w="60" w:type="dxa"/>
              <w:end w:w="85" w:type="dxa"/>
            </w:tcMar>
            <w:shd w:fill="FFF2CC"/>
          </w:tcPr>
          <w:p>
            <w:pPr>
              <w:widowControl/>
              <w:spacing w:after="0" w:line="240" w:lineRule="auto"/>
            </w:pPr>
            <w:r/>
            <w:r>
              <w:rPr>
                <w:rFonts w:ascii="Aptos" w:hAnsi="Aptos"/>
                <w:b w:val="0"/>
                <w:i w:val="0"/>
                <w:sz w:val="15"/>
              </w:rPr>
              <w:t>AUTHORITY PIN REQUIRED</w:t>
            </w:r>
          </w:p>
        </w:tc>
      </w:tr>
    </w:tbl>
    <w:p>
      <w:pPr>
        <w:spacing w:after="0"/>
      </w:pPr>
    </w:p>
    <w:p>
      <w:pPr>
        <w:keepLines/>
        <w:spacing w:before="60" w:after="120" w:line="250" w:lineRule="auto"/>
        <w:ind w:left="58" w:right="58"/>
        <w:shd w:fill="FFF2CC"/>
        <w:pBdr>
          <w:top w:val="single" w:sz="5" w:space="3" w:color="808080"/>
          <w:left w:val="single" w:sz="5" w:space="3" w:color="808080"/>
          <w:bottom w:val="single" w:sz="5" w:space="3" w:color="808080"/>
          <w:right w:val="single" w:sz="5" w:space="3" w:color="808080"/>
        </w:pBdr>
      </w:pPr>
      <w:r>
        <w:rPr>
          <w:b/>
          <w:i w:val="0"/>
          <w:color w:val="7F6000"/>
        </w:rPr>
        <w:t xml:space="preserve">Authority warning: </w:t>
      </w:r>
      <w:r>
        <w:rPr>
          <w:b w:val="0"/>
          <w:i w:val="0"/>
        </w:rPr>
        <w:t>the currently observed dummy_tcs main SHA is 544646140c6b2c69b8fce1bede6ea808517aca70. Treat it as observation only until the Systems Architect explicitly pins the accepted branch and SHA; never silently follow a moving main branch during release.</w:t>
      </w:r>
    </w:p>
    <w:p>
      <w:pPr>
        <w:pStyle w:val="ListBullet"/>
        <w:keepLines/>
        <w:spacing w:after="40" w:line="245" w:lineRule="auto"/>
      </w:pPr>
      <w:r>
        <w:t>Build from immutable SHAs, not from branch names alone.</w:t>
      </w:r>
    </w:p>
    <w:p>
      <w:pPr>
        <w:pStyle w:val="ListBullet"/>
        <w:keepLines/>
        <w:spacing w:after="40" w:line="245" w:lineRule="auto"/>
      </w:pPr>
      <w:r>
        <w:t>Record the exact artifact digest, target environment, migration set, and deployment timestamp in the release evidence register.</w:t>
      </w:r>
    </w:p>
    <w:p>
      <w:pPr>
        <w:pStyle w:val="ListBullet"/>
        <w:keepLines/>
        <w:spacing w:after="40" w:line="245" w:lineRule="auto"/>
      </w:pPr>
      <w:r>
        <w:t>Backend authorization and backend-provided financial/provider state remain authoritative; frontend gating is presentation only.</w:t>
      </w:r>
    </w:p>
    <w:p>
      <w:pPr>
        <w:pStyle w:val="Heading1"/>
        <w:keepNext/>
        <w:keepLines/>
        <w:spacing w:before="360" w:after="80"/>
      </w:pPr>
      <w:r>
        <w:t>3. Closure boundary and production release gates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D9EAF7"/>
            <w:vAlign w:val="center"/>
            <w:tcMar>
              <w:top w:w="60" w:type="dxa"/>
              <w:start w:w="85" w:type="dxa"/>
              <w:bottom w:w="60" w:type="dxa"/>
              <w:end w:w="85" w:type="dxa"/>
            </w:tcMar>
          </w:tcPr>
          <w:p>
            <w:pPr>
              <w:widowControl/>
              <w:spacing w:after="0" w:line="240" w:lineRule="auto"/>
            </w:pPr>
            <w:r/>
            <w:r>
              <w:rPr>
                <w:rFonts w:ascii="Aptos" w:hAnsi="Aptos"/>
                <w:b/>
                <w:i w:val="0"/>
                <w:sz w:val="16"/>
              </w:rPr>
              <w:t>Gate</w:t>
            </w:r>
          </w:p>
        </w:tc>
        <w:tc>
          <w:tcPr>
            <w:tcW w:type="dxa" w:w="2664"/>
            <w:shd w:fill="D9EAF7"/>
            <w:vAlign w:val="center"/>
            <w:tcMar>
              <w:top w:w="60" w:type="dxa"/>
              <w:start w:w="85" w:type="dxa"/>
              <w:bottom w:w="60" w:type="dxa"/>
              <w:end w:w="85" w:type="dxa"/>
            </w:tcMar>
          </w:tcPr>
          <w:p>
            <w:pPr>
              <w:widowControl/>
              <w:spacing w:after="0" w:line="240" w:lineRule="auto"/>
            </w:pPr>
            <w:r/>
            <w:r>
              <w:rPr>
                <w:rFonts w:ascii="Aptos" w:hAnsi="Aptos"/>
                <w:b/>
                <w:i w:val="0"/>
                <w:sz w:val="16"/>
              </w:rPr>
              <w:t>Current state</w:t>
            </w:r>
          </w:p>
        </w:tc>
        <w:tc>
          <w:tcPr>
            <w:tcW w:type="dxa" w:w="5184"/>
            <w:shd w:fill="D9EAF7"/>
            <w:vAlign w:val="center"/>
            <w:tcMar>
              <w:top w:w="60" w:type="dxa"/>
              <w:start w:w="85" w:type="dxa"/>
              <w:bottom w:w="60" w:type="dxa"/>
              <w:end w:w="85" w:type="dxa"/>
            </w:tcMar>
          </w:tcPr>
          <w:p>
            <w:pPr>
              <w:widowControl/>
              <w:spacing w:after="0" w:line="240" w:lineRule="auto"/>
            </w:pPr>
            <w:r/>
            <w:r>
              <w:rPr>
                <w:rFonts w:ascii="Aptos" w:hAnsi="Aptos"/>
                <w:b/>
                <w:i w:val="0"/>
                <w:sz w:val="16"/>
              </w:rPr>
              <w:t>Production implication</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6"/>
              </w:rPr>
              <w:t>Settings backend program</w:t>
            </w:r>
          </w:p>
        </w:tc>
        <w:tc>
          <w:tcPr>
            <w:tcW w:type="dxa" w:w="2664"/>
            <w:vAlign w:val="top"/>
            <w:tcMar>
              <w:top w:w="60" w:type="dxa"/>
              <w:start w:w="85" w:type="dxa"/>
              <w:bottom w:w="60" w:type="dxa"/>
              <w:end w:w="85" w:type="dxa"/>
            </w:tcMar>
            <w:shd w:fill="E2F0D9"/>
          </w:tcPr>
          <w:p>
            <w:pPr>
              <w:widowControl/>
              <w:spacing w:after="0" w:line="240" w:lineRule="auto"/>
            </w:pPr>
            <w:r/>
            <w:r>
              <w:rPr>
                <w:rFonts w:ascii="Aptos" w:hAnsi="Aptos"/>
                <w:b w:val="0"/>
                <w:i w:val="0"/>
                <w:sz w:val="16"/>
              </w:rPr>
              <w:t>CLOSED / CANONICAL</w:t>
            </w:r>
          </w:p>
        </w:tc>
        <w:tc>
          <w:tcPr>
            <w:tcW w:type="dxa" w:w="5184"/>
            <w:vAlign w:val="top"/>
            <w:tcMar>
              <w:top w:w="60" w:type="dxa"/>
              <w:start w:w="85" w:type="dxa"/>
              <w:bottom w:w="60" w:type="dxa"/>
              <w:end w:w="85" w:type="dxa"/>
            </w:tcMar>
          </w:tcPr>
          <w:p>
            <w:pPr>
              <w:widowControl/>
              <w:spacing w:after="0" w:line="240" w:lineRule="auto"/>
            </w:pPr>
            <w:r/>
            <w:r>
              <w:rPr>
                <w:rFonts w:ascii="Aptos" w:hAnsi="Aptos"/>
                <w:b w:val="0"/>
                <w:i w:val="0"/>
                <w:sz w:val="16"/>
              </w:rPr>
              <w:t>No Settings code change required for closure.</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6"/>
              </w:rPr>
              <w:t>Settings frontend program</w:t>
            </w:r>
          </w:p>
        </w:tc>
        <w:tc>
          <w:tcPr>
            <w:tcW w:type="dxa" w:w="2664"/>
            <w:vAlign w:val="top"/>
            <w:tcMar>
              <w:top w:w="60" w:type="dxa"/>
              <w:start w:w="85" w:type="dxa"/>
              <w:bottom w:w="60" w:type="dxa"/>
              <w:end w:w="85" w:type="dxa"/>
            </w:tcMar>
            <w:shd w:fill="E2F0D9"/>
          </w:tcPr>
          <w:p>
            <w:pPr>
              <w:widowControl/>
              <w:spacing w:after="0" w:line="240" w:lineRule="auto"/>
            </w:pPr>
            <w:r/>
            <w:r>
              <w:rPr>
                <w:rFonts w:ascii="Aptos" w:hAnsi="Aptos"/>
                <w:b w:val="0"/>
                <w:i w:val="0"/>
                <w:sz w:val="16"/>
              </w:rPr>
              <w:t>CLOSED / CANONICAL</w:t>
            </w:r>
          </w:p>
        </w:tc>
        <w:tc>
          <w:tcPr>
            <w:tcW w:type="dxa" w:w="5184"/>
            <w:vAlign w:val="top"/>
            <w:tcMar>
              <w:top w:w="60" w:type="dxa"/>
              <w:start w:w="85" w:type="dxa"/>
              <w:bottom w:w="60" w:type="dxa"/>
              <w:end w:w="85" w:type="dxa"/>
            </w:tcMar>
          </w:tcPr>
          <w:p>
            <w:pPr>
              <w:widowControl/>
              <w:spacing w:after="0" w:line="240" w:lineRule="auto"/>
            </w:pPr>
            <w:r/>
            <w:r>
              <w:rPr>
                <w:rFonts w:ascii="Aptos" w:hAnsi="Aptos"/>
                <w:b w:val="0"/>
                <w:i w:val="0"/>
                <w:sz w:val="16"/>
              </w:rPr>
              <w:t>FE0, FE-A, FE-B, FE-C, FE-D, and FE-E are integrated.</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6"/>
              </w:rPr>
              <w:t>Production deployment</w:t>
            </w:r>
          </w:p>
        </w:tc>
        <w:tc>
          <w:tcPr>
            <w:tcW w:type="dxa" w:w="2664"/>
            <w:vAlign w:val="top"/>
            <w:tcMar>
              <w:top w:w="60" w:type="dxa"/>
              <w:start w:w="85" w:type="dxa"/>
              <w:bottom w:w="60" w:type="dxa"/>
              <w:end w:w="85" w:type="dxa"/>
            </w:tcMar>
            <w:shd w:fill="FFF2CC"/>
          </w:tcPr>
          <w:p>
            <w:pPr>
              <w:widowControl/>
              <w:spacing w:after="0" w:line="240" w:lineRule="auto"/>
            </w:pPr>
            <w:r/>
            <w:r>
              <w:rPr>
                <w:rFonts w:ascii="Aptos" w:hAnsi="Aptos"/>
                <w:b w:val="0"/>
                <w:i w:val="0"/>
                <w:sz w:val="16"/>
              </w:rPr>
              <w:t>NOT PERFORMED</w:t>
            </w:r>
          </w:p>
        </w:tc>
        <w:tc>
          <w:tcPr>
            <w:tcW w:type="dxa" w:w="5184"/>
            <w:vAlign w:val="top"/>
            <w:tcMar>
              <w:top w:w="60" w:type="dxa"/>
              <w:start w:w="85" w:type="dxa"/>
              <w:bottom w:w="60" w:type="dxa"/>
              <w:end w:w="85" w:type="dxa"/>
            </w:tcMar>
          </w:tcPr>
          <w:p>
            <w:pPr>
              <w:widowControl/>
              <w:spacing w:after="0" w:line="240" w:lineRule="auto"/>
            </w:pPr>
            <w:r/>
            <w:r>
              <w:rPr>
                <w:rFonts w:ascii="Aptos" w:hAnsi="Aptos"/>
                <w:b w:val="0"/>
                <w:i w:val="0"/>
                <w:sz w:val="16"/>
              </w:rPr>
              <w:t>Run the controlled deployment sequence in section 8.</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6"/>
              </w:rPr>
              <w:t>Production runtime certification</w:t>
            </w:r>
          </w:p>
        </w:tc>
        <w:tc>
          <w:tcPr>
            <w:tcW w:type="dxa" w:w="2664"/>
            <w:vAlign w:val="top"/>
            <w:tcMar>
              <w:top w:w="60" w:type="dxa"/>
              <w:start w:w="85" w:type="dxa"/>
              <w:bottom w:w="60" w:type="dxa"/>
              <w:end w:w="85" w:type="dxa"/>
            </w:tcMar>
            <w:shd w:fill="FFF2CC"/>
          </w:tcPr>
          <w:p>
            <w:pPr>
              <w:widowControl/>
              <w:spacing w:after="0" w:line="240" w:lineRule="auto"/>
            </w:pPr>
            <w:r/>
            <w:r>
              <w:rPr>
                <w:rFonts w:ascii="Aptos" w:hAnsi="Aptos"/>
                <w:b w:val="0"/>
                <w:i w:val="0"/>
                <w:sz w:val="16"/>
              </w:rPr>
              <w:t>NOT PERFORMED</w:t>
            </w:r>
          </w:p>
        </w:tc>
        <w:tc>
          <w:tcPr>
            <w:tcW w:type="dxa" w:w="5184"/>
            <w:vAlign w:val="top"/>
            <w:tcMar>
              <w:top w:w="60" w:type="dxa"/>
              <w:start w:w="85" w:type="dxa"/>
              <w:bottom w:w="60" w:type="dxa"/>
              <w:end w:w="85" w:type="dxa"/>
            </w:tcMar>
          </w:tcPr>
          <w:p>
            <w:pPr>
              <w:widowControl/>
              <w:spacing w:after="0" w:line="240" w:lineRule="auto"/>
            </w:pPr>
            <w:r/>
            <w:r>
              <w:rPr>
                <w:rFonts w:ascii="Aptos" w:hAnsi="Aptos"/>
                <w:b w:val="0"/>
                <w:i w:val="0"/>
                <w:sz w:val="16"/>
              </w:rPr>
              <w:t>Complete core smoke tests and provider-specific gates.</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6"/>
              </w:rPr>
              <w:t>Meta</w:t>
            </w:r>
          </w:p>
        </w:tc>
        <w:tc>
          <w:tcPr>
            <w:tcW w:type="dxa" w:w="2664"/>
            <w:vAlign w:val="top"/>
            <w:tcMar>
              <w:top w:w="60" w:type="dxa"/>
              <w:start w:w="85" w:type="dxa"/>
              <w:bottom w:w="60" w:type="dxa"/>
              <w:end w:w="85" w:type="dxa"/>
            </w:tcMar>
            <w:shd w:fill="FFF2CC"/>
          </w:tcPr>
          <w:p>
            <w:pPr>
              <w:widowControl/>
              <w:spacing w:after="0" w:line="240" w:lineRule="auto"/>
            </w:pPr>
            <w:r/>
            <w:r>
              <w:rPr>
                <w:rFonts w:ascii="Aptos" w:hAnsi="Aptos"/>
                <w:b w:val="0"/>
                <w:i w:val="0"/>
                <w:sz w:val="16"/>
              </w:rPr>
              <w:t>DEFERRED / BOUNDED</w:t>
            </w:r>
          </w:p>
        </w:tc>
        <w:tc>
          <w:tcPr>
            <w:tcW w:type="dxa" w:w="5184"/>
            <w:vAlign w:val="top"/>
            <w:tcMar>
              <w:top w:w="60" w:type="dxa"/>
              <w:start w:w="85" w:type="dxa"/>
              <w:bottom w:w="60" w:type="dxa"/>
              <w:end w:w="85" w:type="dxa"/>
            </w:tcMar>
          </w:tcPr>
          <w:p>
            <w:pPr>
              <w:widowControl/>
              <w:spacing w:after="0" w:line="240" w:lineRule="auto"/>
            </w:pPr>
            <w:r/>
            <w:r>
              <w:rPr>
                <w:rFonts w:ascii="Aptos" w:hAnsi="Aptos"/>
                <w:b w:val="0"/>
                <w:i w:val="0"/>
                <w:sz w:val="16"/>
              </w:rPr>
              <w:t>Configure live app, callbacks, redirects, evidence, and controlled checks.</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6"/>
              </w:rPr>
              <w:t>Postmark</w:t>
            </w:r>
          </w:p>
        </w:tc>
        <w:tc>
          <w:tcPr>
            <w:tcW w:type="dxa" w:w="2664"/>
            <w:vAlign w:val="top"/>
            <w:tcMar>
              <w:top w:w="60" w:type="dxa"/>
              <w:start w:w="85" w:type="dxa"/>
              <w:bottom w:w="60" w:type="dxa"/>
              <w:end w:w="85" w:type="dxa"/>
            </w:tcMar>
            <w:shd w:fill="FFF2CC"/>
          </w:tcPr>
          <w:p>
            <w:pPr>
              <w:widowControl/>
              <w:spacing w:after="0" w:line="240" w:lineRule="auto"/>
            </w:pPr>
            <w:r/>
            <w:r>
              <w:rPr>
                <w:rFonts w:ascii="Aptos" w:hAnsi="Aptos"/>
                <w:b w:val="0"/>
                <w:i w:val="0"/>
                <w:sz w:val="16"/>
              </w:rPr>
              <w:t>DEFERRED / BOUNDED</w:t>
            </w:r>
          </w:p>
        </w:tc>
        <w:tc>
          <w:tcPr>
            <w:tcW w:type="dxa" w:w="5184"/>
            <w:vAlign w:val="top"/>
            <w:tcMar>
              <w:top w:w="60" w:type="dxa"/>
              <w:start w:w="85" w:type="dxa"/>
              <w:bottom w:w="60" w:type="dxa"/>
              <w:end w:w="85" w:type="dxa"/>
            </w:tcMar>
          </w:tcPr>
          <w:p>
            <w:pPr>
              <w:widowControl/>
              <w:spacing w:after="0" w:line="240" w:lineRule="auto"/>
            </w:pPr>
            <w:r/>
            <w:r>
              <w:rPr>
                <w:rFonts w:ascii="Aptos" w:hAnsi="Aptos"/>
                <w:b w:val="0"/>
                <w:i w:val="0"/>
                <w:sz w:val="16"/>
              </w:rPr>
              <w:t>Wire missing variables/templates and run real delivery tests.</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6"/>
              </w:rPr>
              <w:t>Razorpay subscription + vault top-up</w:t>
            </w:r>
          </w:p>
        </w:tc>
        <w:tc>
          <w:tcPr>
            <w:tcW w:type="dxa" w:w="2664"/>
            <w:vAlign w:val="top"/>
            <w:tcMar>
              <w:top w:w="60" w:type="dxa"/>
              <w:start w:w="85" w:type="dxa"/>
              <w:bottom w:w="60" w:type="dxa"/>
              <w:end w:w="85" w:type="dxa"/>
            </w:tcMar>
            <w:shd w:fill="FFF2CC"/>
          </w:tcPr>
          <w:p>
            <w:pPr>
              <w:widowControl/>
              <w:spacing w:after="0" w:line="240" w:lineRule="auto"/>
            </w:pPr>
            <w:r/>
            <w:r>
              <w:rPr>
                <w:rFonts w:ascii="Aptos" w:hAnsi="Aptos"/>
                <w:b w:val="0"/>
                <w:i w:val="0"/>
                <w:sz w:val="16"/>
              </w:rPr>
              <w:t>DEPLOYMENT VERIFICATION</w:t>
            </w:r>
          </w:p>
        </w:tc>
        <w:tc>
          <w:tcPr>
            <w:tcW w:type="dxa" w:w="5184"/>
            <w:vAlign w:val="top"/>
            <w:tcMar>
              <w:top w:w="60" w:type="dxa"/>
              <w:start w:w="85" w:type="dxa"/>
              <w:bottom w:w="60" w:type="dxa"/>
              <w:end w:w="85" w:type="dxa"/>
            </w:tcMar>
          </w:tcPr>
          <w:p>
            <w:pPr>
              <w:widowControl/>
              <w:spacing w:after="0" w:line="240" w:lineRule="auto"/>
            </w:pPr>
            <w:r/>
            <w:r>
              <w:rPr>
                <w:rFonts w:ascii="Aptos" w:hAnsi="Aptos"/>
                <w:b w:val="0"/>
                <w:i w:val="0"/>
                <w:sz w:val="16"/>
              </w:rPr>
              <w:t>Validate plans, credentials, checkout, webhooks, and reconciliation.</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6"/>
              </w:rPr>
              <w:t>Razorpay Brand Return</w:t>
            </w:r>
          </w:p>
        </w:tc>
        <w:tc>
          <w:tcPr>
            <w:tcW w:type="dxa" w:w="2664"/>
            <w:vAlign w:val="top"/>
            <w:tcMar>
              <w:top w:w="60" w:type="dxa"/>
              <w:start w:w="85" w:type="dxa"/>
              <w:bottom w:w="60" w:type="dxa"/>
              <w:end w:w="85" w:type="dxa"/>
            </w:tcMar>
            <w:shd w:fill="FCE4D6"/>
          </w:tcPr>
          <w:p>
            <w:pPr>
              <w:widowControl/>
              <w:spacing w:after="0" w:line="240" w:lineRule="auto"/>
            </w:pPr>
            <w:r/>
            <w:r>
              <w:rPr>
                <w:rFonts w:ascii="Aptos" w:hAnsi="Aptos"/>
                <w:b w:val="0"/>
                <w:i w:val="0"/>
                <w:sz w:val="16"/>
              </w:rPr>
              <w:t>LIVE ADAPTER NOT IMPLEMENTED</w:t>
            </w:r>
          </w:p>
        </w:tc>
        <w:tc>
          <w:tcPr>
            <w:tcW w:type="dxa" w:w="5184"/>
            <w:vAlign w:val="top"/>
            <w:tcMar>
              <w:top w:w="60" w:type="dxa"/>
              <w:start w:w="85" w:type="dxa"/>
              <w:bottom w:w="60" w:type="dxa"/>
              <w:end w:w="85" w:type="dxa"/>
            </w:tcMar>
          </w:tcPr>
          <w:p>
            <w:pPr>
              <w:widowControl/>
              <w:spacing w:after="0" w:line="240" w:lineRule="auto"/>
            </w:pPr>
            <w:r/>
            <w:r>
              <w:rPr>
                <w:rFonts w:ascii="Aptos" w:hAnsi="Aptos"/>
                <w:b w:val="0"/>
                <w:i w:val="0"/>
                <w:sz w:val="16"/>
              </w:rPr>
              <w:t>Current runtime is fail-closed; bounded backend implementation and provider validation are required.</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6"/>
              </w:rPr>
              <w:t>Razorpay creator payout</w:t>
            </w:r>
          </w:p>
        </w:tc>
        <w:tc>
          <w:tcPr>
            <w:tcW w:type="dxa" w:w="2664"/>
            <w:vAlign w:val="top"/>
            <w:tcMar>
              <w:top w:w="60" w:type="dxa"/>
              <w:start w:w="85" w:type="dxa"/>
              <w:bottom w:w="60" w:type="dxa"/>
              <w:end w:w="85" w:type="dxa"/>
            </w:tcMar>
            <w:shd w:fill="FCE4D6"/>
          </w:tcPr>
          <w:p>
            <w:pPr>
              <w:widowControl/>
              <w:spacing w:after="0" w:line="240" w:lineRule="auto"/>
            </w:pPr>
            <w:r/>
            <w:r>
              <w:rPr>
                <w:rFonts w:ascii="Aptos" w:hAnsi="Aptos"/>
                <w:b w:val="0"/>
                <w:i w:val="0"/>
                <w:sz w:val="16"/>
              </w:rPr>
              <w:t>LIVE ROUTE ADAPTER NOT IMPLEMENTED</w:t>
            </w:r>
          </w:p>
        </w:tc>
        <w:tc>
          <w:tcPr>
            <w:tcW w:type="dxa" w:w="5184"/>
            <w:vAlign w:val="top"/>
            <w:tcMar>
              <w:top w:w="60" w:type="dxa"/>
              <w:start w:w="85" w:type="dxa"/>
              <w:bottom w:w="60" w:type="dxa"/>
              <w:end w:w="85" w:type="dxa"/>
            </w:tcMar>
          </w:tcPr>
          <w:p>
            <w:pPr>
              <w:widowControl/>
              <w:spacing w:after="0" w:line="240" w:lineRule="auto"/>
            </w:pPr>
            <w:r/>
            <w:r>
              <w:rPr>
                <w:rFonts w:ascii="Aptos" w:hAnsi="Aptos"/>
                <w:b w:val="0"/>
                <w:i w:val="0"/>
                <w:sz w:val="16"/>
              </w:rPr>
              <w:t>Current runtime is fail-closed; bounded backend implementation and provider validation are required.</w:t>
            </w:r>
          </w:p>
        </w:tc>
      </w:tr>
    </w:tbl>
    <w:p>
      <w:pPr>
        <w:spacing w:after="0"/>
      </w:pPr>
    </w:p>
    <w:p>
      <w:pPr>
        <w:keepLines/>
        <w:spacing w:before="60" w:after="120" w:line="250" w:lineRule="auto"/>
        <w:ind w:left="58" w:right="58"/>
        <w:shd w:fill="FCE4D6"/>
        <w:pBdr>
          <w:top w:val="single" w:sz="5" w:space="3" w:color="808080"/>
          <w:left w:val="single" w:sz="5" w:space="3" w:color="808080"/>
          <w:bottom w:val="single" w:sz="5" w:space="3" w:color="808080"/>
          <w:right w:val="single" w:sz="5" w:space="3" w:color="808080"/>
        </w:pBdr>
      </w:pPr>
      <w:r>
        <w:rPr>
          <w:b/>
          <w:i w:val="0"/>
          <w:color w:val="9C0006"/>
        </w:rPr>
        <w:t xml:space="preserve">Core release NO-GO if: </w:t>
      </w:r>
      <w:r>
        <w:rPr>
          <w:b w:val="0"/>
          <w:i w:val="0"/>
        </w:rPr>
        <w:t>canonical SHAs differ; the authority SHA is unpinned; migration/rollback evidence is missing; auth/session/cookie configuration is unresolved; a required secret would be exposed client-side; or any provider path is enabled beyond its verified gate.</w:t>
      </w:r>
    </w:p>
    <w:p>
      <w:pPr>
        <w:keepLines/>
        <w:spacing w:before="60" w:after="120" w:line="250" w:lineRule="auto"/>
        <w:ind w:left="58" w:right="58"/>
        <w:shd w:fill="FFF2CC"/>
        <w:pBdr>
          <w:top w:val="single" w:sz="5" w:space="3" w:color="808080"/>
          <w:left w:val="single" w:sz="5" w:space="3" w:color="808080"/>
          <w:bottom w:val="single" w:sz="5" w:space="3" w:color="808080"/>
          <w:right w:val="single" w:sz="5" w:space="3" w:color="808080"/>
        </w:pBdr>
      </w:pPr>
      <w:r>
        <w:rPr>
          <w:b/>
          <w:i w:val="0"/>
          <w:color w:val="7F6000"/>
        </w:rPr>
        <w:t xml:space="preserve">Provider release NO-GO if: </w:t>
      </w:r>
      <w:r>
        <w:rPr>
          <w:b w:val="0"/>
          <w:i w:val="0"/>
        </w:rPr>
        <w:t>the provider-specific acceptance evidence in section 7 is incomplete, even if the rest of Settings is deployable.</w:t>
      </w:r>
    </w:p>
    <w:p>
      <w:pPr>
        <w:pStyle w:val="Heading1"/>
        <w:keepNext/>
        <w:keepLines/>
        <w:spacing w:before="360" w:after="80"/>
      </w:pPr>
      <w:r>
        <w:t>4. Product and security contract the developer must preserve</w:t>
      </w:r>
    </w:p>
    <w:p>
      <w:pPr>
        <w:pStyle w:val="Heading2"/>
        <w:keepNext/>
        <w:keepLines/>
        <w:spacing w:before="180" w:after="60"/>
      </w:pPr>
      <w:r>
        <w:t>4.1 Information architecture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664"/>
            <w:shd w:fill="D9EAF7"/>
            <w:vAlign w:val="center"/>
            <w:tcMar>
              <w:top w:w="60" w:type="dxa"/>
              <w:start w:w="85" w:type="dxa"/>
              <w:bottom w:w="60" w:type="dxa"/>
              <w:end w:w="85" w:type="dxa"/>
            </w:tcMar>
          </w:tcPr>
          <w:p>
            <w:pPr>
              <w:widowControl/>
              <w:spacing w:after="0" w:line="240" w:lineRule="auto"/>
            </w:pPr>
            <w:r/>
            <w:r>
              <w:rPr>
                <w:rFonts w:ascii="Aptos" w:hAnsi="Aptos"/>
                <w:b/>
                <w:i w:val="0"/>
                <w:sz w:val="16"/>
              </w:rPr>
              <w:t>Navigation</w:t>
            </w:r>
          </w:p>
        </w:tc>
        <w:tc>
          <w:tcPr>
            <w:tcW w:type="dxa" w:w="5112"/>
            <w:shd w:fill="D9EAF7"/>
            <w:vAlign w:val="center"/>
            <w:tcMar>
              <w:top w:w="60" w:type="dxa"/>
              <w:start w:w="85" w:type="dxa"/>
              <w:bottom w:w="60" w:type="dxa"/>
              <w:end w:w="85" w:type="dxa"/>
            </w:tcMar>
          </w:tcPr>
          <w:p>
            <w:pPr>
              <w:widowControl/>
              <w:spacing w:after="0" w:line="240" w:lineRule="auto"/>
            </w:pPr>
            <w:r/>
            <w:r>
              <w:rPr>
                <w:rFonts w:ascii="Aptos" w:hAnsi="Aptos"/>
                <w:b/>
                <w:i w:val="0"/>
                <w:sz w:val="16"/>
              </w:rPr>
              <w:t>Canonical responsibility</w:t>
            </w:r>
          </w:p>
        </w:tc>
        <w:tc>
          <w:tcPr>
            <w:tcW w:type="dxa" w:w="2304"/>
            <w:shd w:fill="D9EAF7"/>
            <w:vAlign w:val="center"/>
            <w:tcMar>
              <w:top w:w="60" w:type="dxa"/>
              <w:start w:w="85" w:type="dxa"/>
              <w:bottom w:w="60" w:type="dxa"/>
              <w:end w:w="85" w:type="dxa"/>
            </w:tcMar>
          </w:tcPr>
          <w:p>
            <w:pPr>
              <w:widowControl/>
              <w:spacing w:after="0" w:line="240" w:lineRule="auto"/>
            </w:pPr>
            <w:r/>
            <w:r>
              <w:rPr>
                <w:rFonts w:ascii="Aptos" w:hAnsi="Aptos"/>
                <w:b/>
                <w:i w:val="0"/>
                <w:sz w:val="16"/>
              </w:rPr>
              <w:t>Route</w:t>
            </w:r>
          </w:p>
        </w:tc>
      </w:tr>
      <w:tr>
        <w:trPr>
          <w:cantSplit/>
        </w:trPr>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6"/>
              </w:rPr>
              <w:t>General</w:t>
            </w:r>
          </w:p>
        </w:tc>
        <w:tc>
          <w:tcPr>
            <w:tcW w:type="dxa" w:w="5112"/>
            <w:vAlign w:val="top"/>
            <w:tcMar>
              <w:top w:w="60" w:type="dxa"/>
              <w:start w:w="85" w:type="dxa"/>
              <w:bottom w:w="60" w:type="dxa"/>
              <w:end w:w="85" w:type="dxa"/>
            </w:tcMar>
          </w:tcPr>
          <w:p>
            <w:pPr>
              <w:widowControl/>
              <w:spacing w:after="0" w:line="240" w:lineRule="auto"/>
            </w:pPr>
            <w:r/>
            <w:r>
              <w:rPr>
                <w:rFonts w:ascii="Aptos" w:hAnsi="Aptos"/>
                <w:b w:val="0"/>
                <w:i w:val="0"/>
                <w:sz w:val="16"/>
              </w:rPr>
              <w:t>Personal Profile; Account Security; Organization Details; Brand Identity; Team Management</w:t>
            </w:r>
          </w:p>
        </w:tc>
        <w:tc>
          <w:tcPr>
            <w:tcW w:type="dxa" w:w="2304"/>
            <w:vAlign w:val="top"/>
            <w:tcMar>
              <w:top w:w="60" w:type="dxa"/>
              <w:start w:w="85" w:type="dxa"/>
              <w:bottom w:w="60" w:type="dxa"/>
              <w:end w:w="85" w:type="dxa"/>
            </w:tcMar>
          </w:tcPr>
          <w:p>
            <w:pPr>
              <w:widowControl/>
              <w:spacing w:after="0" w:line="240" w:lineRule="auto"/>
            </w:pPr>
            <w:r/>
            <w:r>
              <w:rPr>
                <w:rFonts w:ascii="Aptos" w:hAnsi="Aptos"/>
                <w:b w:val="0"/>
                <w:i w:val="0"/>
                <w:sz w:val="16"/>
              </w:rPr>
              <w:t>/brand/settings/general</w:t>
            </w:r>
          </w:p>
        </w:tc>
      </w:tr>
      <w:tr>
        <w:trPr>
          <w:cantSplit/>
        </w:trPr>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6"/>
              </w:rPr>
              <w:t>Integrations</w:t>
            </w:r>
          </w:p>
        </w:tc>
        <w:tc>
          <w:tcPr>
            <w:tcW w:type="dxa" w:w="5112"/>
            <w:vAlign w:val="top"/>
            <w:tcMar>
              <w:top w:w="60" w:type="dxa"/>
              <w:start w:w="85" w:type="dxa"/>
              <w:bottom w:w="60" w:type="dxa"/>
              <w:end w:w="85" w:type="dxa"/>
            </w:tcMar>
          </w:tcPr>
          <w:p>
            <w:pPr>
              <w:widowControl/>
              <w:spacing w:after="0" w:line="240" w:lineRule="auto"/>
            </w:pPr>
            <w:r/>
            <w:r>
              <w:rPr>
                <w:rFonts w:ascii="Aptos" w:hAnsi="Aptos"/>
                <w:b w:val="0"/>
                <w:i w:val="0"/>
                <w:sz w:val="16"/>
              </w:rPr>
              <w:t>Instagram / Meta first-party Brand connection</w:t>
            </w:r>
          </w:p>
        </w:tc>
        <w:tc>
          <w:tcPr>
            <w:tcW w:type="dxa" w:w="2304"/>
            <w:vAlign w:val="top"/>
            <w:tcMar>
              <w:top w:w="60" w:type="dxa"/>
              <w:start w:w="85" w:type="dxa"/>
              <w:bottom w:w="60" w:type="dxa"/>
              <w:end w:w="85" w:type="dxa"/>
            </w:tcMar>
          </w:tcPr>
          <w:p>
            <w:pPr>
              <w:widowControl/>
              <w:spacing w:after="0" w:line="240" w:lineRule="auto"/>
            </w:pPr>
            <w:r/>
            <w:r>
              <w:rPr>
                <w:rFonts w:ascii="Aptos" w:hAnsi="Aptos"/>
                <w:b w:val="0"/>
                <w:i w:val="0"/>
                <w:sz w:val="16"/>
              </w:rPr>
              <w:t>/brand/settings/integrations</w:t>
            </w:r>
          </w:p>
        </w:tc>
      </w:tr>
      <w:tr>
        <w:trPr>
          <w:cantSplit/>
        </w:trPr>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6"/>
              </w:rPr>
              <w:t>Finance &amp; Escrow — Billing overview</w:t>
            </w:r>
          </w:p>
        </w:tc>
        <w:tc>
          <w:tcPr>
            <w:tcW w:type="dxa" w:w="5112"/>
            <w:vAlign w:val="top"/>
            <w:tcMar>
              <w:top w:w="60" w:type="dxa"/>
              <w:start w:w="85" w:type="dxa"/>
              <w:bottom w:w="60" w:type="dxa"/>
              <w:end w:w="85" w:type="dxa"/>
            </w:tcMar>
          </w:tcPr>
          <w:p>
            <w:pPr>
              <w:widowControl/>
              <w:spacing w:after="0" w:line="240" w:lineRule="auto"/>
            </w:pPr>
            <w:r/>
            <w:r>
              <w:rPr>
                <w:rFonts w:ascii="Aptos" w:hAnsi="Aptos"/>
                <w:b w:val="0"/>
                <w:i w:val="0"/>
                <w:sz w:val="16"/>
              </w:rPr>
              <w:t>Founder’s Beta; Billing Profile; invoices; notification preferences</w:t>
            </w:r>
          </w:p>
        </w:tc>
        <w:tc>
          <w:tcPr>
            <w:tcW w:type="dxa" w:w="2304"/>
            <w:vAlign w:val="top"/>
            <w:tcMar>
              <w:top w:w="60" w:type="dxa"/>
              <w:start w:w="85" w:type="dxa"/>
              <w:bottom w:w="60" w:type="dxa"/>
              <w:end w:w="85" w:type="dxa"/>
            </w:tcMar>
          </w:tcPr>
          <w:p>
            <w:pPr>
              <w:widowControl/>
              <w:spacing w:after="0" w:line="240" w:lineRule="auto"/>
            </w:pPr>
            <w:r/>
            <w:r>
              <w:rPr>
                <w:rFonts w:ascii="Aptos" w:hAnsi="Aptos"/>
                <w:b w:val="0"/>
                <w:i w:val="0"/>
                <w:sz w:val="16"/>
              </w:rPr>
              <w:t>/brand/settings/billing</w:t>
            </w:r>
          </w:p>
        </w:tc>
      </w:tr>
      <w:tr>
        <w:trPr>
          <w:cantSplit/>
        </w:trPr>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6"/>
              </w:rPr>
              <w:t>Finance &amp; Escrow — Secure escrow</w:t>
            </w:r>
          </w:p>
        </w:tc>
        <w:tc>
          <w:tcPr>
            <w:tcW w:type="dxa" w:w="5112"/>
            <w:vAlign w:val="top"/>
            <w:tcMar>
              <w:top w:w="60" w:type="dxa"/>
              <w:start w:w="85" w:type="dxa"/>
              <w:bottom w:w="60" w:type="dxa"/>
              <w:end w:w="85" w:type="dxa"/>
            </w:tcMar>
          </w:tcPr>
          <w:p>
            <w:pPr>
              <w:widowControl/>
              <w:spacing w:after="0" w:line="240" w:lineRule="auto"/>
            </w:pPr>
            <w:r/>
            <w:r>
              <w:rPr>
                <w:rFonts w:ascii="Aptos" w:hAnsi="Aptos"/>
                <w:b w:val="0"/>
                <w:i w:val="0"/>
                <w:sz w:val="16"/>
              </w:rPr>
              <w:t>Brand vault; Add Funds; Brand Return; Treasury Ledger</w:t>
            </w:r>
          </w:p>
        </w:tc>
        <w:tc>
          <w:tcPr>
            <w:tcW w:type="dxa" w:w="2304"/>
            <w:vAlign w:val="top"/>
            <w:tcMar>
              <w:top w:w="60" w:type="dxa"/>
              <w:start w:w="85" w:type="dxa"/>
              <w:bottom w:w="60" w:type="dxa"/>
              <w:end w:w="85" w:type="dxa"/>
            </w:tcMar>
          </w:tcPr>
          <w:p>
            <w:pPr>
              <w:widowControl/>
              <w:spacing w:after="0" w:line="240" w:lineRule="auto"/>
            </w:pPr>
            <w:r/>
            <w:r>
              <w:rPr>
                <w:rFonts w:ascii="Aptos" w:hAnsi="Aptos"/>
                <w:b w:val="0"/>
                <w:i w:val="0"/>
                <w:sz w:val="16"/>
              </w:rPr>
              <w:t>/brand/settings/escrow</w:t>
            </w:r>
          </w:p>
        </w:tc>
      </w:tr>
    </w:tbl>
    <w:p>
      <w:pPr>
        <w:spacing w:after="0"/>
      </w:pPr>
    </w:p>
    <w:p>
      <w:pPr>
        <w:spacing w:before="0" w:after="60" w:line="250" w:lineRule="auto"/>
      </w:pPr>
      <w:r>
        <w:rPr>
          <w:i w:val="0"/>
        </w:rPr>
        <w:t>/brand/settings redirects to /brand/settings/general. Do not recreate removed legacy Settings routes or duplicate the Treasury workspace under Billing overview.</w:t>
      </w:r>
    </w:p>
    <w:p>
      <w:pPr>
        <w:pStyle w:val="Heading2"/>
        <w:keepNext/>
        <w:keepLines/>
        <w:spacing w:before="180" w:after="60"/>
      </w:pPr>
      <w:r>
        <w:t>4.2 Role authority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D9EAF7"/>
            <w:vAlign w:val="center"/>
            <w:tcMar>
              <w:top w:w="60" w:type="dxa"/>
              <w:start w:w="85" w:type="dxa"/>
              <w:bottom w:w="60" w:type="dxa"/>
              <w:end w:w="85" w:type="dxa"/>
            </w:tcMar>
          </w:tcPr>
          <w:p>
            <w:pPr>
              <w:widowControl/>
              <w:spacing w:after="0" w:line="240" w:lineRule="auto"/>
            </w:pPr>
            <w:r/>
            <w:r>
              <w:rPr>
                <w:rFonts w:ascii="Aptos" w:hAnsi="Aptos"/>
                <w:b/>
                <w:i w:val="0"/>
                <w:sz w:val="15"/>
              </w:rPr>
              <w:t>Surface</w:t>
            </w:r>
          </w:p>
        </w:tc>
        <w:tc>
          <w:tcPr>
            <w:tcW w:type="dxa" w:w="2592"/>
            <w:shd w:fill="D9EAF7"/>
            <w:vAlign w:val="center"/>
            <w:tcMar>
              <w:top w:w="60" w:type="dxa"/>
              <w:start w:w="85" w:type="dxa"/>
              <w:bottom w:w="60" w:type="dxa"/>
              <w:end w:w="85" w:type="dxa"/>
            </w:tcMar>
          </w:tcPr>
          <w:p>
            <w:pPr>
              <w:widowControl/>
              <w:spacing w:after="0" w:line="240" w:lineRule="auto"/>
            </w:pPr>
            <w:r/>
            <w:r>
              <w:rPr>
                <w:rFonts w:ascii="Aptos" w:hAnsi="Aptos"/>
                <w:b/>
                <w:i w:val="0"/>
                <w:sz w:val="15"/>
              </w:rPr>
              <w:t>Brand Owner</w:t>
            </w:r>
          </w:p>
        </w:tc>
        <w:tc>
          <w:tcPr>
            <w:tcW w:type="dxa" w:w="2520"/>
            <w:shd w:fill="D9EAF7"/>
            <w:vAlign w:val="center"/>
            <w:tcMar>
              <w:top w:w="60" w:type="dxa"/>
              <w:start w:w="85" w:type="dxa"/>
              <w:bottom w:w="60" w:type="dxa"/>
              <w:end w:w="85" w:type="dxa"/>
            </w:tcMar>
          </w:tcPr>
          <w:p>
            <w:pPr>
              <w:widowControl/>
              <w:spacing w:after="0" w:line="240" w:lineRule="auto"/>
            </w:pPr>
            <w:r/>
            <w:r>
              <w:rPr>
                <w:rFonts w:ascii="Aptos" w:hAnsi="Aptos"/>
                <w:b/>
                <w:i w:val="0"/>
                <w:sz w:val="15"/>
              </w:rPr>
              <w:t>Finance Admin</w:t>
            </w:r>
          </w:p>
        </w:tc>
        <w:tc>
          <w:tcPr>
            <w:tcW w:type="dxa" w:w="2736"/>
            <w:shd w:fill="D9EAF7"/>
            <w:vAlign w:val="center"/>
            <w:tcMar>
              <w:top w:w="60" w:type="dxa"/>
              <w:start w:w="85" w:type="dxa"/>
              <w:bottom w:w="60" w:type="dxa"/>
              <w:end w:w="85" w:type="dxa"/>
            </w:tcMar>
          </w:tcPr>
          <w:p>
            <w:pPr>
              <w:widowControl/>
              <w:spacing w:after="0" w:line="240" w:lineRule="auto"/>
            </w:pPr>
            <w:r/>
            <w:r>
              <w:rPr>
                <w:rFonts w:ascii="Aptos" w:hAnsi="Aptos"/>
                <w:b/>
                <w:i w:val="0"/>
                <w:sz w:val="15"/>
              </w:rPr>
              <w:t>Campaign Manager</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Personal Profile</w:t>
            </w:r>
          </w:p>
        </w:tc>
        <w:tc>
          <w:tcPr>
            <w:tcW w:type="dxa" w:w="2592"/>
            <w:vAlign w:val="top"/>
            <w:tcMar>
              <w:top w:w="60" w:type="dxa"/>
              <w:start w:w="85" w:type="dxa"/>
              <w:bottom w:w="60" w:type="dxa"/>
              <w:end w:w="85" w:type="dxa"/>
            </w:tcMar>
          </w:tcPr>
          <w:p>
            <w:pPr>
              <w:widowControl/>
              <w:spacing w:after="0" w:line="240" w:lineRule="auto"/>
            </w:pPr>
            <w:r/>
            <w:r>
              <w:rPr>
                <w:rFonts w:ascii="Aptos" w:hAnsi="Aptos"/>
                <w:b w:val="0"/>
                <w:i w:val="0"/>
                <w:sz w:val="15"/>
              </w:rPr>
              <w:t>Read/write own</w:t>
            </w:r>
          </w:p>
        </w:tc>
        <w:tc>
          <w:tcPr>
            <w:tcW w:type="dxa" w:w="2520"/>
            <w:vAlign w:val="top"/>
            <w:tcMar>
              <w:top w:w="60" w:type="dxa"/>
              <w:start w:w="85" w:type="dxa"/>
              <w:bottom w:w="60" w:type="dxa"/>
              <w:end w:w="85" w:type="dxa"/>
            </w:tcMar>
          </w:tcPr>
          <w:p>
            <w:pPr>
              <w:widowControl/>
              <w:spacing w:after="0" w:line="240" w:lineRule="auto"/>
            </w:pPr>
            <w:r/>
            <w:r>
              <w:rPr>
                <w:rFonts w:ascii="Aptos" w:hAnsi="Aptos"/>
                <w:b w:val="0"/>
                <w:i w:val="0"/>
                <w:sz w:val="15"/>
              </w:rPr>
              <w:t>Read/write own</w:t>
            </w:r>
          </w:p>
        </w:tc>
        <w:tc>
          <w:tcPr>
            <w:tcW w:type="dxa" w:w="2736"/>
            <w:vAlign w:val="top"/>
            <w:tcMar>
              <w:top w:w="60" w:type="dxa"/>
              <w:start w:w="85" w:type="dxa"/>
              <w:bottom w:w="60" w:type="dxa"/>
              <w:end w:w="85" w:type="dxa"/>
            </w:tcMar>
          </w:tcPr>
          <w:p>
            <w:pPr>
              <w:widowControl/>
              <w:spacing w:after="0" w:line="240" w:lineRule="auto"/>
            </w:pPr>
            <w:r/>
            <w:r>
              <w:rPr>
                <w:rFonts w:ascii="Aptos" w:hAnsi="Aptos"/>
                <w:b w:val="0"/>
                <w:i w:val="0"/>
                <w:sz w:val="15"/>
              </w:rPr>
              <w:t>Read/write own</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Account Security</w:t>
            </w:r>
          </w:p>
        </w:tc>
        <w:tc>
          <w:tcPr>
            <w:tcW w:type="dxa" w:w="2592"/>
            <w:vAlign w:val="top"/>
            <w:tcMar>
              <w:top w:w="60" w:type="dxa"/>
              <w:start w:w="85" w:type="dxa"/>
              <w:bottom w:w="60" w:type="dxa"/>
              <w:end w:w="85" w:type="dxa"/>
            </w:tcMar>
          </w:tcPr>
          <w:p>
            <w:pPr>
              <w:widowControl/>
              <w:spacing w:after="0" w:line="240" w:lineRule="auto"/>
            </w:pPr>
            <w:r/>
            <w:r>
              <w:rPr>
                <w:rFonts w:ascii="Aptos" w:hAnsi="Aptos"/>
                <w:b w:val="0"/>
                <w:i w:val="0"/>
                <w:sz w:val="15"/>
              </w:rPr>
              <w:t>Personal actions</w:t>
            </w:r>
          </w:p>
        </w:tc>
        <w:tc>
          <w:tcPr>
            <w:tcW w:type="dxa" w:w="2520"/>
            <w:vAlign w:val="top"/>
            <w:tcMar>
              <w:top w:w="60" w:type="dxa"/>
              <w:start w:w="85" w:type="dxa"/>
              <w:bottom w:w="60" w:type="dxa"/>
              <w:end w:w="85" w:type="dxa"/>
            </w:tcMar>
          </w:tcPr>
          <w:p>
            <w:pPr>
              <w:widowControl/>
              <w:spacing w:after="0" w:line="240" w:lineRule="auto"/>
            </w:pPr>
            <w:r/>
            <w:r>
              <w:rPr>
                <w:rFonts w:ascii="Aptos" w:hAnsi="Aptos"/>
                <w:b w:val="0"/>
                <w:i w:val="0"/>
                <w:sz w:val="15"/>
              </w:rPr>
              <w:t>Personal actions</w:t>
            </w:r>
          </w:p>
        </w:tc>
        <w:tc>
          <w:tcPr>
            <w:tcW w:type="dxa" w:w="2736"/>
            <w:vAlign w:val="top"/>
            <w:tcMar>
              <w:top w:w="60" w:type="dxa"/>
              <w:start w:w="85" w:type="dxa"/>
              <w:bottom w:w="60" w:type="dxa"/>
              <w:end w:w="85" w:type="dxa"/>
            </w:tcMar>
          </w:tcPr>
          <w:p>
            <w:pPr>
              <w:widowControl/>
              <w:spacing w:after="0" w:line="240" w:lineRule="auto"/>
            </w:pPr>
            <w:r/>
            <w:r>
              <w:rPr>
                <w:rFonts w:ascii="Aptos" w:hAnsi="Aptos"/>
                <w:b w:val="0"/>
                <w:i w:val="0"/>
                <w:sz w:val="15"/>
              </w:rPr>
              <w:t>Personal actions</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Organization Details</w:t>
            </w:r>
          </w:p>
        </w:tc>
        <w:tc>
          <w:tcPr>
            <w:tcW w:type="dxa" w:w="2592"/>
            <w:vAlign w:val="top"/>
            <w:tcMar>
              <w:top w:w="60" w:type="dxa"/>
              <w:start w:w="85" w:type="dxa"/>
              <w:bottom w:w="60" w:type="dxa"/>
              <w:end w:w="85" w:type="dxa"/>
            </w:tcMar>
          </w:tcPr>
          <w:p>
            <w:pPr>
              <w:widowControl/>
              <w:spacing w:after="0" w:line="240" w:lineRule="auto"/>
            </w:pPr>
            <w:r/>
            <w:r>
              <w:rPr>
                <w:rFonts w:ascii="Aptos" w:hAnsi="Aptos"/>
                <w:b w:val="0"/>
                <w:i w:val="0"/>
                <w:sz w:val="15"/>
              </w:rPr>
              <w:t>Read/write</w:t>
            </w:r>
          </w:p>
        </w:tc>
        <w:tc>
          <w:tcPr>
            <w:tcW w:type="dxa" w:w="2520"/>
            <w:vAlign w:val="top"/>
            <w:tcMar>
              <w:top w:w="60" w:type="dxa"/>
              <w:start w:w="85" w:type="dxa"/>
              <w:bottom w:w="60" w:type="dxa"/>
              <w:end w:w="85" w:type="dxa"/>
            </w:tcMar>
          </w:tcPr>
          <w:p>
            <w:pPr>
              <w:widowControl/>
              <w:spacing w:after="0" w:line="240" w:lineRule="auto"/>
            </w:pPr>
            <w:r/>
            <w:r>
              <w:rPr>
                <w:rFonts w:ascii="Aptos" w:hAnsi="Aptos"/>
                <w:b w:val="0"/>
                <w:i w:val="0"/>
                <w:sz w:val="15"/>
              </w:rPr>
              <w:t>Read/write</w:t>
            </w:r>
          </w:p>
        </w:tc>
        <w:tc>
          <w:tcPr>
            <w:tcW w:type="dxa" w:w="2736"/>
            <w:vAlign w:val="top"/>
            <w:tcMar>
              <w:top w:w="60" w:type="dxa"/>
              <w:start w:w="85" w:type="dxa"/>
              <w:bottom w:w="60" w:type="dxa"/>
              <w:end w:w="85" w:type="dxa"/>
            </w:tcMar>
          </w:tcPr>
          <w:p>
            <w:pPr>
              <w:widowControl/>
              <w:spacing w:after="0" w:line="240" w:lineRule="auto"/>
            </w:pPr>
            <w:r/>
            <w:r>
              <w:rPr>
                <w:rFonts w:ascii="Aptos" w:hAnsi="Aptos"/>
                <w:b w:val="0"/>
                <w:i w:val="0"/>
                <w:sz w:val="15"/>
              </w:rPr>
              <w:t>Read-only</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Brand Identity</w:t>
            </w:r>
          </w:p>
        </w:tc>
        <w:tc>
          <w:tcPr>
            <w:tcW w:type="dxa" w:w="2592"/>
            <w:vAlign w:val="top"/>
            <w:tcMar>
              <w:top w:w="60" w:type="dxa"/>
              <w:start w:w="85" w:type="dxa"/>
              <w:bottom w:w="60" w:type="dxa"/>
              <w:end w:w="85" w:type="dxa"/>
            </w:tcMar>
          </w:tcPr>
          <w:p>
            <w:pPr>
              <w:widowControl/>
              <w:spacing w:after="0" w:line="240" w:lineRule="auto"/>
            </w:pPr>
            <w:r/>
            <w:r>
              <w:rPr>
                <w:rFonts w:ascii="Aptos" w:hAnsi="Aptos"/>
                <w:b w:val="0"/>
                <w:i w:val="0"/>
                <w:sz w:val="15"/>
              </w:rPr>
              <w:t>Protected-field rules</w:t>
            </w:r>
          </w:p>
        </w:tc>
        <w:tc>
          <w:tcPr>
            <w:tcW w:type="dxa" w:w="2520"/>
            <w:vAlign w:val="top"/>
            <w:tcMar>
              <w:top w:w="60" w:type="dxa"/>
              <w:start w:w="85" w:type="dxa"/>
              <w:bottom w:w="60" w:type="dxa"/>
              <w:end w:w="85" w:type="dxa"/>
            </w:tcMar>
          </w:tcPr>
          <w:p>
            <w:pPr>
              <w:widowControl/>
              <w:spacing w:after="0" w:line="240" w:lineRule="auto"/>
            </w:pPr>
            <w:r/>
            <w:r>
              <w:rPr>
                <w:rFonts w:ascii="Aptos" w:hAnsi="Aptos"/>
                <w:b w:val="0"/>
                <w:i w:val="0"/>
                <w:sz w:val="15"/>
              </w:rPr>
              <w:t>Protected-field rules</w:t>
            </w:r>
          </w:p>
        </w:tc>
        <w:tc>
          <w:tcPr>
            <w:tcW w:type="dxa" w:w="2736"/>
            <w:vAlign w:val="top"/>
            <w:tcMar>
              <w:top w:w="60" w:type="dxa"/>
              <w:start w:w="85" w:type="dxa"/>
              <w:bottom w:w="60" w:type="dxa"/>
              <w:end w:w="85" w:type="dxa"/>
            </w:tcMar>
          </w:tcPr>
          <w:p>
            <w:pPr>
              <w:widowControl/>
              <w:spacing w:after="0" w:line="240" w:lineRule="auto"/>
            </w:pPr>
            <w:r/>
            <w:r>
              <w:rPr>
                <w:rFonts w:ascii="Aptos" w:hAnsi="Aptos"/>
                <w:b w:val="0"/>
                <w:i w:val="0"/>
                <w:sz w:val="15"/>
              </w:rPr>
              <w:t>Protected-field rules</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Team</w:t>
            </w:r>
          </w:p>
        </w:tc>
        <w:tc>
          <w:tcPr>
            <w:tcW w:type="dxa" w:w="2592"/>
            <w:vAlign w:val="top"/>
            <w:tcMar>
              <w:top w:w="60" w:type="dxa"/>
              <w:start w:w="85" w:type="dxa"/>
              <w:bottom w:w="60" w:type="dxa"/>
              <w:end w:w="85" w:type="dxa"/>
            </w:tcMar>
          </w:tcPr>
          <w:p>
            <w:pPr>
              <w:widowControl/>
              <w:spacing w:after="0" w:line="240" w:lineRule="auto"/>
            </w:pPr>
            <w:r/>
            <w:r>
              <w:rPr>
                <w:rFonts w:ascii="Aptos" w:hAnsi="Aptos"/>
                <w:b w:val="0"/>
                <w:i w:val="0"/>
                <w:sz w:val="15"/>
              </w:rPr>
              <w:t>Full admin + anchor rule</w:t>
            </w:r>
          </w:p>
        </w:tc>
        <w:tc>
          <w:tcPr>
            <w:tcW w:type="dxa" w:w="2520"/>
            <w:vAlign w:val="top"/>
            <w:tcMar>
              <w:top w:w="60" w:type="dxa"/>
              <w:start w:w="85" w:type="dxa"/>
              <w:bottom w:w="60" w:type="dxa"/>
              <w:end w:w="85" w:type="dxa"/>
            </w:tcMar>
          </w:tcPr>
          <w:p>
            <w:pPr>
              <w:widowControl/>
              <w:spacing w:after="0" w:line="240" w:lineRule="auto"/>
            </w:pPr>
            <w:r/>
            <w:r>
              <w:rPr>
                <w:rFonts w:ascii="Aptos" w:hAnsi="Aptos"/>
                <w:b w:val="0"/>
                <w:i w:val="0"/>
                <w:sz w:val="15"/>
              </w:rPr>
              <w:t>Non-Owner admin only</w:t>
            </w:r>
          </w:p>
        </w:tc>
        <w:tc>
          <w:tcPr>
            <w:tcW w:type="dxa" w:w="2736"/>
            <w:vAlign w:val="top"/>
            <w:tcMar>
              <w:top w:w="60" w:type="dxa"/>
              <w:start w:w="85" w:type="dxa"/>
              <w:bottom w:w="60" w:type="dxa"/>
              <w:end w:w="85" w:type="dxa"/>
            </w:tcMar>
          </w:tcPr>
          <w:p>
            <w:pPr>
              <w:widowControl/>
              <w:spacing w:after="0" w:line="240" w:lineRule="auto"/>
            </w:pPr>
            <w:r/>
            <w:r>
              <w:rPr>
                <w:rFonts w:ascii="Aptos" w:hAnsi="Aptos"/>
                <w:b w:val="0"/>
                <w:i w:val="0"/>
                <w:sz w:val="15"/>
              </w:rPr>
              <w:t>Read-only</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Billing Profile</w:t>
            </w:r>
          </w:p>
        </w:tc>
        <w:tc>
          <w:tcPr>
            <w:tcW w:type="dxa" w:w="2592"/>
            <w:vAlign w:val="top"/>
            <w:tcMar>
              <w:top w:w="60" w:type="dxa"/>
              <w:start w:w="85" w:type="dxa"/>
              <w:bottom w:w="60" w:type="dxa"/>
              <w:end w:w="85" w:type="dxa"/>
            </w:tcMar>
          </w:tcPr>
          <w:p>
            <w:pPr>
              <w:widowControl/>
              <w:spacing w:after="0" w:line="240" w:lineRule="auto"/>
            </w:pPr>
            <w:r/>
            <w:r>
              <w:rPr>
                <w:rFonts w:ascii="Aptos" w:hAnsi="Aptos"/>
                <w:b w:val="0"/>
                <w:i w:val="0"/>
                <w:sz w:val="15"/>
              </w:rPr>
              <w:t>Read/write</w:t>
            </w:r>
          </w:p>
        </w:tc>
        <w:tc>
          <w:tcPr>
            <w:tcW w:type="dxa" w:w="2520"/>
            <w:vAlign w:val="top"/>
            <w:tcMar>
              <w:top w:w="60" w:type="dxa"/>
              <w:start w:w="85" w:type="dxa"/>
              <w:bottom w:w="60" w:type="dxa"/>
              <w:end w:w="85" w:type="dxa"/>
            </w:tcMar>
          </w:tcPr>
          <w:p>
            <w:pPr>
              <w:widowControl/>
              <w:spacing w:after="0" w:line="240" w:lineRule="auto"/>
            </w:pPr>
            <w:r/>
            <w:r>
              <w:rPr>
                <w:rFonts w:ascii="Aptos" w:hAnsi="Aptos"/>
                <w:b w:val="0"/>
                <w:i w:val="0"/>
                <w:sz w:val="15"/>
              </w:rPr>
              <w:t>Read/write</w:t>
            </w:r>
          </w:p>
        </w:tc>
        <w:tc>
          <w:tcPr>
            <w:tcW w:type="dxa" w:w="2736"/>
            <w:vAlign w:val="top"/>
            <w:tcMar>
              <w:top w:w="60" w:type="dxa"/>
              <w:start w:w="85" w:type="dxa"/>
              <w:bottom w:w="60" w:type="dxa"/>
              <w:end w:w="85" w:type="dxa"/>
            </w:tcMar>
          </w:tcPr>
          <w:p>
            <w:pPr>
              <w:widowControl/>
              <w:spacing w:after="0" w:line="240" w:lineRule="auto"/>
            </w:pPr>
            <w:r/>
            <w:r>
              <w:rPr>
                <w:rFonts w:ascii="Aptos" w:hAnsi="Aptos"/>
                <w:b w:val="0"/>
                <w:i w:val="0"/>
                <w:sz w:val="15"/>
              </w:rPr>
              <w:t>Read-only / masked</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Subscription</w:t>
            </w:r>
          </w:p>
        </w:tc>
        <w:tc>
          <w:tcPr>
            <w:tcW w:type="dxa" w:w="2592"/>
            <w:vAlign w:val="top"/>
            <w:tcMar>
              <w:top w:w="60" w:type="dxa"/>
              <w:start w:w="85" w:type="dxa"/>
              <w:bottom w:w="60" w:type="dxa"/>
              <w:end w:w="85" w:type="dxa"/>
            </w:tcMar>
          </w:tcPr>
          <w:p>
            <w:pPr>
              <w:widowControl/>
              <w:spacing w:after="0" w:line="240" w:lineRule="auto"/>
            </w:pPr>
            <w:r/>
            <w:r>
              <w:rPr>
                <w:rFonts w:ascii="Aptos" w:hAnsi="Aptos"/>
                <w:b w:val="0"/>
                <w:i w:val="0"/>
                <w:sz w:val="15"/>
              </w:rPr>
              <w:t>Financial mutations</w:t>
            </w:r>
          </w:p>
        </w:tc>
        <w:tc>
          <w:tcPr>
            <w:tcW w:type="dxa" w:w="2520"/>
            <w:vAlign w:val="top"/>
            <w:tcMar>
              <w:top w:w="60" w:type="dxa"/>
              <w:start w:w="85" w:type="dxa"/>
              <w:bottom w:w="60" w:type="dxa"/>
              <w:end w:w="85" w:type="dxa"/>
            </w:tcMar>
          </w:tcPr>
          <w:p>
            <w:pPr>
              <w:widowControl/>
              <w:spacing w:after="0" w:line="240" w:lineRule="auto"/>
            </w:pPr>
            <w:r/>
            <w:r>
              <w:rPr>
                <w:rFonts w:ascii="Aptos" w:hAnsi="Aptos"/>
                <w:b w:val="0"/>
                <w:i w:val="0"/>
                <w:sz w:val="15"/>
              </w:rPr>
              <w:t>Financial mutations</w:t>
            </w:r>
          </w:p>
        </w:tc>
        <w:tc>
          <w:tcPr>
            <w:tcW w:type="dxa" w:w="2736"/>
            <w:vAlign w:val="top"/>
            <w:tcMar>
              <w:top w:w="60" w:type="dxa"/>
              <w:start w:w="85" w:type="dxa"/>
              <w:bottom w:w="60" w:type="dxa"/>
              <w:end w:w="85" w:type="dxa"/>
            </w:tcMar>
          </w:tcPr>
          <w:p>
            <w:pPr>
              <w:widowControl/>
              <w:spacing w:after="0" w:line="240" w:lineRule="auto"/>
            </w:pPr>
            <w:r/>
            <w:r>
              <w:rPr>
                <w:rFonts w:ascii="Aptos" w:hAnsi="Aptos"/>
                <w:b w:val="0"/>
                <w:i w:val="0"/>
                <w:sz w:val="15"/>
              </w:rPr>
              <w:t>Read-only</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Notification Preferences</w:t>
            </w:r>
          </w:p>
        </w:tc>
        <w:tc>
          <w:tcPr>
            <w:tcW w:type="dxa" w:w="2592"/>
            <w:vAlign w:val="top"/>
            <w:tcMar>
              <w:top w:w="60" w:type="dxa"/>
              <w:start w:w="85" w:type="dxa"/>
              <w:bottom w:w="60" w:type="dxa"/>
              <w:end w:w="85" w:type="dxa"/>
            </w:tcMar>
          </w:tcPr>
          <w:p>
            <w:pPr>
              <w:widowControl/>
              <w:spacing w:after="0" w:line="240" w:lineRule="auto"/>
            </w:pPr>
            <w:r/>
            <w:r>
              <w:rPr>
                <w:rFonts w:ascii="Aptos" w:hAnsi="Aptos"/>
                <w:b w:val="0"/>
                <w:i w:val="0"/>
                <w:sz w:val="15"/>
              </w:rPr>
              <w:t>Own preferences</w:t>
            </w:r>
          </w:p>
        </w:tc>
        <w:tc>
          <w:tcPr>
            <w:tcW w:type="dxa" w:w="2520"/>
            <w:vAlign w:val="top"/>
            <w:tcMar>
              <w:top w:w="60" w:type="dxa"/>
              <w:start w:w="85" w:type="dxa"/>
              <w:bottom w:w="60" w:type="dxa"/>
              <w:end w:w="85" w:type="dxa"/>
            </w:tcMar>
          </w:tcPr>
          <w:p>
            <w:pPr>
              <w:widowControl/>
              <w:spacing w:after="0" w:line="240" w:lineRule="auto"/>
            </w:pPr>
            <w:r/>
            <w:r>
              <w:rPr>
                <w:rFonts w:ascii="Aptos" w:hAnsi="Aptos"/>
                <w:b w:val="0"/>
                <w:i w:val="0"/>
                <w:sz w:val="15"/>
              </w:rPr>
              <w:t>Own preferences</w:t>
            </w:r>
          </w:p>
        </w:tc>
        <w:tc>
          <w:tcPr>
            <w:tcW w:type="dxa" w:w="2736"/>
            <w:vAlign w:val="top"/>
            <w:tcMar>
              <w:top w:w="60" w:type="dxa"/>
              <w:start w:w="85" w:type="dxa"/>
              <w:bottom w:w="60" w:type="dxa"/>
              <w:end w:w="85" w:type="dxa"/>
            </w:tcMar>
          </w:tcPr>
          <w:p>
            <w:pPr>
              <w:widowControl/>
              <w:spacing w:after="0" w:line="240" w:lineRule="auto"/>
            </w:pPr>
            <w:r/>
            <w:r>
              <w:rPr>
                <w:rFonts w:ascii="Aptos" w:hAnsi="Aptos"/>
                <w:b w:val="0"/>
                <w:i w:val="0"/>
                <w:sz w:val="15"/>
              </w:rPr>
              <w:t>Own preferences</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Instagram</w:t>
            </w:r>
          </w:p>
        </w:tc>
        <w:tc>
          <w:tcPr>
            <w:tcW w:type="dxa" w:w="2592"/>
            <w:vAlign w:val="top"/>
            <w:tcMar>
              <w:top w:w="60" w:type="dxa"/>
              <w:start w:w="85" w:type="dxa"/>
              <w:bottom w:w="60" w:type="dxa"/>
              <w:end w:w="85" w:type="dxa"/>
            </w:tcMar>
          </w:tcPr>
          <w:p>
            <w:pPr>
              <w:widowControl/>
              <w:spacing w:after="0" w:line="240" w:lineRule="auto"/>
            </w:pPr>
            <w:r/>
            <w:r>
              <w:rPr>
                <w:rFonts w:ascii="Aptos" w:hAnsi="Aptos"/>
                <w:b w:val="0"/>
                <w:i w:val="0"/>
                <w:sz w:val="15"/>
              </w:rPr>
              <w:t>All allowed actions</w:t>
            </w:r>
          </w:p>
        </w:tc>
        <w:tc>
          <w:tcPr>
            <w:tcW w:type="dxa" w:w="2520"/>
            <w:vAlign w:val="top"/>
            <w:tcMar>
              <w:top w:w="60" w:type="dxa"/>
              <w:start w:w="85" w:type="dxa"/>
              <w:bottom w:w="60" w:type="dxa"/>
              <w:end w:w="85" w:type="dxa"/>
            </w:tcMar>
          </w:tcPr>
          <w:p>
            <w:pPr>
              <w:widowControl/>
              <w:spacing w:after="0" w:line="240" w:lineRule="auto"/>
            </w:pPr>
            <w:r/>
            <w:r>
              <w:rPr>
                <w:rFonts w:ascii="Aptos" w:hAnsi="Aptos"/>
                <w:b w:val="0"/>
                <w:i w:val="0"/>
                <w:sz w:val="15"/>
              </w:rPr>
              <w:t>Read-only</w:t>
            </w:r>
          </w:p>
        </w:tc>
        <w:tc>
          <w:tcPr>
            <w:tcW w:type="dxa" w:w="2736"/>
            <w:vAlign w:val="top"/>
            <w:tcMar>
              <w:top w:w="60" w:type="dxa"/>
              <w:start w:w="85" w:type="dxa"/>
              <w:bottom w:w="60" w:type="dxa"/>
              <w:end w:w="85" w:type="dxa"/>
            </w:tcMar>
          </w:tcPr>
          <w:p>
            <w:pPr>
              <w:widowControl/>
              <w:spacing w:after="0" w:line="240" w:lineRule="auto"/>
            </w:pPr>
            <w:r/>
            <w:r>
              <w:rPr>
                <w:rFonts w:ascii="Aptos" w:hAnsi="Aptos"/>
                <w:b w:val="0"/>
                <w:i w:val="0"/>
                <w:sz w:val="15"/>
              </w:rPr>
              <w:t>Same-stable-ID reconnect only</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Treasury</w:t>
            </w:r>
          </w:p>
        </w:tc>
        <w:tc>
          <w:tcPr>
            <w:tcW w:type="dxa" w:w="2592"/>
            <w:vAlign w:val="top"/>
            <w:tcMar>
              <w:top w:w="60" w:type="dxa"/>
              <w:start w:w="85" w:type="dxa"/>
              <w:bottom w:w="60" w:type="dxa"/>
              <w:end w:w="85" w:type="dxa"/>
            </w:tcMar>
          </w:tcPr>
          <w:p>
            <w:pPr>
              <w:widowControl/>
              <w:spacing w:after="0" w:line="240" w:lineRule="auto"/>
            </w:pPr>
            <w:r/>
            <w:r>
              <w:rPr>
                <w:rFonts w:ascii="Aptos" w:hAnsi="Aptos"/>
                <w:b w:val="0"/>
                <w:i w:val="0"/>
                <w:sz w:val="15"/>
              </w:rPr>
              <w:t>Read/write</w:t>
            </w:r>
          </w:p>
        </w:tc>
        <w:tc>
          <w:tcPr>
            <w:tcW w:type="dxa" w:w="2520"/>
            <w:vAlign w:val="top"/>
            <w:tcMar>
              <w:top w:w="60" w:type="dxa"/>
              <w:start w:w="85" w:type="dxa"/>
              <w:bottom w:w="60" w:type="dxa"/>
              <w:end w:w="85" w:type="dxa"/>
            </w:tcMar>
          </w:tcPr>
          <w:p>
            <w:pPr>
              <w:widowControl/>
              <w:spacing w:after="0" w:line="240" w:lineRule="auto"/>
            </w:pPr>
            <w:r/>
            <w:r>
              <w:rPr>
                <w:rFonts w:ascii="Aptos" w:hAnsi="Aptos"/>
                <w:b w:val="0"/>
                <w:i w:val="0"/>
                <w:sz w:val="15"/>
              </w:rPr>
              <w:t>Read/write</w:t>
            </w:r>
          </w:p>
        </w:tc>
        <w:tc>
          <w:tcPr>
            <w:tcW w:type="dxa" w:w="2736"/>
            <w:vAlign w:val="top"/>
            <w:tcMar>
              <w:top w:w="60" w:type="dxa"/>
              <w:start w:w="85" w:type="dxa"/>
              <w:bottom w:w="60" w:type="dxa"/>
              <w:end w:w="85" w:type="dxa"/>
            </w:tcMar>
          </w:tcPr>
          <w:p>
            <w:pPr>
              <w:widowControl/>
              <w:spacing w:after="0" w:line="240" w:lineRule="auto"/>
            </w:pPr>
            <w:r/>
            <w:r>
              <w:rPr>
                <w:rFonts w:ascii="Aptos" w:hAnsi="Aptos"/>
                <w:b w:val="0"/>
                <w:i w:val="0"/>
                <w:sz w:val="15"/>
              </w:rPr>
              <w:t>Read-only</w:t>
            </w:r>
          </w:p>
        </w:tc>
      </w:tr>
    </w:tbl>
    <w:p>
      <w:pPr>
        <w:spacing w:after="0"/>
      </w:pPr>
    </w:p>
    <w:p>
      <w:pPr>
        <w:pStyle w:val="Heading2"/>
        <w:keepNext/>
        <w:keepLines/>
        <w:spacing w:before="180" w:after="60"/>
      </w:pPr>
      <w:r>
        <w:t>4.3 Authentication, session, and invitation security</w:t>
      </w:r>
    </w:p>
    <w:p>
      <w:pPr>
        <w:pStyle w:val="ListBullet"/>
        <w:keepLines/>
        <w:spacing w:after="40" w:line="245" w:lineRule="auto"/>
      </w:pPr>
      <w:r>
        <w:t>Access token stays in memory only; do not persist it in localStorage or normal sessionStorage.</w:t>
      </w:r>
    </w:p>
    <w:p>
      <w:pPr>
        <w:pStyle w:val="ListBullet"/>
        <w:keepLines/>
        <w:spacing w:after="40" w:line="245" w:lineRule="auto"/>
      </w:pPr>
      <w:r>
        <w:t>Refresh session is server-managed through an HttpOnly cookie; preserve startup refresh, single-flight refresh, and one authenticated request retry.</w:t>
      </w:r>
    </w:p>
    <w:p>
      <w:pPr>
        <w:pStyle w:val="ListBullet"/>
        <w:keepLines/>
        <w:spacing w:after="40" w:line="245" w:lineRule="auto"/>
      </w:pPr>
      <w:r>
        <w:t>Refresh failure clears frontend auth state. Protected routes wait for auth initialization before redirecting.</w:t>
      </w:r>
    </w:p>
    <w:p>
      <w:pPr>
        <w:pStyle w:val="ListBullet"/>
        <w:keepLines/>
        <w:spacing w:after="40" w:line="245" w:lineRule="auto"/>
      </w:pPr>
      <w:r>
        <w:t>Preserve password, Email OTP, Google, logout-current, logout-all, forgot/reset/change-password behavior and backend session termination rules.</w:t>
      </w:r>
    </w:p>
    <w:p>
      <w:pPr>
        <w:pStyle w:val="ListBullet"/>
        <w:keepLines/>
        <w:spacing w:after="40" w:line="245" w:lineRule="auto"/>
      </w:pPr>
      <w:r>
        <w:t>Delegated onboarding is the sole narrow exception: the invitation bearer is stored temporarily in state-keyed sessionStorage only for OAuth handoff, then destructively read and removed. It must not appear in provider-facing state or redirect URI.</w:t>
      </w:r>
    </w:p>
    <w:p>
      <w:pPr>
        <w:keepLines/>
        <w:spacing w:before="40" w:after="100" w:line="240" w:lineRule="auto"/>
        <w:ind w:left="58" w:right="58"/>
        <w:shd w:fill="EAF2F8"/>
        <w:pBdr>
          <w:top w:val="single" w:sz="5" w:space="3" w:color="808080"/>
          <w:left w:val="single" w:sz="5" w:space="3" w:color="808080"/>
          <w:bottom w:val="single" w:sz="5" w:space="3" w:color="808080"/>
          <w:right w:val="single" w:sz="5" w:space="3" w:color="808080"/>
        </w:pBdr>
      </w:pPr>
      <w:r>
        <w:rPr>
          <w:rFonts w:ascii="Consolas" w:hAnsi="Consolas"/>
          <w:sz w:val="17"/>
        </w:rPr>
        <w:t>invitation bearer → backend invitation validation → opaque one-time OAuth state</w:t>
        <w:br/>
      </w:r>
      <w:r>
        <w:rPr>
          <w:rFonts w:ascii="Consolas" w:hAnsi="Consolas"/>
          <w:sz w:val="17"/>
        </w:rPr>
        <w:t>→ state-bound invitation context → generic provider callback → validation/consumption</w:t>
        <w:br/>
      </w:r>
      <w:r>
        <w:rPr>
          <w:rFonts w:ascii="Consolas" w:hAnsi="Consolas"/>
          <w:sz w:val="17"/>
        </w:rPr>
        <w:t>→ destructive browser handoff recovery → code exchange</w:t>
      </w:r>
    </w:p>
    <w:p>
      <w:pPr>
        <w:pStyle w:val="Heading2"/>
        <w:keepNext/>
        <w:keepLines/>
        <w:spacing w:before="180" w:after="60"/>
      </w:pPr>
      <w:r>
        <w:t>4.4 Identity, Team, Billing, and notifications</w:t>
      </w:r>
    </w:p>
    <w:p>
      <w:pPr>
        <w:pStyle w:val="ListBullet"/>
        <w:keepLines/>
        <w:spacing w:after="40" w:line="245" w:lineRule="auto"/>
      </w:pPr>
      <w:r>
        <w:t>Keep User personal name, Organization.name, protected Brand name/domain, and Billing legal entity separate.</w:t>
      </w:r>
    </w:p>
    <w:p>
      <w:pPr>
        <w:pStyle w:val="ListBullet"/>
        <w:keepLines/>
        <w:spacing w:after="40" w:line="245" w:lineRule="auto"/>
      </w:pPr>
      <w:r>
        <w:t>Team roles are BRAND_OWNER, FINANCE_ADMIN, and CAMPAIGN_MANAGER. Invitations expire after seven days; maximum seats are five including active members and valid pending invitations.</w:t>
      </w:r>
    </w:p>
    <w:p>
      <w:pPr>
        <w:pStyle w:val="ListBullet"/>
        <w:keepLines/>
        <w:spacing w:after="40" w:line="245" w:lineRule="auto"/>
      </w:pPr>
      <w:r>
        <w:t>At least one active Brand-domain employee Owner must remain. Finance Admin cannot mutate Owner authority.</w:t>
      </w:r>
    </w:p>
    <w:p>
      <w:pPr>
        <w:pStyle w:val="ListBullet"/>
        <w:keepLines/>
        <w:spacing w:after="40" w:line="245" w:lineRule="auto"/>
      </w:pPr>
      <w:r>
        <w:t>Billing Profile fields are legal_entity_name, legal_entity_type, billing_country_code, billing_address, and optional India GSTIN. PAN, TDS controls, and user-selectable currency are outside this MVP.</w:t>
      </w:r>
    </w:p>
    <w:p>
      <w:pPr>
        <w:pStyle w:val="ListBullet"/>
        <w:keepLines/>
        <w:spacing w:after="40" w:line="245" w:lineRule="auto"/>
      </w:pPr>
      <w:r>
        <w:t>Founder’s Beta remains the only purchasable plan: India ₹9,990/month tax inclusive; US/ROW $99/month; 30-day trial; 7% commission; no payment method during active trial.</w:t>
      </w:r>
    </w:p>
    <w:p>
      <w:pPr>
        <w:pStyle w:val="ListBullet"/>
        <w:keepLines/>
        <w:spacing w:after="40" w:line="245" w:lineRule="auto"/>
      </w:pPr>
      <w:r>
        <w:t>PAST_DUE + FULL_ACCESS must not be rendered as frozen while backend grace is active.</w:t>
      </w:r>
    </w:p>
    <w:p>
      <w:pPr>
        <w:pStyle w:val="ListBullet"/>
        <w:keepLines/>
        <w:spacing w:after="40" w:line="245" w:lineRule="auto"/>
      </w:pPr>
      <w:r>
        <w:t>Exactly six optional email preference categories remain. Mandatory security/account/service mail must not be suppressed by optional preferences.</w:t>
      </w:r>
    </w:p>
    <w:p>
      <w:pPr>
        <w:pStyle w:val="Heading2"/>
        <w:keepNext/>
        <w:keepLines/>
        <w:spacing w:before="180" w:after="60"/>
      </w:pPr>
      <w:r>
        <w:t>4.5 Instagram / Meta contract</w:t>
      </w:r>
    </w:p>
    <w:p>
      <w:pPr>
        <w:pStyle w:val="ListBullet"/>
        <w:keepLines/>
        <w:spacing w:after="40" w:line="245" w:lineRule="auto"/>
      </w:pPr>
      <w:r>
        <w:t>Backend authorizationHealth is the primary UI authority: CONNECTED_FULL, PARTIALLY_CONNECTED, NEEDS_REVALIDATION, PROVIDER_ACCESS_BLOCKED, UNKNOWN, or DISCONNECTED.</w:t>
      </w:r>
    </w:p>
    <w:p>
      <w:pPr>
        <w:pStyle w:val="ListBullet"/>
        <w:keepLines/>
        <w:spacing w:after="40" w:line="245" w:lineRule="auto"/>
      </w:pPr>
      <w:r>
        <w:t>providerAccountId is stable identity; username is mutable display identity. Same ID with a changed username is a same-account reconnect.</w:t>
      </w:r>
    </w:p>
    <w:p>
      <w:pPr>
        <w:pStyle w:val="ListBullet"/>
        <w:keepLines/>
        <w:spacing w:after="40" w:line="245" w:lineRule="auto"/>
      </w:pPr>
      <w:r>
        <w:t>A different stable provider account requires a fresh Owner-authorized ACCOUNT_CHANGE OAuth attempt.</w:t>
      </w:r>
    </w:p>
    <w:p>
      <w:pPr>
        <w:pStyle w:val="ListBullet"/>
        <w:keepLines/>
        <w:spacing w:after="40" w:line="245" w:lineRule="auto"/>
      </w:pPr>
      <w:r>
        <w:t>Finance Admin is read-only; Campaign Manager may only reconnect the same stable account; Owner controls connect, account change, reconciliation, disconnect, and deletion.</w:t>
      </w:r>
    </w:p>
    <w:p>
      <w:pPr>
        <w:pStyle w:val="ListBullet"/>
        <w:keepLines/>
        <w:spacing w:after="40" w:line="245" w:lineRule="auto"/>
      </w:pPr>
      <w:r>
        <w:t>Disconnect and deletion are distinct. Preserve the backend’s deletion lifecycle and business-history retention rules.</w:t>
      </w:r>
    </w:p>
    <w:p>
      <w:pPr>
        <w:pStyle w:val="ListBullet"/>
        <w:keepLines/>
        <w:spacing w:after="40" w:line="245" w:lineRule="auto"/>
      </w:pPr>
      <w:r>
        <w:t>Business Discovery, Creator Marketplace, Facebook Page/Login management, and Meta Business Suite are separate programs and are not implied by this Settings connection.</w:t>
      </w:r>
    </w:p>
    <w:p>
      <w:pPr>
        <w:pStyle w:val="Heading2"/>
        <w:keepNext/>
        <w:keepLines/>
        <w:spacing w:before="180" w:after="60"/>
      </w:pPr>
      <w:r>
        <w:t>4.6 Treasury and financial invariants</w:t>
      </w:r>
    </w:p>
    <w:p>
      <w:pPr>
        <w:pStyle w:val="ListBullet"/>
        <w:keepLines/>
        <w:spacing w:after="40" w:line="245" w:lineRule="auto"/>
      </w:pPr>
      <w:r>
        <w:t>Public monetary APIs use major-unit JSON numbers backed by Decimal(15,4); provider paise conversion is server-side. Frontend eligibility uses fixed-point helpers.</w:t>
      </w:r>
    </w:p>
    <w:p>
      <w:pPr>
        <w:pStyle w:val="ListBullet"/>
        <w:keepLines/>
        <w:spacing w:after="40" w:line="245" w:lineRule="auto"/>
      </w:pPr>
      <w:r>
        <w:t>Add Funds uses POST /api/v1/escrow/topup-intent with UUID idempotency_key. Checkout success never credits the vault optimistically.</w:t>
      </w:r>
    </w:p>
    <w:p>
      <w:pPr>
        <w:pStyle w:val="ListBullet"/>
        <w:keepLines/>
        <w:spacing w:after="40" w:line="245" w:lineRule="auto"/>
      </w:pPr>
      <w:r>
        <w:t>Brand Return uses UUID idempotency_identity and backend self_service_returnable_balance. AVAILABLE does not automatically mean self-service returnable.</w:t>
      </w:r>
    </w:p>
    <w:p>
      <w:pPr>
        <w:pStyle w:val="ListBullet"/>
        <w:keepLines/>
        <w:spacing w:after="40" w:line="245" w:lineRule="auto"/>
      </w:pPr>
      <w:r>
        <w:t>Brand Return is original-source-only with backend FIFO allocation. There is no withdrawal bank, destination form, user source picker, or payment-ID input.</w:t>
      </w:r>
    </w:p>
    <w:p>
      <w:pPr>
        <w:pStyle w:val="ListBullet"/>
        <w:keepLines/>
        <w:spacing w:after="40" w:line="245" w:lineRule="auto"/>
      </w:pPr>
      <w:r>
        <w:t>Unknown/null Brand Return currency blocks mutation and renders unavailable semantics; never infer INR or USD.</w:t>
      </w:r>
    </w:p>
    <w:p>
      <w:pPr>
        <w:pStyle w:val="ListBullet"/>
        <w:keepLines/>
        <w:spacing w:after="40" w:line="245" w:lineRule="auto"/>
      </w:pPr>
      <w:r>
        <w:t>Provider ambiguity is fail-closed. Accepted request is not completion. No creator payout mutation belongs in Settings.</w:t>
      </w:r>
    </w:p>
    <w:p>
      <w:pPr>
        <w:keepLines/>
        <w:spacing w:before="40" w:after="100" w:line="240" w:lineRule="auto"/>
        <w:ind w:left="58" w:right="58"/>
        <w:shd w:fill="EAF2F8"/>
        <w:pBdr>
          <w:top w:val="single" w:sz="5" w:space="3" w:color="808080"/>
          <w:left w:val="single" w:sz="5" w:space="3" w:color="808080"/>
          <w:bottom w:val="single" w:sz="5" w:space="3" w:color="808080"/>
          <w:right w:val="single" w:sz="5" w:space="3" w:color="808080"/>
        </w:pBdr>
      </w:pPr>
      <w:r>
        <w:rPr>
          <w:rFonts w:ascii="Consolas" w:hAnsi="Consolas"/>
          <w:sz w:val="17"/>
        </w:rPr>
        <w:t>Brand Return lifecycle: RETURN_REQUESTED · ALLOCATING_SOURCES · PROCESSING</w:t>
        <w:br/>
      </w:r>
      <w:r>
        <w:rPr>
          <w:rFonts w:ascii="Consolas" w:hAnsi="Consolas"/>
          <w:sz w:val="17"/>
        </w:rPr>
        <w:t>COMPLETED · PARTIAL · ACTION_REQUIRED · FAILED</w:t>
      </w:r>
    </w:p>
    <w:p>
      <w:pPr>
        <w:pStyle w:val="Heading1"/>
        <w:keepNext/>
        <w:keepLines/>
        <w:spacing w:before="360" w:after="80"/>
      </w:pPr>
      <w:r>
        <w:t>5. Production configuration and infrastructure work</w:t>
      </w:r>
    </w:p>
    <w:p>
      <w:pPr>
        <w:spacing w:before="0" w:after="60" w:line="250" w:lineRule="auto"/>
      </w:pPr>
      <w:r>
        <w:rPr>
          <w:i w:val="0"/>
        </w:rPr>
        <w:t>The deployment owner must resolve configuration from the canonical deployment stack, then record evidence without placing secrets in this document. Environment names below are exact where verified from canonical code.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656"/>
            <w:shd w:fill="D9EAF7"/>
            <w:vAlign w:val="center"/>
            <w:tcMar>
              <w:top w:w="60" w:type="dxa"/>
              <w:start w:w="85" w:type="dxa"/>
              <w:bottom w:w="60" w:type="dxa"/>
              <w:end w:w="85" w:type="dxa"/>
            </w:tcMar>
          </w:tcPr>
          <w:p>
            <w:pPr>
              <w:widowControl/>
              <w:spacing w:after="0" w:line="240" w:lineRule="auto"/>
            </w:pPr>
            <w:r/>
            <w:r>
              <w:rPr>
                <w:rFonts w:ascii="Aptos" w:hAnsi="Aptos"/>
                <w:b/>
                <w:i w:val="0"/>
                <w:sz w:val="14"/>
              </w:rPr>
              <w:t>Surface</w:t>
            </w:r>
          </w:p>
        </w:tc>
        <w:tc>
          <w:tcPr>
            <w:tcW w:type="dxa" w:w="3240"/>
            <w:shd w:fill="D9EAF7"/>
            <w:vAlign w:val="center"/>
            <w:tcMar>
              <w:top w:w="60" w:type="dxa"/>
              <w:start w:w="85" w:type="dxa"/>
              <w:bottom w:w="60" w:type="dxa"/>
              <w:end w:w="85" w:type="dxa"/>
            </w:tcMar>
          </w:tcPr>
          <w:p>
            <w:pPr>
              <w:widowControl/>
              <w:spacing w:after="0" w:line="240" w:lineRule="auto"/>
            </w:pPr>
            <w:r/>
            <w:r>
              <w:rPr>
                <w:rFonts w:ascii="Aptos" w:hAnsi="Aptos"/>
                <w:b/>
                <w:i w:val="0"/>
                <w:sz w:val="14"/>
              </w:rPr>
              <w:t>Exact variable</w:t>
            </w:r>
          </w:p>
        </w:tc>
        <w:tc>
          <w:tcPr>
            <w:tcW w:type="dxa" w:w="1728"/>
            <w:shd w:fill="D9EAF7"/>
            <w:vAlign w:val="center"/>
            <w:tcMar>
              <w:top w:w="60" w:type="dxa"/>
              <w:start w:w="85" w:type="dxa"/>
              <w:bottom w:w="60" w:type="dxa"/>
              <w:end w:w="85" w:type="dxa"/>
            </w:tcMar>
          </w:tcPr>
          <w:p>
            <w:pPr>
              <w:widowControl/>
              <w:spacing w:after="0" w:line="240" w:lineRule="auto"/>
            </w:pPr>
            <w:r/>
            <w:r>
              <w:rPr>
                <w:rFonts w:ascii="Aptos" w:hAnsi="Aptos"/>
                <w:b/>
                <w:i w:val="0"/>
                <w:sz w:val="14"/>
              </w:rPr>
              <w:t>Placement</w:t>
            </w:r>
          </w:p>
        </w:tc>
        <w:tc>
          <w:tcPr>
            <w:tcW w:type="dxa" w:w="3456"/>
            <w:shd w:fill="D9EAF7"/>
            <w:vAlign w:val="center"/>
            <w:tcMar>
              <w:top w:w="60" w:type="dxa"/>
              <w:start w:w="85" w:type="dxa"/>
              <w:bottom w:w="60" w:type="dxa"/>
              <w:end w:w="85" w:type="dxa"/>
            </w:tcMar>
          </w:tcPr>
          <w:p>
            <w:pPr>
              <w:widowControl/>
              <w:spacing w:after="0" w:line="240" w:lineRule="auto"/>
            </w:pPr>
            <w:r/>
            <w:r>
              <w:rPr>
                <w:rFonts w:ascii="Aptos" w:hAnsi="Aptos"/>
                <w:b/>
                <w:i w:val="0"/>
                <w:sz w:val="14"/>
              </w:rPr>
              <w:t>Developer action</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Core URLs</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APP_FRONTEND_URL</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Required by auth links and team invitations; set exact production origin.</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Core URLs</w:t>
            </w:r>
          </w:p>
        </w:tc>
        <w:tc>
          <w:tcPr>
            <w:tcW w:type="dxa" w:w="3240"/>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PUBLIC_API_BASE_URL</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Required for Meta deletion status URL; currently not wired through canonical SST. Without it, production may fall back to localhost.</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Meta</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INSTAGRAM_API_ID</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Canonical SST passes it; verify live app ID and environment.</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Meta</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INSTAGRAM_APP_SECRET</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Used for OAuth/provider operations and data-deletion signed_request verification.</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Meta</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SETTINGS_FIELD_ENCRYPTION_KEY</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Required for protected Settings/provider material. Verify deployment injection; do not rotate casually.</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Postmark auth</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POSTMARK_SERVER_TOKEN</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Required; MailModule startup validates it.</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Postmark auth</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POSTMARK_AUTH_OTP_TEMPLATE_ID</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Required; exact auth OTP template.</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Postmark auth</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POSTMARK_PASSWORD_RESET_TEMPLATE_ID</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Required; exact password-reset template.</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Postmark auth</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POSTMARK_AUTH_FROM</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Verified sender address/domain.</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Postmark auth</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POSTMARK_AUTH_MESSAGE_STREAM</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Use the intended authentication message stream.</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Postmark team</w:t>
            </w:r>
          </w:p>
        </w:tc>
        <w:tc>
          <w:tcPr>
            <w:tcW w:type="dxa" w:w="3240"/>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POSTMARK_TEAM_INVITE_TEMPLATE_ID</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Used by mail service; absent from canonical .env.example and SST pass-through.</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Postmark notifications</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POSTMARK_NOTIFICATION_FROM</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Verified notification sender.</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Postmark notifications</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POSTMARK_NOTIFICATION_DEFAULT_TEMPLATE_ID</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Do not depend on the auth OTP template as production fallback.</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Postmark notifications</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POSTMARK_TEMPLATE_*</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Map enabled notification categories to the intended templates.</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Razorpay base</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RAZORPAY_API_KEY_ID</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Subscription and payment operations.</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Razorpay base</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RAZORPAY_API_KEY_SECRET</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Server-side only.</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Razorpay base</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RAZORPAY_WEBHOOK_SECRET</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Base checkout/top-up webhook verification.</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Razorpay frontend</w:t>
            </w:r>
          </w:p>
        </w:tc>
        <w:tc>
          <w:tcPr>
            <w:tcW w:type="dxa" w:w="3240"/>
            <w:vAlign w:val="top"/>
            <w:tcMar>
              <w:top w:w="60" w:type="dxa"/>
              <w:start w:w="85" w:type="dxa"/>
              <w:bottom w:w="60" w:type="dxa"/>
              <w:end w:w="85" w:type="dxa"/>
            </w:tcMar>
          </w:tcPr>
          <w:p>
            <w:pPr>
              <w:widowControl/>
              <w:spacing w:after="0" w:line="240" w:lineRule="auto"/>
            </w:pPr>
            <w:r/>
            <w:r>
              <w:rPr>
                <w:rFonts w:ascii="Aptos" w:hAnsi="Aptos"/>
                <w:b w:val="0"/>
                <w:i w:val="0"/>
                <w:sz w:val="14"/>
              </w:rPr>
              <w:t>VITE_RAZORPAY_KEY_ID</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Frontend public 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Public checkout key only; never expose the secret.</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Brand Return</w:t>
            </w:r>
          </w:p>
        </w:tc>
        <w:tc>
          <w:tcPr>
            <w:tcW w:type="dxa" w:w="3240"/>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RAZORPAY_BRAND_RETURN_WEBHOOK_SECRET</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Present in .env.example; not passed through canonical SST.</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Brand Return</w:t>
            </w:r>
          </w:p>
        </w:tc>
        <w:tc>
          <w:tcPr>
            <w:tcW w:type="dxa" w:w="3240"/>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RAZORPAY_BRAND_RETURN_WEBHOOK_EVENT_MAP</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Present in .env.example; not passed through canonical SST.</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Creator payout</w:t>
            </w:r>
          </w:p>
        </w:tc>
        <w:tc>
          <w:tcPr>
            <w:tcW w:type="dxa" w:w="3240"/>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RAZORPAY_ROUTE_WEBHOOK_SECRET</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secret</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Present in .env.example; not passed through canonical SST.</w:t>
            </w:r>
          </w:p>
        </w:tc>
      </w:tr>
      <w:tr>
        <w:trPr>
          <w:cantSplit/>
        </w:trPr>
        <w:tc>
          <w:tcPr>
            <w:tcW w:type="dxa" w:w="1656"/>
            <w:vAlign w:val="top"/>
            <w:tcMar>
              <w:top w:w="60" w:type="dxa"/>
              <w:start w:w="85" w:type="dxa"/>
              <w:bottom w:w="60" w:type="dxa"/>
              <w:end w:w="85" w:type="dxa"/>
            </w:tcMar>
          </w:tcPr>
          <w:p>
            <w:pPr>
              <w:widowControl/>
              <w:spacing w:after="0" w:line="240" w:lineRule="auto"/>
            </w:pPr>
            <w:r/>
            <w:r>
              <w:rPr>
                <w:rFonts w:ascii="Aptos" w:hAnsi="Aptos"/>
                <w:b w:val="0"/>
                <w:i w:val="0"/>
                <w:sz w:val="14"/>
              </w:rPr>
              <w:t>Creator payout</w:t>
            </w:r>
          </w:p>
        </w:tc>
        <w:tc>
          <w:tcPr>
            <w:tcW w:type="dxa" w:w="3240"/>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RAZORPAY_ROUTE_WEBHOOK_EVENT_MAP</w:t>
            </w:r>
          </w:p>
        </w:tc>
        <w:tc>
          <w:tcPr>
            <w:tcW w:type="dxa" w:w="1728"/>
            <w:vAlign w:val="top"/>
            <w:tcMar>
              <w:top w:w="60" w:type="dxa"/>
              <w:start w:w="85" w:type="dxa"/>
              <w:bottom w:w="60" w:type="dxa"/>
              <w:end w:w="85" w:type="dxa"/>
            </w:tcMar>
          </w:tcPr>
          <w:p>
            <w:pPr>
              <w:widowControl/>
              <w:spacing w:after="0" w:line="240" w:lineRule="auto"/>
            </w:pPr>
            <w:r/>
            <w:r>
              <w:rPr>
                <w:rFonts w:ascii="Aptos" w:hAnsi="Aptos"/>
                <w:b w:val="0"/>
                <w:i w:val="0"/>
                <w:sz w:val="14"/>
              </w:rPr>
              <w:t>Backend config</w:t>
            </w:r>
          </w:p>
        </w:tc>
        <w:tc>
          <w:tcPr>
            <w:tcW w:type="dxa" w:w="3456"/>
            <w:vAlign w:val="top"/>
            <w:tcMar>
              <w:top w:w="60" w:type="dxa"/>
              <w:start w:w="85" w:type="dxa"/>
              <w:bottom w:w="60" w:type="dxa"/>
              <w:end w:w="85" w:type="dxa"/>
            </w:tcMar>
          </w:tcPr>
          <w:p>
            <w:pPr>
              <w:widowControl/>
              <w:spacing w:after="0" w:line="240" w:lineRule="auto"/>
            </w:pPr>
            <w:r/>
            <w:r>
              <w:rPr>
                <w:rFonts w:ascii="Aptos" w:hAnsi="Aptos"/>
                <w:b w:val="0"/>
                <w:i w:val="0"/>
                <w:sz w:val="14"/>
              </w:rPr>
              <w:t>Present in .env.example; not passed through canonical SST.</w:t>
            </w:r>
          </w:p>
        </w:tc>
      </w:tr>
    </w:tbl>
    <w:p>
      <w:pPr>
        <w:spacing w:after="0"/>
      </w:pPr>
    </w:p>
    <w:p>
      <w:pPr>
        <w:keepLines/>
        <w:spacing w:before="60" w:after="120" w:line="250" w:lineRule="auto"/>
        <w:ind w:left="58" w:right="58"/>
        <w:shd w:fill="FFF2CC"/>
        <w:pBdr>
          <w:top w:val="single" w:sz="5" w:space="3" w:color="808080"/>
          <w:left w:val="single" w:sz="5" w:space="3" w:color="808080"/>
          <w:bottom w:val="single" w:sz="5" w:space="3" w:color="808080"/>
          <w:right w:val="single" w:sz="5" w:space="3" w:color="808080"/>
        </w:pBdr>
      </w:pPr>
      <w:r>
        <w:rPr>
          <w:b/>
          <w:i w:val="0"/>
          <w:color w:val="7F6000"/>
        </w:rPr>
        <w:t xml:space="preserve">Bounded infrastructure correction required before enablement: </w:t>
      </w:r>
      <w:r>
        <w:rPr>
          <w:b w:val="0"/>
          <w:i w:val="0"/>
        </w:rPr>
        <w:t>add controlled deployment pass-through for PUBLIC_API_BASE_URL, POSTMARK_TEAM_INVITE_TEMPLATE_ID, and the four specialized Razorpay webhook variables, unless an external deployment layer already injects and documents them. Update .env.example for the two missing non-Razorpay keys. Verify SETTINGS_FIELD_ENCRYPTION_KEY injection.</w:t>
      </w:r>
    </w:p>
    <w:p>
      <w:pPr>
        <w:pStyle w:val="ListBullet"/>
        <w:keepLines/>
        <w:spacing w:after="40" w:line="245" w:lineRule="auto"/>
      </w:pPr>
      <w:r>
        <w:t>Keep all provider secrets server-side. Only VITE_RAZORPAY_KEY_ID is intentionally public.</w:t>
      </w:r>
    </w:p>
    <w:p>
      <w:pPr>
        <w:pStyle w:val="ListBullet"/>
        <w:keepLines/>
        <w:spacing w:after="40" w:line="245" w:lineRule="auto"/>
      </w:pPr>
      <w:r>
        <w:t>Use the established secret store and least-privilege deployment role; do not commit values to Git, Docker images, frontend bundles, logs, or this handoff.</w:t>
      </w:r>
    </w:p>
    <w:p>
      <w:pPr>
        <w:pStyle w:val="ListBullet"/>
        <w:keepLines/>
        <w:spacing w:after="40" w:line="245" w:lineRule="auto"/>
      </w:pPr>
      <w:r>
        <w:t>Record secret presence, owner, environment, last rotation date, and validation result—never the secret value.</w:t>
      </w:r>
    </w:p>
    <w:p>
      <w:pPr>
        <w:pStyle w:val="ListBullet"/>
        <w:keepLines/>
        <w:spacing w:after="40" w:line="245" w:lineRule="auto"/>
      </w:pPr>
      <w:r>
        <w:t>Treat encryption-key rotation as a migration with decrypt/re-encrypt and rollback planning, not an ordinary secret replacement.</w:t>
      </w:r>
    </w:p>
    <w:p>
      <w:pPr>
        <w:pStyle w:val="Heading1"/>
        <w:keepNext/>
        <w:keepLines/>
        <w:spacing w:before="360" w:after="80"/>
      </w:pPr>
      <w:r>
        <w:t>6. Provider surface separation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944"/>
            <w:shd w:fill="D9EAF7"/>
            <w:vAlign w:val="center"/>
            <w:tcMar>
              <w:top w:w="60" w:type="dxa"/>
              <w:start w:w="85" w:type="dxa"/>
              <w:bottom w:w="60" w:type="dxa"/>
              <w:end w:w="85" w:type="dxa"/>
            </w:tcMar>
          </w:tcPr>
          <w:p>
            <w:pPr>
              <w:widowControl/>
              <w:spacing w:after="0" w:line="240" w:lineRule="auto"/>
            </w:pPr>
            <w:r/>
            <w:r>
              <w:rPr>
                <w:rFonts w:ascii="Aptos" w:hAnsi="Aptos"/>
                <w:b/>
                <w:i w:val="0"/>
                <w:sz w:val="14"/>
              </w:rPr>
              <w:t>Provider surface</w:t>
            </w:r>
          </w:p>
        </w:tc>
        <w:tc>
          <w:tcPr>
            <w:tcW w:type="dxa" w:w="2664"/>
            <w:shd w:fill="D9EAF7"/>
            <w:vAlign w:val="center"/>
            <w:tcMar>
              <w:top w:w="60" w:type="dxa"/>
              <w:start w:w="85" w:type="dxa"/>
              <w:bottom w:w="60" w:type="dxa"/>
              <w:end w:w="85" w:type="dxa"/>
            </w:tcMar>
          </w:tcPr>
          <w:p>
            <w:pPr>
              <w:widowControl/>
              <w:spacing w:after="0" w:line="240" w:lineRule="auto"/>
            </w:pPr>
            <w:r/>
            <w:r>
              <w:rPr>
                <w:rFonts w:ascii="Aptos" w:hAnsi="Aptos"/>
                <w:b/>
                <w:i w:val="0"/>
                <w:sz w:val="14"/>
              </w:rPr>
              <w:t>Code state</w:t>
            </w:r>
          </w:p>
        </w:tc>
        <w:tc>
          <w:tcPr>
            <w:tcW w:type="dxa" w:w="3672"/>
            <w:shd w:fill="D9EAF7"/>
            <w:vAlign w:val="center"/>
            <w:tcMar>
              <w:top w:w="60" w:type="dxa"/>
              <w:start w:w="85" w:type="dxa"/>
              <w:bottom w:w="60" w:type="dxa"/>
              <w:end w:w="85" w:type="dxa"/>
            </w:tcMar>
          </w:tcPr>
          <w:p>
            <w:pPr>
              <w:widowControl/>
              <w:spacing w:after="0" w:line="240" w:lineRule="auto"/>
            </w:pPr>
            <w:r/>
            <w:r>
              <w:rPr>
                <w:rFonts w:ascii="Aptos" w:hAnsi="Aptos"/>
                <w:b/>
                <w:i w:val="0"/>
                <w:sz w:val="14"/>
              </w:rPr>
              <w:t>Open production work</w:t>
            </w:r>
          </w:p>
        </w:tc>
        <w:tc>
          <w:tcPr>
            <w:tcW w:type="dxa" w:w="1800"/>
            <w:shd w:fill="D9EAF7"/>
            <w:vAlign w:val="center"/>
            <w:tcMar>
              <w:top w:w="60" w:type="dxa"/>
              <w:start w:w="85" w:type="dxa"/>
              <w:bottom w:w="60" w:type="dxa"/>
              <w:end w:w="85" w:type="dxa"/>
            </w:tcMar>
          </w:tcPr>
          <w:p>
            <w:pPr>
              <w:widowControl/>
              <w:spacing w:after="0" w:line="240" w:lineRule="auto"/>
            </w:pPr>
            <w:r/>
            <w:r>
              <w:rPr>
                <w:rFonts w:ascii="Aptos" w:hAnsi="Aptos"/>
                <w:b/>
                <w:i w:val="0"/>
                <w:sz w:val="14"/>
              </w:rPr>
              <w:t>Enablement decision</w:t>
            </w:r>
          </w:p>
        </w:tc>
      </w:tr>
      <w:tr>
        <w:trPr>
          <w:cantSplit/>
        </w:trPr>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Founder’s Beta subscription</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4"/>
              </w:rPr>
              <w:t>Implemented</w:t>
            </w:r>
          </w:p>
        </w:tc>
        <w:tc>
          <w:tcPr>
            <w:tcW w:type="dxa" w:w="3672"/>
            <w:vAlign w:val="top"/>
            <w:tcMar>
              <w:top w:w="60" w:type="dxa"/>
              <w:start w:w="85" w:type="dxa"/>
              <w:bottom w:w="60" w:type="dxa"/>
              <w:end w:w="85" w:type="dxa"/>
            </w:tcMar>
          </w:tcPr>
          <w:p>
            <w:pPr>
              <w:widowControl/>
              <w:spacing w:after="0" w:line="240" w:lineRule="auto"/>
            </w:pPr>
            <w:r/>
            <w:r>
              <w:rPr>
                <w:rFonts w:ascii="Aptos" w:hAnsi="Aptos"/>
                <w:b w:val="0"/>
                <w:i w:val="0"/>
                <w:sz w:val="14"/>
              </w:rPr>
              <w:t>Credentials, plan IDs/pricing, checkout, base webhook, invoice/subscription lifecycle</w:t>
            </w:r>
          </w:p>
        </w:tc>
        <w:tc>
          <w:tcPr>
            <w:tcW w:type="dxa" w:w="1800"/>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May enable only after deployment verification</w:t>
            </w:r>
          </w:p>
        </w:tc>
      </w:tr>
      <w:tr>
        <w:trPr>
          <w:cantSplit/>
        </w:trPr>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Vault Add Funds</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4"/>
              </w:rPr>
              <w:t>Implemented</w:t>
            </w:r>
          </w:p>
        </w:tc>
        <w:tc>
          <w:tcPr>
            <w:tcW w:type="dxa" w:w="3672"/>
            <w:vAlign w:val="top"/>
            <w:tcMar>
              <w:top w:w="60" w:type="dxa"/>
              <w:start w:w="85" w:type="dxa"/>
              <w:bottom w:w="60" w:type="dxa"/>
              <w:end w:w="85" w:type="dxa"/>
            </w:tcMar>
          </w:tcPr>
          <w:p>
            <w:pPr>
              <w:widowControl/>
              <w:spacing w:after="0" w:line="240" w:lineRule="auto"/>
            </w:pPr>
            <w:r/>
            <w:r>
              <w:rPr>
                <w:rFonts w:ascii="Aptos" w:hAnsi="Aptos"/>
                <w:b w:val="0"/>
                <w:i w:val="0"/>
                <w:sz w:val="14"/>
              </w:rPr>
              <w:t>Base credentials, VITE key, top-up intent, checkout, webhook, authoritative pending/credit flow</w:t>
            </w:r>
          </w:p>
        </w:tc>
        <w:tc>
          <w:tcPr>
            <w:tcW w:type="dxa" w:w="1800"/>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May enable only after controlled test</w:t>
            </w:r>
          </w:p>
        </w:tc>
      </w:tr>
      <w:tr>
        <w:trPr>
          <w:cantSplit/>
        </w:trPr>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BS-04 Brand Return</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4"/>
              </w:rPr>
              <w:t>Domain/state/idempotency/webhook contract implemented; live provider adapter absent</w:t>
            </w:r>
          </w:p>
        </w:tc>
        <w:tc>
          <w:tcPr>
            <w:tcW w:type="dxa" w:w="3672"/>
            <w:vAlign w:val="top"/>
            <w:tcMar>
              <w:top w:w="60" w:type="dxa"/>
              <w:start w:w="85" w:type="dxa"/>
              <w:bottom w:w="60" w:type="dxa"/>
              <w:end w:w="85" w:type="dxa"/>
            </w:tcMar>
          </w:tcPr>
          <w:p>
            <w:pPr>
              <w:widowControl/>
              <w:spacing w:after="0" w:line="240" w:lineRule="auto"/>
            </w:pPr>
            <w:r/>
            <w:r>
              <w:rPr>
                <w:rFonts w:ascii="Aptos" w:hAnsi="Aptos"/>
                <w:b w:val="0"/>
                <w:i w:val="0"/>
                <w:sz w:val="14"/>
              </w:rPr>
              <w:t>Adapter, DI binding, source capability, webhook mapping, reconciliation, controlled provider returns</w:t>
            </w:r>
          </w:p>
        </w:tc>
        <w:tc>
          <w:tcPr>
            <w:tcW w:type="dxa" w:w="1800"/>
            <w:vAlign w:val="top"/>
            <w:tcMar>
              <w:top w:w="60" w:type="dxa"/>
              <w:start w:w="85" w:type="dxa"/>
              <w:bottom w:w="60" w:type="dxa"/>
              <w:end w:w="85" w:type="dxa"/>
            </w:tcMar>
            <w:shd w:fill="FCE4D6"/>
          </w:tcPr>
          <w:p>
            <w:pPr>
              <w:widowControl/>
              <w:spacing w:after="0" w:line="240" w:lineRule="auto"/>
            </w:pPr>
            <w:r/>
            <w:r>
              <w:rPr>
                <w:rFonts w:ascii="Aptos" w:hAnsi="Aptos"/>
                <w:b w:val="0"/>
                <w:i w:val="0"/>
                <w:sz w:val="14"/>
              </w:rPr>
              <w:t>MUST REMAIN FAIL-CLOSED</w:t>
            </w:r>
          </w:p>
        </w:tc>
      </w:tr>
      <w:tr>
        <w:trPr>
          <w:cantSplit/>
        </w:trPr>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BS-09 creator payout</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4"/>
              </w:rPr>
              <w:t>Domain/state/reconciliation contract implemented; live Route adapter absent</w:t>
            </w:r>
          </w:p>
        </w:tc>
        <w:tc>
          <w:tcPr>
            <w:tcW w:type="dxa" w:w="3672"/>
            <w:vAlign w:val="top"/>
            <w:tcMar>
              <w:top w:w="60" w:type="dxa"/>
              <w:start w:w="85" w:type="dxa"/>
              <w:bottom w:w="60" w:type="dxa"/>
              <w:end w:w="85" w:type="dxa"/>
            </w:tcMar>
          </w:tcPr>
          <w:p>
            <w:pPr>
              <w:widowControl/>
              <w:spacing w:after="0" w:line="240" w:lineRule="auto"/>
            </w:pPr>
            <w:r/>
            <w:r>
              <w:rPr>
                <w:rFonts w:ascii="Aptos" w:hAnsi="Aptos"/>
                <w:b w:val="0"/>
                <w:i w:val="0"/>
                <w:sz w:val="14"/>
              </w:rPr>
              <w:t>Route entitlement, linked accounts, adapter, transfers/holds/releases/reversals/settlement, reconciliation</w:t>
            </w:r>
          </w:p>
        </w:tc>
        <w:tc>
          <w:tcPr>
            <w:tcW w:type="dxa" w:w="1800"/>
            <w:vAlign w:val="top"/>
            <w:tcMar>
              <w:top w:w="60" w:type="dxa"/>
              <w:start w:w="85" w:type="dxa"/>
              <w:bottom w:w="60" w:type="dxa"/>
              <w:end w:w="85" w:type="dxa"/>
            </w:tcMar>
            <w:shd w:fill="FCE4D6"/>
          </w:tcPr>
          <w:p>
            <w:pPr>
              <w:widowControl/>
              <w:spacing w:after="0" w:line="240" w:lineRule="auto"/>
            </w:pPr>
            <w:r/>
            <w:r>
              <w:rPr>
                <w:rFonts w:ascii="Aptos" w:hAnsi="Aptos"/>
                <w:b w:val="0"/>
                <w:i w:val="0"/>
                <w:sz w:val="14"/>
              </w:rPr>
              <w:t>MUST REMAIN FAIL-CLOSED</w:t>
            </w:r>
          </w:p>
        </w:tc>
      </w:tr>
      <w:tr>
        <w:trPr>
          <w:cantSplit/>
        </w:trPr>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Postmark auth</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4"/>
              </w:rPr>
              <w:t>Send paths implemented</w:t>
            </w:r>
          </w:p>
        </w:tc>
        <w:tc>
          <w:tcPr>
            <w:tcW w:type="dxa" w:w="3672"/>
            <w:vAlign w:val="top"/>
            <w:tcMar>
              <w:top w:w="60" w:type="dxa"/>
              <w:start w:w="85" w:type="dxa"/>
              <w:bottom w:w="60" w:type="dxa"/>
              <w:end w:w="85" w:type="dxa"/>
            </w:tcMar>
          </w:tcPr>
          <w:p>
            <w:pPr>
              <w:widowControl/>
              <w:spacing w:after="0" w:line="240" w:lineRule="auto"/>
            </w:pPr>
            <w:r/>
            <w:r>
              <w:rPr>
                <w:rFonts w:ascii="Aptos" w:hAnsi="Aptos"/>
                <w:b w:val="0"/>
                <w:i w:val="0"/>
                <w:sz w:val="14"/>
              </w:rPr>
              <w:t>Real OTP/reset delivery, MessageID persistence, provider event/log evidence</w:t>
            </w:r>
          </w:p>
        </w:tc>
        <w:tc>
          <w:tcPr>
            <w:tcW w:type="dxa" w:w="1800"/>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Mandatory mail gate</w:t>
            </w:r>
          </w:p>
        </w:tc>
      </w:tr>
      <w:tr>
        <w:trPr>
          <w:cantSplit/>
        </w:trPr>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Postmark team invite</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4"/>
              </w:rPr>
              <w:t>Send path implemented; template/config debt</w:t>
            </w:r>
          </w:p>
        </w:tc>
        <w:tc>
          <w:tcPr>
            <w:tcW w:type="dxa" w:w="3672"/>
            <w:vAlign w:val="top"/>
            <w:tcMar>
              <w:top w:w="60" w:type="dxa"/>
              <w:start w:w="85" w:type="dxa"/>
              <w:bottom w:w="60" w:type="dxa"/>
              <w:end w:w="85" w:type="dxa"/>
            </w:tcMar>
          </w:tcPr>
          <w:p>
            <w:pPr>
              <w:widowControl/>
              <w:spacing w:after="0" w:line="240" w:lineRule="auto"/>
            </w:pPr>
            <w:r/>
            <w:r>
              <w:rPr>
                <w:rFonts w:ascii="Aptos" w:hAnsi="Aptos"/>
                <w:b w:val="0"/>
                <w:i w:val="0"/>
                <w:sz w:val="14"/>
              </w:rPr>
              <w:t>Template ID wiring, model alignment, URL/expiry/terminal-state test</w:t>
            </w:r>
          </w:p>
        </w:tc>
        <w:tc>
          <w:tcPr>
            <w:tcW w:type="dxa" w:w="1800"/>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Invite email gate</w:t>
            </w:r>
          </w:p>
        </w:tc>
      </w:tr>
      <w:tr>
        <w:trPr>
          <w:cantSplit/>
        </w:trPr>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Meta Instagram</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4"/>
              </w:rPr>
              <w:t>First-party code contract implemented</w:t>
            </w:r>
          </w:p>
        </w:tc>
        <w:tc>
          <w:tcPr>
            <w:tcW w:type="dxa" w:w="3672"/>
            <w:vAlign w:val="top"/>
            <w:tcMar>
              <w:top w:w="60" w:type="dxa"/>
              <w:start w:w="85" w:type="dxa"/>
              <w:bottom w:w="60" w:type="dxa"/>
              <w:end w:w="85" w:type="dxa"/>
            </w:tcMar>
          </w:tcPr>
          <w:p>
            <w:pPr>
              <w:widowControl/>
              <w:spacing w:after="0" w:line="240" w:lineRule="auto"/>
            </w:pPr>
            <w:r/>
            <w:r>
              <w:rPr>
                <w:rFonts w:ascii="Aptos" w:hAnsi="Aptos"/>
                <w:b w:val="0"/>
                <w:i w:val="0"/>
                <w:sz w:val="14"/>
              </w:rPr>
              <w:t>App configuration, permissions, callbacks, exact redirects, evidence, live lifecycle checks</w:t>
            </w:r>
          </w:p>
        </w:tc>
        <w:tc>
          <w:tcPr>
            <w:tcW w:type="dxa" w:w="1800"/>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OAuth gate</w:t>
            </w:r>
          </w:p>
        </w:tc>
      </w:tr>
    </w:tbl>
    <w:p>
      <w:pPr>
        <w:spacing w:after="0"/>
      </w:pPr>
    </w:p>
    <w:p>
      <w:pPr>
        <w:pStyle w:val="Heading1"/>
        <w:keepNext/>
        <w:keepLines/>
        <w:spacing w:before="360" w:after="80"/>
      </w:pPr>
      <w:r>
        <w:t>7. Provider-specific completion gates</w:t>
      </w:r>
    </w:p>
    <w:p>
      <w:pPr>
        <w:pStyle w:val="Heading2"/>
        <w:keepNext/>
        <w:keepLines/>
        <w:spacing w:before="180" w:after="60"/>
      </w:pPr>
      <w:r>
        <w:t>7.1 Meta / Instagram</w:t>
      </w:r>
    </w:p>
    <w:p>
      <w:pPr>
        <w:spacing w:before="0" w:after="60" w:line="250" w:lineRule="auto"/>
      </w:pPr>
      <w:r>
        <w:rPr>
          <w:i w:val="0"/>
        </w:rPr>
        <w:t>Canonical first-party connection uses Instagram Login with scopes instagram_business_basic and instagram_business_manage_insights.</w:t>
      </w:r>
    </w:p>
    <w:p>
      <w:pPr>
        <w:keepLines/>
        <w:spacing w:before="60" w:after="120" w:line="250" w:lineRule="auto"/>
        <w:ind w:left="58" w:right="58"/>
        <w:shd w:fill="EAF2F8"/>
        <w:pBdr>
          <w:top w:val="single" w:sz="5" w:space="3" w:color="808080"/>
          <w:left w:val="single" w:sz="5" w:space="3" w:color="808080"/>
          <w:bottom w:val="single" w:sz="5" w:space="3" w:color="808080"/>
          <w:right w:val="single" w:sz="5" w:space="3" w:color="808080"/>
        </w:pBdr>
      </w:pPr>
      <w:r>
        <w:rPr>
          <w:b/>
          <w:i w:val="0"/>
          <w:color w:val="365F91"/>
        </w:rPr>
        <w:t xml:space="preserve">Exact OAuth redirect URIs generated by the frontend: </w:t>
      </w:r>
      <w:r>
        <w:rPr>
          <w:b w:val="0"/>
          <w:i w:val="0"/>
        </w:rPr>
        <w:t>register the production and non-production origins used for each path exactly; confirm Meta’s exact query-string matching policy.</w:t>
      </w:r>
    </w:p>
    <w:p>
      <w:pPr>
        <w:keepLines/>
        <w:spacing w:before="40" w:after="100" w:line="240" w:lineRule="auto"/>
        <w:ind w:left="58" w:right="58"/>
        <w:shd w:fill="EAF2F8"/>
        <w:pBdr>
          <w:top w:val="single" w:sz="5" w:space="3" w:color="808080"/>
          <w:left w:val="single" w:sz="5" w:space="3" w:color="808080"/>
          <w:bottom w:val="single" w:sz="5" w:space="3" w:color="808080"/>
          <w:right w:val="single" w:sz="5" w:space="3" w:color="808080"/>
        </w:pBdr>
      </w:pPr>
      <w:r>
        <w:rPr>
          <w:rFonts w:ascii="Consolas" w:hAnsi="Consolas"/>
          <w:sz w:val="17"/>
        </w:rPr>
        <w:t>https://&lt;dashboard-origin&gt;/brand/settings/integrations</w:t>
        <w:br/>
      </w:r>
      <w:r>
        <w:rPr>
          <w:rFonts w:ascii="Consolas" w:hAnsi="Consolas"/>
          <w:sz w:val="17"/>
        </w:rPr>
        <w:t>https://&lt;dashboard-origin&gt;/brand/onboarding/social-sync</w:t>
        <w:br/>
      </w:r>
      <w:r>
        <w:rPr>
          <w:rFonts w:ascii="Consolas" w:hAnsi="Consolas"/>
          <w:sz w:val="17"/>
        </w:rPr>
        <w:t>https://&lt;dashboard-origin&gt;/brand/onboarding/social-sync?context=agent</w:t>
      </w:r>
    </w:p>
    <w:p>
      <w:pPr>
        <w:spacing w:before="0" w:after="60" w:line="250" w:lineRule="auto"/>
      </w:pPr>
      <w:r>
        <w:rPr>
          <w:i w:val="0"/>
        </w:rPr>
        <w:t>Canonical data-deletion callbacks:</w:t>
      </w:r>
    </w:p>
    <w:p>
      <w:pPr>
        <w:keepLines/>
        <w:spacing w:before="40" w:after="100" w:line="240" w:lineRule="auto"/>
        <w:ind w:left="58" w:right="58"/>
        <w:shd w:fill="EAF2F8"/>
        <w:pBdr>
          <w:top w:val="single" w:sz="5" w:space="3" w:color="808080"/>
          <w:left w:val="single" w:sz="5" w:space="3" w:color="808080"/>
          <w:bottom w:val="single" w:sz="5" w:space="3" w:color="808080"/>
          <w:right w:val="single" w:sz="5" w:space="3" w:color="808080"/>
        </w:pBdr>
      </w:pPr>
      <w:r>
        <w:rPr>
          <w:rFonts w:ascii="Consolas" w:hAnsi="Consolas"/>
          <w:sz w:val="17"/>
        </w:rPr>
        <w:t>POST https://&lt;api-origin&gt;/api/v1/meta/instagram/data-deletion</w:t>
        <w:br/>
      </w:r>
      <w:r>
        <w:rPr>
          <w:rFonts w:ascii="Consolas" w:hAnsi="Consolas"/>
          <w:sz w:val="17"/>
        </w:rPr>
        <w:t>GET  https://&lt;api-origin&gt;/api/v1/meta/instagram/data-deletion/status/:confirmationCode</w:t>
      </w:r>
    </w:p>
    <w:p>
      <w:pPr>
        <w:pStyle w:val="ListBullet"/>
        <w:keepLines/>
        <w:spacing w:after="40" w:line="245" w:lineRule="auto"/>
      </w:pPr>
      <w:r>
        <w:t>Verify INSTAGRAM_APP_SECRET HMAC-SHA256 signed_request handling with a controlled provider callback.</w:t>
      </w:r>
    </w:p>
    <w:p>
      <w:pPr>
        <w:pStyle w:val="ListBullet"/>
        <w:keepLines/>
        <w:spacing w:after="40" w:line="245" w:lineRule="auto"/>
      </w:pPr>
      <w:r>
        <w:t>Set and wire PUBLIC_API_BASE_URL so the returned status URL is public HTTPS, not localhost.</w:t>
      </w:r>
    </w:p>
    <w:p>
      <w:pPr>
        <w:pStyle w:val="ListBullet"/>
        <w:keepLines/>
        <w:spacing w:after="40" w:line="245" w:lineRule="auto"/>
      </w:pPr>
      <w:r>
        <w:t>No canonical deauthorization callback endpoint was found at the accepted backend SHA. Resolve this explicitly as NOT_REQUIRED with current Meta product evidence, or implement one bounded backend callback before configuring the field. Do not leave the decision as ‘where required.’</w:t>
      </w:r>
    </w:p>
    <w:p>
      <w:pPr>
        <w:pStyle w:val="ListBullet"/>
        <w:keepLines/>
        <w:spacing w:after="40" w:line="245" w:lineRule="auto"/>
      </w:pPr>
      <w:r>
        <w:t>Record nonsecret app ID, audit date, app mode, products/use cases, exact permissions/access level, redirect/callback configuration, and screenshots or ticket links.</w:t>
      </w:r>
    </w:p>
    <w:p>
      <w:pPr>
        <w:pStyle w:val="ListBullet"/>
        <w:keepLines/>
        <w:spacing w:after="40" w:line="245" w:lineRule="auto"/>
      </w:pPr>
      <w:r>
        <w:t>After configuration, test Owner connect, same-ID reconnect, controlled account change, Finance read-only, Campaign same-ID reconnect, disconnect, and data deletion/status.</w:t>
      </w:r>
    </w:p>
    <w:p>
      <w:pPr>
        <w:keepLines/>
        <w:spacing w:before="60" w:after="120" w:line="250" w:lineRule="auto"/>
        <w:ind w:left="58" w:right="58"/>
        <w:shd w:fill="FFF2CC"/>
        <w:pBdr>
          <w:top w:val="single" w:sz="5" w:space="3" w:color="808080"/>
          <w:left w:val="single" w:sz="5" w:space="3" w:color="808080"/>
          <w:bottom w:val="single" w:sz="5" w:space="3" w:color="808080"/>
          <w:right w:val="single" w:sz="5" w:space="3" w:color="808080"/>
        </w:pBdr>
      </w:pPr>
      <w:r>
        <w:rPr>
          <w:b/>
          <w:i w:val="0"/>
          <w:color w:val="7F6000"/>
        </w:rPr>
        <w:t xml:space="preserve">Meta acceptance: </w:t>
      </w:r>
      <w:r>
        <w:rPr>
          <w:b w:val="0"/>
          <w:i w:val="0"/>
        </w:rPr>
        <w:t>PASS only when exact redirects/callbacks are configured, permissions are active at the required access level, PUBLIC_API_BASE_URL is correct, the deauthorization decision is recorded, and controlled lifecycle tests produce retained evidence.</w:t>
      </w:r>
    </w:p>
    <w:p>
      <w:pPr>
        <w:pStyle w:val="Heading2"/>
        <w:keepNext/>
        <w:keepLines/>
        <w:spacing w:before="180" w:after="60"/>
      </w:pPr>
      <w:r>
        <w:t>7.2 Postmark — authentication and security mail</w:t>
      </w:r>
    </w:p>
    <w:p>
      <w:pPr>
        <w:pStyle w:val="ListBullet"/>
        <w:keepLines/>
        <w:spacing w:after="40" w:line="245" w:lineRule="auto"/>
      </w:pPr>
      <w:r>
        <w:t>Verify server token, sender identity/domain, POSTMARK_AUTH_FROM, and the intended auth message stream.</w:t>
      </w:r>
    </w:p>
    <w:p>
      <w:pPr>
        <w:pStyle w:val="ListBullet"/>
        <w:keepLines/>
        <w:spacing w:after="40" w:line="245" w:lineRule="auto"/>
      </w:pPr>
      <w:r>
        <w:t>Verify exact Email OTP and password-reset template IDs and models in the target Postmark server.</w:t>
      </w:r>
    </w:p>
    <w:p>
      <w:pPr>
        <w:pStyle w:val="ListBullet"/>
        <w:keepLines/>
        <w:spacing w:after="40" w:line="245" w:lineRule="auto"/>
      </w:pPr>
      <w:r>
        <w:t>Run at least one representative Email OTP and one password-reset send in a controlled environment.</w:t>
      </w:r>
    </w:p>
    <w:p>
      <w:pPr>
        <w:pStyle w:val="ListBullet"/>
        <w:keepLines/>
        <w:spacing w:after="40" w:line="245" w:lineRule="auto"/>
      </w:pPr>
      <w:r>
        <w:t>Acceptance evidence is the persisted Postmark MessageID plus provider delivered/bounced event or provider activity log for each representative flow.</w:t>
      </w:r>
    </w:p>
    <w:p>
      <w:pPr>
        <w:pStyle w:val="ListBullet"/>
        <w:keepLines/>
        <w:spacing w:after="40" w:line="245" w:lineRule="auto"/>
      </w:pPr>
      <w:r>
        <w:t>Confirm optional notification preferences cannot suppress mandatory security/account/service mail.</w:t>
      </w:r>
    </w:p>
    <w:p>
      <w:pPr>
        <w:keepLines/>
        <w:spacing w:before="60" w:after="120" w:line="250" w:lineRule="auto"/>
        <w:ind w:left="58" w:right="58"/>
        <w:shd w:fill="FCE4D6"/>
        <w:pBdr>
          <w:top w:val="single" w:sz="5" w:space="3" w:color="808080"/>
          <w:left w:val="single" w:sz="5" w:space="3" w:color="808080"/>
          <w:bottom w:val="single" w:sz="5" w:space="3" w:color="808080"/>
          <w:right w:val="single" w:sz="5" w:space="3" w:color="808080"/>
        </w:pBdr>
      </w:pPr>
      <w:r>
        <w:rPr>
          <w:b/>
          <w:i w:val="0"/>
          <w:color w:val="9C0006"/>
        </w:rPr>
        <w:t xml:space="preserve">Startup warning: </w:t>
      </w:r>
      <w:r>
        <w:rPr>
          <w:b w:val="0"/>
          <w:i w:val="0"/>
        </w:rPr>
        <w:t>the backend MailModule validates POSTMARK_SERVER_TOKEN, POSTMARK_AUTH_OTP_TEMPLATE_ID, and POSTMARK_PASSWORD_RESET_TEMPLATE_ID; missing or invalid required values may fail startup.</w:t>
      </w:r>
    </w:p>
    <w:p>
      <w:pPr>
        <w:pStyle w:val="Heading2"/>
        <w:keepNext/>
        <w:keepLines/>
        <w:spacing w:before="180" w:after="60"/>
      </w:pPr>
      <w:r>
        <w:t>7.3 Postmark — Team invitation template</w:t>
      </w:r>
    </w:p>
    <w:p>
      <w:pPr>
        <w:spacing w:before="0" w:after="60" w:line="250" w:lineRule="auto"/>
      </w:pPr>
      <w:r>
        <w:rPr>
          <w:i w:val="0"/>
        </w:rPr>
        <w:t>Wire POSTMARK_TEAM_INVITE_TEMPLATE_ID and APP_FRONTEND_URL. Align the live template to this exact model:</w:t>
      </w:r>
    </w:p>
    <w:p>
      <w:pPr>
        <w:keepLines/>
        <w:spacing w:before="40" w:after="100" w:line="240" w:lineRule="auto"/>
        <w:ind w:left="58" w:right="58"/>
        <w:shd w:fill="EAF2F8"/>
        <w:pBdr>
          <w:top w:val="single" w:sz="5" w:space="3" w:color="808080"/>
          <w:left w:val="single" w:sz="5" w:space="3" w:color="808080"/>
          <w:bottom w:val="single" w:sz="5" w:space="3" w:color="808080"/>
          <w:right w:val="single" w:sz="5" w:space="3" w:color="808080"/>
        </w:pBdr>
      </w:pPr>
      <w:r>
        <w:rPr>
          <w:rFonts w:ascii="Consolas" w:hAnsi="Consolas"/>
          <w:sz w:val="17"/>
        </w:rPr>
        <w:t>brand_name · invited_role · expires_at · acceptance_url</w:t>
        <w:br/>
      </w:r>
      <w:r>
        <w:rPr>
          <w:rFonts w:ascii="Consolas" w:hAnsi="Consolas"/>
          <w:sz w:val="17"/>
        </w:rPr>
        <w:t>acceptance route: /brand/team-invitations/accept#token=&lt;bearer&gt;</w:t>
      </w:r>
    </w:p>
    <w:p>
      <w:pPr>
        <w:pStyle w:val="ListBullet"/>
        <w:keepLines/>
        <w:spacing w:after="40" w:line="245" w:lineRule="auto"/>
      </w:pPr>
      <w:r>
        <w:t>Preserve fragment-based bearer placement and link/open tracking disabled for the invitation link.</w:t>
      </w:r>
    </w:p>
    <w:p>
      <w:pPr>
        <w:pStyle w:val="ListBullet"/>
        <w:keepLines/>
        <w:spacing w:after="40" w:line="245" w:lineRule="auto"/>
      </w:pPr>
      <w:r>
        <w:t>Run a controlled invite and validate brand/role copy, URL shape, seven-day expiry, consumed state, and terminal-state messaging.</w:t>
      </w:r>
    </w:p>
    <w:p>
      <w:pPr>
        <w:pStyle w:val="ListBullet"/>
        <w:keepLines/>
        <w:spacing w:after="40" w:line="245" w:lineRule="auto"/>
      </w:pPr>
      <w:r>
        <w:t>Do not change seat policy, role authority, invitation authentication, or expiry to match an old template.</w:t>
      </w:r>
    </w:p>
    <w:p>
      <w:pPr>
        <w:pStyle w:val="ListBullet"/>
        <w:keepLines/>
        <w:spacing w:after="40" w:line="245" w:lineRule="auto"/>
      </w:pPr>
      <w:r>
        <w:t>Configure notification sender/default/category templates separately; do not use the authentication OTP template as the production notification fallback.</w:t>
      </w:r>
    </w:p>
    <w:p>
      <w:pPr>
        <w:pStyle w:val="Heading2"/>
        <w:keepNext/>
        <w:keepLines/>
        <w:spacing w:before="180" w:after="60"/>
      </w:pPr>
      <w:r>
        <w:t>7.4 Razorpay — subscription and vault Add Funds</w:t>
      </w:r>
    </w:p>
    <w:p>
      <w:pPr>
        <w:pStyle w:val="ListBullet"/>
        <w:keepLines/>
        <w:spacing w:after="40" w:line="245" w:lineRule="auto"/>
      </w:pPr>
      <w:r>
        <w:t>Confirm test/live account selection, key pair, public Vite key, plan identifiers/pricing, and base webhook secret.</w:t>
      </w:r>
    </w:p>
    <w:p>
      <w:pPr>
        <w:pStyle w:val="ListBullet"/>
        <w:keepLines/>
        <w:spacing w:after="40" w:line="245" w:lineRule="auto"/>
      </w:pPr>
      <w:r>
        <w:t>Verify Founder’s Beta checkout, trial rules, successful activation, failed/past-due lifecycle, invoice visibility, cancellation scheduling, and idempotency.</w:t>
      </w:r>
    </w:p>
    <w:p>
      <w:pPr>
        <w:pStyle w:val="ListBullet"/>
        <w:keepLines/>
        <w:spacing w:after="40" w:line="245" w:lineRule="auto"/>
      </w:pPr>
      <w:r>
        <w:t>Verify POST /api/v1/escrow/topup-intent and safe test checkout. The vault must remain unchanged until authoritative backend/provider confirmation.</w:t>
      </w:r>
    </w:p>
    <w:p>
      <w:pPr>
        <w:pStyle w:val="ListBullet"/>
        <w:keepLines/>
        <w:spacing w:after="40" w:line="245" w:lineRule="auto"/>
      </w:pPr>
      <w:r>
        <w:t>Validate webhook signature, replay handling, event mapping, reconciliation, duplicate delivery, unknown-event behavior, and observability.</w:t>
      </w:r>
    </w:p>
    <w:p>
      <w:pPr>
        <w:pStyle w:val="Heading2"/>
        <w:keepNext/>
        <w:keepLines/>
        <w:spacing w:before="180" w:after="60"/>
      </w:pPr>
      <w:r>
        <w:t>7.5 Razorpay — BS-04 Brand Return</w:t>
      </w:r>
    </w:p>
    <w:p>
      <w:pPr>
        <w:keepLines/>
        <w:spacing w:before="60" w:after="120" w:line="250" w:lineRule="auto"/>
        <w:ind w:left="58" w:right="58"/>
        <w:shd w:fill="FCE4D6"/>
        <w:pBdr>
          <w:top w:val="single" w:sz="5" w:space="3" w:color="808080"/>
          <w:left w:val="single" w:sz="5" w:space="3" w:color="808080"/>
          <w:bottom w:val="single" w:sz="5" w:space="3" w:color="808080"/>
          <w:right w:val="single" w:sz="5" w:space="3" w:color="808080"/>
        </w:pBdr>
      </w:pPr>
      <w:r>
        <w:rPr>
          <w:b/>
          <w:i w:val="0"/>
          <w:color w:val="9C0006"/>
        </w:rPr>
        <w:t xml:space="preserve">Current code state: </w:t>
      </w:r>
      <w:r>
        <w:rPr>
          <w:b w:val="0"/>
          <w:i w:val="0"/>
        </w:rPr>
        <w:t>the domain/state/idempotency/webhook contract is implemented, but live Razorpay refund execution is not. BrandReturnRefundProvider is bound to FailClosedBrandReturnRefundProvider, whose capability query returns none and whose execution rejects. This is a deliberate runtime NO-GO.</w:t>
      </w:r>
    </w:p>
    <w:p>
      <w:pPr>
        <w:keepLines/>
        <w:spacing w:before="40" w:after="100" w:line="240" w:lineRule="auto"/>
        <w:ind w:left="58" w:right="58"/>
        <w:shd w:fill="EAF2F8"/>
        <w:pBdr>
          <w:top w:val="single" w:sz="5" w:space="3" w:color="808080"/>
          <w:left w:val="single" w:sz="5" w:space="3" w:color="808080"/>
          <w:bottom w:val="single" w:sz="5" w:space="3" w:color="808080"/>
          <w:right w:val="single" w:sz="5" w:space="3" w:color="808080"/>
        </w:pBdr>
      </w:pPr>
      <w:r>
        <w:rPr>
          <w:rFonts w:ascii="Consolas" w:hAnsi="Consolas"/>
          <w:sz w:val="17"/>
        </w:rPr>
        <w:t>POST /api/v1/webhooks/escrow/brand-returns</w:t>
        <w:br/>
      </w:r>
      <w:r>
        <w:rPr>
          <w:rFonts w:ascii="Consolas" w:hAnsi="Consolas"/>
          <w:sz w:val="17"/>
        </w:rPr>
        <w:t>RAZORPAY_BRAND_RETURN_WEBHOOK_SECRET</w:t>
        <w:br/>
      </w:r>
      <w:r>
        <w:rPr>
          <w:rFonts w:ascii="Consolas" w:hAnsi="Consolas"/>
          <w:sz w:val="17"/>
        </w:rPr>
        <w:t>RAZORPAY_BRAND_RETURN_WEBHOOK_EVENT_MAP</w:t>
      </w:r>
    </w:p>
    <w:p>
      <w:pPr>
        <w:keepLines/>
        <w:spacing w:after="40" w:line="245" w:lineRule="auto"/>
        <w:ind w:left="360" w:hanging="360"/>
      </w:pPr>
      <w:r>
        <w:rPr>
          <w:b/>
          <w:i w:val="0"/>
        </w:rPr>
        <w:t xml:space="preserve">1.  </w:t>
      </w:r>
      <w:r>
        <w:rPr>
          <w:b/>
          <w:i w:val="0"/>
        </w:rPr>
        <w:t xml:space="preserve">Implement a real provider adapter. </w:t>
      </w:r>
      <w:r>
        <w:rPr>
          <w:b w:val="0"/>
          <w:i w:val="0"/>
        </w:rPr>
        <w:t>Map supported Razorpay refund/return operations without weakening original-source-only and FIFO allocation rules.</w:t>
      </w:r>
    </w:p>
    <w:p>
      <w:pPr>
        <w:keepLines/>
        <w:spacing w:after="40" w:line="245" w:lineRule="auto"/>
        <w:ind w:left="360" w:hanging="360"/>
      </w:pPr>
      <w:r>
        <w:rPr>
          <w:b/>
          <w:i w:val="0"/>
        </w:rPr>
        <w:t xml:space="preserve">2.  </w:t>
      </w:r>
      <w:r>
        <w:rPr>
          <w:b/>
          <w:i w:val="0"/>
        </w:rPr>
        <w:t xml:space="preserve">Replace the DI binding deliberately. </w:t>
      </w:r>
      <w:r>
        <w:rPr>
          <w:b w:val="0"/>
          <w:i w:val="0"/>
        </w:rPr>
        <w:t>Do not modify the fail-closed adapter in place or enable execution through configuration alone.</w:t>
      </w:r>
    </w:p>
    <w:p>
      <w:pPr>
        <w:keepLines/>
        <w:spacing w:after="40" w:line="245" w:lineRule="auto"/>
        <w:ind w:left="360" w:hanging="360"/>
      </w:pPr>
      <w:r>
        <w:rPr>
          <w:b/>
          <w:i w:val="0"/>
        </w:rPr>
        <w:t xml:space="preserve">3.  </w:t>
      </w:r>
      <w:r>
        <w:rPr>
          <w:b/>
          <w:i w:val="0"/>
        </w:rPr>
        <w:t xml:space="preserve">Prove source capability. </w:t>
      </w:r>
      <w:r>
        <w:rPr>
          <w:b w:val="0"/>
          <w:i w:val="0"/>
        </w:rPr>
        <w:t>Verify eligible historical/future payment sources and provider constraints with immutable provider evidence.</w:t>
      </w:r>
    </w:p>
    <w:p>
      <w:pPr>
        <w:keepLines/>
        <w:spacing w:after="40" w:line="245" w:lineRule="auto"/>
        <w:ind w:left="360" w:hanging="360"/>
      </w:pPr>
      <w:r>
        <w:rPr>
          <w:b/>
          <w:i w:val="0"/>
        </w:rPr>
        <w:t xml:space="preserve">4.  </w:t>
      </w:r>
      <w:r>
        <w:rPr>
          <w:b/>
          <w:i w:val="0"/>
        </w:rPr>
        <w:t xml:space="preserve">Complete webhook and reconciliation mapping. </w:t>
      </w:r>
      <w:r>
        <w:rPr>
          <w:b w:val="0"/>
          <w:i w:val="0"/>
        </w:rPr>
        <w:t>Distinguish definitive zero-effect rejection, retryable failure, partial completion, and ambiguous outcome.</w:t>
      </w:r>
    </w:p>
    <w:p>
      <w:pPr>
        <w:keepLines/>
        <w:spacing w:after="40" w:line="245" w:lineRule="auto"/>
        <w:ind w:left="360" w:hanging="360"/>
      </w:pPr>
      <w:r>
        <w:rPr>
          <w:b/>
          <w:i w:val="0"/>
        </w:rPr>
        <w:t xml:space="preserve">5.  </w:t>
      </w:r>
      <w:r>
        <w:rPr>
          <w:b/>
          <w:i w:val="0"/>
        </w:rPr>
        <w:t xml:space="preserve">Run controlled provider tests. </w:t>
      </w:r>
      <w:r>
        <w:rPr>
          <w:b w:val="0"/>
          <w:i w:val="0"/>
        </w:rPr>
        <w:t>Cover one source, multiple sources, duplicate requests/events, replay, timeout, partial outcome, and reconciliation recovery.</w:t>
      </w:r>
    </w:p>
    <w:p>
      <w:pPr>
        <w:pStyle w:val="ListBullet"/>
        <w:keepLines/>
        <w:spacing w:after="40" w:line="245" w:lineRule="auto"/>
      </w:pPr>
      <w:r>
        <w:t>Never add withdrawal-bank fields, a destination selector, a payment-ID input, or arbitrary transfer behavior.</w:t>
      </w:r>
    </w:p>
    <w:p>
      <w:pPr>
        <w:pStyle w:val="ListBullet"/>
        <w:keepLines/>
        <w:spacing w:after="40" w:line="245" w:lineRule="auto"/>
      </w:pPr>
      <w:r>
        <w:t>Never treat an accepted request or provider timeout as completed.</w:t>
      </w:r>
    </w:p>
    <w:p>
      <w:pPr>
        <w:pStyle w:val="ListBullet"/>
        <w:keepLines/>
        <w:spacing w:after="40" w:line="245" w:lineRule="auto"/>
      </w:pPr>
      <w:r>
        <w:t>Enable only after provider support, adapter code review, automated tests, webhook evidence, reconciliation evidence, and rollback/disable controls all pass.</w:t>
      </w:r>
    </w:p>
    <w:p>
      <w:pPr>
        <w:pStyle w:val="Heading2"/>
        <w:keepNext/>
        <w:keepLines/>
        <w:spacing w:before="180" w:after="60"/>
      </w:pPr>
      <w:r>
        <w:t>7.6 Razorpay — BS-09 creator payout / Route</w:t>
      </w:r>
    </w:p>
    <w:p>
      <w:pPr>
        <w:keepLines/>
        <w:spacing w:before="60" w:after="120" w:line="250" w:lineRule="auto"/>
        <w:ind w:left="58" w:right="58"/>
        <w:shd w:fill="FCE4D6"/>
        <w:pBdr>
          <w:top w:val="single" w:sz="5" w:space="3" w:color="808080"/>
          <w:left w:val="single" w:sz="5" w:space="3" w:color="808080"/>
          <w:bottom w:val="single" w:sz="5" w:space="3" w:color="808080"/>
          <w:right w:val="single" w:sz="5" w:space="3" w:color="808080"/>
        </w:pBdr>
      </w:pPr>
      <w:r>
        <w:rPr>
          <w:b/>
          <w:i w:val="0"/>
          <w:color w:val="9C0006"/>
        </w:rPr>
        <w:t xml:space="preserve">Current code state: </w:t>
      </w:r>
      <w:r>
        <w:rPr>
          <w:b w:val="0"/>
          <w:i w:val="0"/>
        </w:rPr>
        <w:t>the domain/state/reconciliation contract exists, but RazorpayRouteAdapter is fail-closed: linked account, transfer, hold/release, reversal, and settlement operations reject. Route entitlement and production fixtures remain unverified. This is a deliberate runtime NO-GO.</w:t>
      </w:r>
    </w:p>
    <w:p>
      <w:pPr>
        <w:keepLines/>
        <w:spacing w:before="40" w:after="100" w:line="240" w:lineRule="auto"/>
        <w:ind w:left="58" w:right="58"/>
        <w:shd w:fill="EAF2F8"/>
        <w:pBdr>
          <w:top w:val="single" w:sz="5" w:space="3" w:color="808080"/>
          <w:left w:val="single" w:sz="5" w:space="3" w:color="808080"/>
          <w:bottom w:val="single" w:sz="5" w:space="3" w:color="808080"/>
          <w:right w:val="single" w:sz="5" w:space="3" w:color="808080"/>
        </w:pBdr>
      </w:pPr>
      <w:r>
        <w:rPr>
          <w:rFonts w:ascii="Consolas" w:hAnsi="Consolas"/>
          <w:sz w:val="17"/>
        </w:rPr>
        <w:t>POST /api/v1/webhooks/escrow/route</w:t>
        <w:br/>
      </w:r>
      <w:r>
        <w:rPr>
          <w:rFonts w:ascii="Consolas" w:hAnsi="Consolas"/>
          <w:sz w:val="17"/>
        </w:rPr>
        <w:t>RAZORPAY_ROUTE_WEBHOOK_SECRET</w:t>
        <w:br/>
      </w:r>
      <w:r>
        <w:rPr>
          <w:rFonts w:ascii="Consolas" w:hAnsi="Consolas"/>
          <w:sz w:val="17"/>
        </w:rPr>
        <w:t>RAZORPAY_ROUTE_WEBHOOK_EVENT_MAP</w:t>
      </w:r>
    </w:p>
    <w:p>
      <w:pPr>
        <w:keepLines/>
        <w:spacing w:after="40" w:line="245" w:lineRule="auto"/>
        <w:ind w:left="360" w:hanging="360"/>
      </w:pPr>
      <w:r>
        <w:rPr>
          <w:b/>
          <w:i w:val="0"/>
        </w:rPr>
        <w:t xml:space="preserve">1.  </w:t>
      </w:r>
      <w:r>
        <w:t>Confirm Razorpay Route/test/live entitlement and linked-account prerequisites with the provider account owner.</w:t>
      </w:r>
    </w:p>
    <w:p>
      <w:pPr>
        <w:keepLines/>
        <w:spacing w:after="40" w:line="245" w:lineRule="auto"/>
        <w:ind w:left="360" w:hanging="360"/>
      </w:pPr>
      <w:r>
        <w:rPr>
          <w:b/>
          <w:i w:val="0"/>
        </w:rPr>
        <w:t xml:space="preserve">2.  </w:t>
      </w:r>
      <w:r>
        <w:t>Implement the live Route adapter for linked accounts, transfers, holds/releases, reversals, and settlement evidence.</w:t>
      </w:r>
    </w:p>
    <w:p>
      <w:pPr>
        <w:keepLines/>
        <w:spacing w:after="40" w:line="245" w:lineRule="auto"/>
        <w:ind w:left="360" w:hanging="360"/>
      </w:pPr>
      <w:r>
        <w:rPr>
          <w:b/>
          <w:i w:val="0"/>
        </w:rPr>
        <w:t xml:space="preserve">3.  </w:t>
      </w:r>
      <w:r>
        <w:t>Preserve Collaboration entitlement/resolution authority and backend financial execution authority.</w:t>
      </w:r>
    </w:p>
    <w:p>
      <w:pPr>
        <w:keepLines/>
        <w:spacing w:after="40" w:line="245" w:lineRule="auto"/>
        <w:ind w:left="360" w:hanging="360"/>
      </w:pPr>
      <w:r>
        <w:rPr>
          <w:b/>
          <w:i w:val="0"/>
        </w:rPr>
        <w:t xml:space="preserve">4.  </w:t>
      </w:r>
      <w:r>
        <w:t>Validate webhook signature/event mapping, idempotency, duplicate delivery, unknown outcomes, reconciliation, reversal lineage, and controlled test transactions.</w:t>
      </w:r>
    </w:p>
    <w:p>
      <w:pPr>
        <w:keepLines/>
        <w:spacing w:after="40" w:line="245" w:lineRule="auto"/>
        <w:ind w:left="360" w:hanging="360"/>
      </w:pPr>
      <w:r>
        <w:rPr>
          <w:b/>
          <w:i w:val="0"/>
        </w:rPr>
        <w:t xml:space="preserve">5.  </w:t>
      </w:r>
      <w:r>
        <w:t>Verify that provider reversal alone is not misrepresented as Brand AVAILABLE balance restoration; Product-required restoration follows the Collaboration refund instruction.</w:t>
      </w:r>
    </w:p>
    <w:p>
      <w:pPr>
        <w:keepLines/>
        <w:spacing w:before="60" w:after="120" w:line="250" w:lineRule="auto"/>
        <w:ind w:left="58" w:right="58"/>
        <w:shd w:fill="EAF2F8"/>
        <w:pBdr>
          <w:top w:val="single" w:sz="5" w:space="3" w:color="808080"/>
          <w:left w:val="single" w:sz="5" w:space="3" w:color="808080"/>
          <w:bottom w:val="single" w:sz="5" w:space="3" w:color="808080"/>
          <w:right w:val="single" w:sz="5" w:space="3" w:color="808080"/>
        </w:pBdr>
      </w:pPr>
      <w:r>
        <w:rPr>
          <w:b/>
          <w:i w:val="0"/>
          <w:color w:val="365F91"/>
        </w:rPr>
        <w:t xml:space="preserve">UI boundary: </w:t>
      </w:r>
      <w:r>
        <w:rPr>
          <w:b w:val="0"/>
          <w:i w:val="0"/>
        </w:rPr>
        <w:t>Settings exposes no creator payout execution, approval, or reversal control. Provider enablement must not create one.</w:t>
      </w:r>
    </w:p>
    <w:p>
      <w:pPr>
        <w:pStyle w:val="Heading1"/>
        <w:keepNext/>
        <w:keepLines/>
        <w:spacing w:before="360" w:after="80"/>
      </w:pPr>
      <w:r>
        <w:t>8. Controlled deployment runbook</w:t>
      </w:r>
    </w:p>
    <w:p>
      <w:pPr>
        <w:spacing w:before="0" w:after="60" w:line="250" w:lineRule="auto"/>
      </w:pPr>
      <w:r>
        <w:rPr>
          <w:i w:val="0"/>
        </w:rPr>
        <w:t>Assign one release owner and one migration executor. A checklist item is complete only when its evidence is linked in section 11’s register.</w:t>
      </w:r>
    </w:p>
    <w:p>
      <w:pPr>
        <w:pStyle w:val="Heading2"/>
        <w:keepNext/>
        <w:keepLines/>
        <w:spacing w:before="180" w:after="60"/>
      </w:pPr>
      <w:r>
        <w:t>Phase 0 — Freeze and evidence</w:t>
      </w:r>
    </w:p>
    <w:p>
      <w:pPr>
        <w:keepLines/>
        <w:spacing w:after="40" w:line="245" w:lineRule="auto"/>
        <w:ind w:left="360" w:hanging="360"/>
      </w:pPr>
      <w:r>
        <w:rPr>
          <w:b/>
          <w:i w:val="0"/>
        </w:rPr>
        <w:t xml:space="preserve">1.  </w:t>
      </w:r>
      <w:r>
        <w:t>Confirm frontend and backend remote refs resolve to the exact canonical SHAs in section 2.</w:t>
      </w:r>
    </w:p>
    <w:p>
      <w:pPr>
        <w:keepLines/>
        <w:spacing w:after="40" w:line="245" w:lineRule="auto"/>
        <w:ind w:left="360" w:hanging="360"/>
      </w:pPr>
      <w:r>
        <w:rPr>
          <w:b/>
          <w:i w:val="0"/>
        </w:rPr>
        <w:t xml:space="preserve">2.  </w:t>
      </w:r>
      <w:r>
        <w:t>Obtain the Systems Architect’s pinned architecture/product authority branch and SHA.</w:t>
      </w:r>
    </w:p>
    <w:p>
      <w:pPr>
        <w:keepLines/>
        <w:spacing w:after="40" w:line="245" w:lineRule="auto"/>
        <w:ind w:left="360" w:hanging="360"/>
      </w:pPr>
      <w:r>
        <w:rPr>
          <w:b/>
          <w:i w:val="0"/>
        </w:rPr>
        <w:t xml:space="preserve">3.  </w:t>
      </w:r>
      <w:r>
        <w:t>Create immutable build artifacts and record source SHA plus artifact digest.</w:t>
      </w:r>
    </w:p>
    <w:p>
      <w:pPr>
        <w:keepLines/>
        <w:spacing w:after="40" w:line="245" w:lineRule="auto"/>
        <w:ind w:left="360" w:hanging="360"/>
      </w:pPr>
      <w:r>
        <w:rPr>
          <w:b/>
          <w:i w:val="0"/>
        </w:rPr>
        <w:t xml:space="preserve">4.  </w:t>
      </w:r>
      <w:r>
        <w:t>Record current production frontend/backend artifacts, schema migration status, provider feature flags, and secret/config versions for rollback.</w:t>
      </w:r>
    </w:p>
    <w:p>
      <w:pPr>
        <w:keepLines/>
        <w:spacing w:after="40" w:line="245" w:lineRule="auto"/>
        <w:ind w:left="360" w:hanging="360"/>
      </w:pPr>
      <w:r>
        <w:rPr>
          <w:b/>
          <w:i w:val="0"/>
        </w:rPr>
        <w:t xml:space="preserve">5.  </w:t>
      </w:r>
      <w:r>
        <w:t>Classify each provider surface as ENABLED, DISABLED, or FAIL-CLOSED; do not inherit an undocumented current state.</w:t>
      </w:r>
    </w:p>
    <w:p>
      <w:pPr>
        <w:pStyle w:val="Heading2"/>
        <w:keepNext/>
        <w:keepLines/>
        <w:spacing w:before="180" w:after="60"/>
      </w:pPr>
      <w:r>
        <w:t>Phase 1 — Environment and secret readiness</w:t>
      </w:r>
    </w:p>
    <w:p>
      <w:pPr>
        <w:keepLines/>
        <w:spacing w:after="40" w:line="245" w:lineRule="auto"/>
        <w:ind w:left="360" w:hanging="360"/>
      </w:pPr>
      <w:r>
        <w:rPr>
          <w:b/>
          <w:i w:val="0"/>
        </w:rPr>
        <w:t xml:space="preserve">1.  </w:t>
      </w:r>
      <w:r>
        <w:t>Resolve the exact production frontend/API origins, HTTPS/cookie topology, CORS/CSRF expectations, and callback reachability.</w:t>
      </w:r>
    </w:p>
    <w:p>
      <w:pPr>
        <w:keepLines/>
        <w:spacing w:after="40" w:line="245" w:lineRule="auto"/>
        <w:ind w:left="360" w:hanging="360"/>
      </w:pPr>
      <w:r>
        <w:rPr>
          <w:b/>
          <w:i w:val="0"/>
        </w:rPr>
        <w:t xml:space="preserve">2.  </w:t>
      </w:r>
      <w:r>
        <w:t>Provision database, auth/Google, Meta, Postmark, and applicable Razorpay values through the established secret/config mechanism.</w:t>
      </w:r>
    </w:p>
    <w:p>
      <w:pPr>
        <w:keepLines/>
        <w:spacing w:after="40" w:line="245" w:lineRule="auto"/>
        <w:ind w:left="360" w:hanging="360"/>
      </w:pPr>
      <w:r>
        <w:rPr>
          <w:b/>
          <w:i w:val="0"/>
        </w:rPr>
        <w:t xml:space="preserve">3.  </w:t>
      </w:r>
      <w:r>
        <w:t>Complete the bounded SST/.env wiring corrections listed in section 5.</w:t>
      </w:r>
    </w:p>
    <w:p>
      <w:pPr>
        <w:keepLines/>
        <w:spacing w:after="40" w:line="245" w:lineRule="auto"/>
        <w:ind w:left="360" w:hanging="360"/>
      </w:pPr>
      <w:r>
        <w:rPr>
          <w:b/>
          <w:i w:val="0"/>
        </w:rPr>
        <w:t xml:space="preserve">4.  </w:t>
      </w:r>
      <w:r>
        <w:t>Verify HttpOnly refresh-cookie Secure, SameSite, domain, and path behavior in the real topology.</w:t>
      </w:r>
    </w:p>
    <w:p>
      <w:pPr>
        <w:keepLines/>
        <w:spacing w:after="40" w:line="245" w:lineRule="auto"/>
        <w:ind w:left="360" w:hanging="360"/>
      </w:pPr>
      <w:r>
        <w:rPr>
          <w:b/>
          <w:i w:val="0"/>
        </w:rPr>
        <w:t xml:space="preserve">5.  </w:t>
      </w:r>
      <w:r>
        <w:t>Scan the frontend bundle and deployment logs for accidental secrets before release.</w:t>
      </w:r>
    </w:p>
    <w:p>
      <w:pPr>
        <w:pStyle w:val="Heading2"/>
        <w:keepNext/>
        <w:keepLines/>
        <w:spacing w:before="180" w:after="60"/>
      </w:pPr>
      <w:r>
        <w:t>Phase 2 — Database migration plan</w:t>
      </w:r>
    </w:p>
    <w:p>
      <w:pPr>
        <w:keepLines/>
        <w:spacing w:after="40" w:line="245" w:lineRule="auto"/>
        <w:ind w:left="360" w:hanging="360"/>
      </w:pPr>
      <w:r>
        <w:rPr>
          <w:b/>
          <w:i w:val="0"/>
        </w:rPr>
        <w:t xml:space="preserve">1.  </w:t>
      </w:r>
      <w:r>
        <w:t>Compare the target database migration status with the accepted backend SHA and inventory only canonical pending migrations.</w:t>
      </w:r>
    </w:p>
    <w:p>
      <w:pPr>
        <w:keepLines/>
        <w:spacing w:after="40" w:line="245" w:lineRule="auto"/>
        <w:ind w:left="360" w:hanging="360"/>
      </w:pPr>
      <w:r>
        <w:rPr>
          <w:b/>
          <w:i w:val="0"/>
        </w:rPr>
        <w:t xml:space="preserve">2.  </w:t>
      </w:r>
      <w:r>
        <w:t>Review compatibility, lock/downtime risk, data backfills, duration, and rollback/restore behavior with the database owner.</w:t>
      </w:r>
    </w:p>
    <w:p>
      <w:pPr>
        <w:keepLines/>
        <w:spacing w:after="40" w:line="245" w:lineRule="auto"/>
        <w:ind w:left="360" w:hanging="360"/>
      </w:pPr>
      <w:r>
        <w:rPr>
          <w:b/>
          <w:i w:val="0"/>
        </w:rPr>
        <w:t xml:space="preserve">3.  </w:t>
      </w:r>
      <w:r>
        <w:t>Create and verify a recoverable snapshot/backup according to the environment’s standard procedure.</w:t>
      </w:r>
    </w:p>
    <w:p>
      <w:pPr>
        <w:keepLines/>
        <w:spacing w:after="40" w:line="245" w:lineRule="auto"/>
        <w:ind w:left="360" w:hanging="360"/>
      </w:pPr>
      <w:r>
        <w:rPr>
          <w:b/>
          <w:i w:val="0"/>
        </w:rPr>
        <w:t xml:space="preserve">4.  </w:t>
      </w:r>
      <w:r>
        <w:t>Designate exactly one pipeline stage or named executor to apply pending migrations once. Do not apply them in both a manual pre-step and the application deployment.</w:t>
      </w:r>
    </w:p>
    <w:p>
      <w:pPr>
        <w:keepLines/>
        <w:spacing w:after="40" w:line="245" w:lineRule="auto"/>
        <w:ind w:left="360" w:hanging="360"/>
      </w:pPr>
      <w:r>
        <w:rPr>
          <w:b/>
          <w:i w:val="0"/>
        </w:rPr>
        <w:t xml:space="preserve">5.  </w:t>
      </w:r>
      <w:r>
        <w:t>Record the pre-migration status, command/procedure, executor, start/end time, and post-migration status.</w:t>
      </w:r>
    </w:p>
    <w:p>
      <w:pPr>
        <w:pStyle w:val="Heading2"/>
        <w:keepNext/>
        <w:keepLines/>
        <w:spacing w:before="180" w:after="60"/>
      </w:pPr>
      <w:r>
        <w:t>Phase 3 — Build and automated validation</w:t>
      </w:r>
    </w:p>
    <w:p>
      <w:pPr>
        <w:keepLines/>
        <w:spacing w:after="40" w:line="245" w:lineRule="auto"/>
        <w:ind w:left="360" w:hanging="360"/>
      </w:pPr>
      <w:r>
        <w:rPr>
          <w:b/>
          <w:i w:val="0"/>
        </w:rPr>
        <w:t xml:space="preserve">1.  </w:t>
      </w:r>
      <w:r>
        <w:t>Install dependencies from lockfiles with the repository-supported runtime/toolchain.</w:t>
      </w:r>
    </w:p>
    <w:p>
      <w:pPr>
        <w:keepLines/>
        <w:spacing w:after="40" w:line="245" w:lineRule="auto"/>
        <w:ind w:left="360" w:hanging="360"/>
      </w:pPr>
      <w:r>
        <w:rPr>
          <w:b/>
          <w:i w:val="0"/>
        </w:rPr>
        <w:t xml:space="preserve">2.  </w:t>
      </w:r>
      <w:r>
        <w:t>Build backend and frontend with production configuration; verify the frontend points to the target API origin.</w:t>
      </w:r>
    </w:p>
    <w:p>
      <w:pPr>
        <w:keepLines/>
        <w:spacing w:after="40" w:line="245" w:lineRule="auto"/>
        <w:ind w:left="360" w:hanging="360"/>
      </w:pPr>
      <w:r>
        <w:rPr>
          <w:b/>
          <w:i w:val="0"/>
        </w:rPr>
        <w:t xml:space="preserve">3.  </w:t>
      </w:r>
      <w:r>
        <w:t>Run typecheck, Settings-scoped lint, automated tests, and production build checks. Compare with the accepted baseline in section 12.</w:t>
      </w:r>
    </w:p>
    <w:p>
      <w:pPr>
        <w:keepLines/>
        <w:spacing w:after="40" w:line="245" w:lineRule="auto"/>
        <w:ind w:left="360" w:hanging="360"/>
      </w:pPr>
      <w:r>
        <w:rPr>
          <w:b/>
          <w:i w:val="0"/>
        </w:rPr>
        <w:t xml:space="preserve">4.  </w:t>
      </w:r>
      <w:r>
        <w:t>Inspect the deployed backend artifact—not only source—for required runtime modules, migrations, and static assets.</w:t>
      </w:r>
    </w:p>
    <w:p>
      <w:pPr>
        <w:keepLines/>
        <w:spacing w:after="40" w:line="245" w:lineRule="auto"/>
        <w:ind w:left="360" w:hanging="360"/>
      </w:pPr>
      <w:r>
        <w:rPr>
          <w:b/>
          <w:i w:val="0"/>
        </w:rPr>
        <w:t xml:space="preserve">5.  </w:t>
      </w:r>
      <w:r>
        <w:t>Run secret scanning and dependency/security checks required by the organization’s release policy.</w:t>
      </w:r>
    </w:p>
    <w:p>
      <w:pPr>
        <w:pStyle w:val="Heading2"/>
        <w:keepNext/>
        <w:keepLines/>
        <w:spacing w:before="180" w:after="60"/>
      </w:pPr>
      <w:r>
        <w:t>Phase 4 — Deploy</w:t>
      </w:r>
    </w:p>
    <w:p>
      <w:pPr>
        <w:keepLines/>
        <w:spacing w:after="40" w:line="245" w:lineRule="auto"/>
        <w:ind w:left="360" w:hanging="360"/>
      </w:pPr>
      <w:r>
        <w:rPr>
          <w:b/>
          <w:i w:val="0"/>
        </w:rPr>
        <w:t xml:space="preserve">1.  </w:t>
      </w:r>
      <w:r>
        <w:t>Place the application in the established compatibility or maintenance posture if the migration plan requires it.</w:t>
      </w:r>
    </w:p>
    <w:p>
      <w:pPr>
        <w:keepLines/>
        <w:spacing w:after="40" w:line="245" w:lineRule="auto"/>
        <w:ind w:left="360" w:hanging="360"/>
      </w:pPr>
      <w:r>
        <w:rPr>
          <w:b/>
          <w:i w:val="0"/>
        </w:rPr>
        <w:t xml:space="preserve">2.  </w:t>
      </w:r>
      <w:r>
        <w:t>Apply canonical pending migrations exactly once through the designated stage/executor and verify status.</w:t>
      </w:r>
    </w:p>
    <w:p>
      <w:pPr>
        <w:keepLines/>
        <w:spacing w:after="40" w:line="245" w:lineRule="auto"/>
        <w:ind w:left="360" w:hanging="360"/>
      </w:pPr>
      <w:r>
        <w:rPr>
          <w:b/>
          <w:i w:val="0"/>
        </w:rPr>
        <w:t xml:space="preserve">3.  </w:t>
      </w:r>
      <w:r>
        <w:t>Deploy the backend artifact, verify startup/health/logs, and confirm required provider modules initialize only within their approved gates.</w:t>
      </w:r>
    </w:p>
    <w:p>
      <w:pPr>
        <w:keepLines/>
        <w:spacing w:after="40" w:line="245" w:lineRule="auto"/>
        <w:ind w:left="360" w:hanging="360"/>
      </w:pPr>
      <w:r>
        <w:rPr>
          <w:b/>
          <w:i w:val="0"/>
        </w:rPr>
        <w:t xml:space="preserve">4.  </w:t>
      </w:r>
      <w:r>
        <w:t>Deploy the frontend artifact and verify API origin, routing, chunk loading, and refresh-cookie behavior.</w:t>
      </w:r>
    </w:p>
    <w:p>
      <w:pPr>
        <w:keepLines/>
        <w:spacing w:after="40" w:line="245" w:lineRule="auto"/>
        <w:ind w:left="360" w:hanging="360"/>
      </w:pPr>
      <w:r>
        <w:rPr>
          <w:b/>
          <w:i w:val="0"/>
        </w:rPr>
        <w:t xml:space="preserve">5.  </w:t>
      </w:r>
      <w:r>
        <w:t>Keep BS-04 Brand Return and BS-09 creator payout fail-closed until their adapter gates pass. Keep any other unverified provider capability disabled.</w:t>
      </w:r>
    </w:p>
    <w:p>
      <w:pPr>
        <w:pStyle w:val="Heading2"/>
        <w:keepNext/>
        <w:keepLines/>
        <w:spacing w:before="180" w:after="60"/>
      </w:pPr>
      <w:r>
        <w:t>Phase 5 — Core Settings smoke</w:t>
      </w:r>
    </w:p>
    <w:p>
      <w:pPr>
        <w:keepLines/>
        <w:spacing w:after="40" w:line="245" w:lineRule="auto"/>
        <w:ind w:left="360" w:hanging="360"/>
      </w:pPr>
      <w:r>
        <w:rPr>
          <w:b/>
          <w:i w:val="0"/>
        </w:rPr>
        <w:t xml:space="preserve">1.  </w:t>
      </w:r>
      <w:r>
        <w:t>Run authentication/session and three-role Settings smoke tests from section 9.</w:t>
      </w:r>
    </w:p>
    <w:p>
      <w:pPr>
        <w:keepLines/>
        <w:spacing w:after="40" w:line="245" w:lineRule="auto"/>
        <w:ind w:left="360" w:hanging="360"/>
      </w:pPr>
      <w:r>
        <w:rPr>
          <w:b/>
          <w:i w:val="0"/>
        </w:rPr>
        <w:t xml:space="preserve">2.  </w:t>
      </w:r>
      <w:r>
        <w:t>Validate server authorization directly for at least one forbidden mutation per restricted role; hiding a button is insufficient evidence.</w:t>
      </w:r>
    </w:p>
    <w:p>
      <w:pPr>
        <w:keepLines/>
        <w:spacing w:after="40" w:line="245" w:lineRule="auto"/>
        <w:ind w:left="360" w:hanging="360"/>
      </w:pPr>
      <w:r>
        <w:rPr>
          <w:b/>
          <w:i w:val="0"/>
        </w:rPr>
        <w:t xml:space="preserve">3.  </w:t>
      </w:r>
      <w:r>
        <w:t>Confirm error handling, logs, audit events, metrics, and no sensitive data leakage in browser storage, URLs, or telemetry.</w:t>
      </w:r>
    </w:p>
    <w:p>
      <w:pPr>
        <w:keepLines/>
        <w:spacing w:after="40" w:line="245" w:lineRule="auto"/>
        <w:ind w:left="360" w:hanging="360"/>
      </w:pPr>
      <w:r>
        <w:rPr>
          <w:b/>
          <w:i w:val="0"/>
        </w:rPr>
        <w:t xml:space="preserve">4.  </w:t>
      </w:r>
      <w:r>
        <w:t>Make the core release Go/No-Go decision. If Go, record which provider capabilities remain disabled/fail-closed.</w:t>
      </w:r>
    </w:p>
    <w:p>
      <w:pPr>
        <w:pStyle w:val="Heading2"/>
        <w:keepNext/>
        <w:keepLines/>
        <w:spacing w:before="180" w:after="60"/>
      </w:pPr>
      <w:r>
        <w:t>Phase 6 — Provider verification and controlled enablement</w:t>
      </w:r>
    </w:p>
    <w:p>
      <w:pPr>
        <w:keepLines/>
        <w:spacing w:after="40" w:line="245" w:lineRule="auto"/>
        <w:ind w:left="360" w:hanging="360"/>
      </w:pPr>
      <w:r>
        <w:rPr>
          <w:b/>
          <w:i w:val="0"/>
        </w:rPr>
        <w:t xml:space="preserve">1.  </w:t>
      </w:r>
      <w:r>
        <w:t>Complete Meta, Postmark, subscription/top-up, Brand Return, and Route gates independently; do not bundle their acceptance.</w:t>
      </w:r>
    </w:p>
    <w:p>
      <w:pPr>
        <w:keepLines/>
        <w:spacing w:after="40" w:line="245" w:lineRule="auto"/>
        <w:ind w:left="360" w:hanging="360"/>
      </w:pPr>
      <w:r>
        <w:rPr>
          <w:b/>
          <w:i w:val="0"/>
        </w:rPr>
        <w:t xml:space="preserve">2.  </w:t>
      </w:r>
      <w:r>
        <w:t>Use test/sandbox accounts and smallest safe transactions wherever the provider supports them.</w:t>
      </w:r>
    </w:p>
    <w:p>
      <w:pPr>
        <w:keepLines/>
        <w:spacing w:after="40" w:line="245" w:lineRule="auto"/>
        <w:ind w:left="360" w:hanging="360"/>
      </w:pPr>
      <w:r>
        <w:rPr>
          <w:b/>
          <w:i w:val="0"/>
        </w:rPr>
        <w:t xml:space="preserve">3.  </w:t>
      </w:r>
      <w:r>
        <w:t>Enable one surface only after its evidence, observability, support owner, rollback/disable action, and sign-off are recorded.</w:t>
      </w:r>
    </w:p>
    <w:p>
      <w:pPr>
        <w:keepLines/>
        <w:spacing w:after="40" w:line="245" w:lineRule="auto"/>
        <w:ind w:left="360" w:hanging="360"/>
      </w:pPr>
      <w:r>
        <w:rPr>
          <w:b/>
          <w:i w:val="0"/>
        </w:rPr>
        <w:t xml:space="preserve">4.  </w:t>
      </w:r>
      <w:r>
        <w:t>Never run live Brand Return or creator payout until the corresponding real adapter and provider prerequisites are complete.</w:t>
      </w:r>
    </w:p>
    <w:p>
      <w:pPr>
        <w:pStyle w:val="Heading1"/>
        <w:keepNext/>
        <w:keepLines/>
        <w:spacing w:before="360" w:after="80"/>
      </w:pPr>
      <w:r>
        <w:t>9. Post-deploy smoke and acceptance matrix</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512"/>
            <w:shd w:fill="D9EAF7"/>
            <w:vAlign w:val="center"/>
            <w:tcMar>
              <w:top w:w="60" w:type="dxa"/>
              <w:start w:w="85" w:type="dxa"/>
              <w:bottom w:w="60" w:type="dxa"/>
              <w:end w:w="85" w:type="dxa"/>
            </w:tcMar>
          </w:tcPr>
          <w:p>
            <w:pPr>
              <w:widowControl/>
              <w:spacing w:after="0" w:line="240" w:lineRule="auto"/>
            </w:pPr>
            <w:r/>
            <w:r>
              <w:rPr>
                <w:rFonts w:ascii="Aptos" w:hAnsi="Aptos"/>
                <w:b/>
                <w:i w:val="0"/>
                <w:sz w:val="14"/>
              </w:rPr>
              <w:t>Area</w:t>
            </w:r>
          </w:p>
        </w:tc>
        <w:tc>
          <w:tcPr>
            <w:tcW w:type="dxa" w:w="4248"/>
            <w:shd w:fill="D9EAF7"/>
            <w:vAlign w:val="center"/>
            <w:tcMar>
              <w:top w:w="60" w:type="dxa"/>
              <w:start w:w="85" w:type="dxa"/>
              <w:bottom w:w="60" w:type="dxa"/>
              <w:end w:w="85" w:type="dxa"/>
            </w:tcMar>
          </w:tcPr>
          <w:p>
            <w:pPr>
              <w:widowControl/>
              <w:spacing w:after="0" w:line="240" w:lineRule="auto"/>
            </w:pPr>
            <w:r/>
            <w:r>
              <w:rPr>
                <w:rFonts w:ascii="Aptos" w:hAnsi="Aptos"/>
                <w:b/>
                <w:i w:val="0"/>
                <w:sz w:val="14"/>
              </w:rPr>
              <w:t>Minimum scenarios</w:t>
            </w:r>
          </w:p>
        </w:tc>
        <w:tc>
          <w:tcPr>
            <w:tcW w:type="dxa" w:w="1944"/>
            <w:shd w:fill="D9EAF7"/>
            <w:vAlign w:val="center"/>
            <w:tcMar>
              <w:top w:w="60" w:type="dxa"/>
              <w:start w:w="85" w:type="dxa"/>
              <w:bottom w:w="60" w:type="dxa"/>
              <w:end w:w="85" w:type="dxa"/>
            </w:tcMar>
          </w:tcPr>
          <w:p>
            <w:pPr>
              <w:widowControl/>
              <w:spacing w:after="0" w:line="240" w:lineRule="auto"/>
            </w:pPr>
            <w:r/>
            <w:r>
              <w:rPr>
                <w:rFonts w:ascii="Aptos" w:hAnsi="Aptos"/>
                <w:b/>
                <w:i w:val="0"/>
                <w:sz w:val="14"/>
              </w:rPr>
              <w:t>Coverage</w:t>
            </w:r>
          </w:p>
        </w:tc>
        <w:tc>
          <w:tcPr>
            <w:tcW w:type="dxa" w:w="2376"/>
            <w:shd w:fill="D9EAF7"/>
            <w:vAlign w:val="center"/>
            <w:tcMar>
              <w:top w:w="60" w:type="dxa"/>
              <w:start w:w="85" w:type="dxa"/>
              <w:bottom w:w="60" w:type="dxa"/>
              <w:end w:w="85" w:type="dxa"/>
            </w:tcMar>
          </w:tcPr>
          <w:p>
            <w:pPr>
              <w:widowControl/>
              <w:spacing w:after="0" w:line="240" w:lineRule="auto"/>
            </w:pPr>
            <w:r/>
            <w:r>
              <w:rPr>
                <w:rFonts w:ascii="Aptos" w:hAnsi="Aptos"/>
                <w:b/>
                <w:i w:val="0"/>
                <w:sz w:val="14"/>
              </w:rPr>
              <w:t>Acceptance evidence</w:t>
            </w:r>
          </w:p>
        </w:tc>
      </w:tr>
      <w:tr>
        <w:trPr>
          <w:cantSplit/>
        </w:trPr>
        <w:tc>
          <w:tcPr>
            <w:tcW w:type="dxa" w:w="1512"/>
            <w:vAlign w:val="top"/>
            <w:tcMar>
              <w:top w:w="60" w:type="dxa"/>
              <w:start w:w="85" w:type="dxa"/>
              <w:bottom w:w="60" w:type="dxa"/>
              <w:end w:w="85" w:type="dxa"/>
            </w:tcMar>
          </w:tcPr>
          <w:p>
            <w:pPr>
              <w:widowControl/>
              <w:spacing w:after="0" w:line="240" w:lineRule="auto"/>
            </w:pPr>
            <w:r/>
            <w:r>
              <w:rPr>
                <w:rFonts w:ascii="Aptos" w:hAnsi="Aptos"/>
                <w:b w:val="0"/>
                <w:i w:val="0"/>
                <w:sz w:val="14"/>
              </w:rPr>
              <w:t>Authentication</w:t>
            </w:r>
          </w:p>
        </w:tc>
        <w:tc>
          <w:tcPr>
            <w:tcW w:type="dxa" w:w="4248"/>
            <w:vAlign w:val="top"/>
            <w:tcMar>
              <w:top w:w="60" w:type="dxa"/>
              <w:start w:w="85" w:type="dxa"/>
              <w:bottom w:w="60" w:type="dxa"/>
              <w:end w:w="85" w:type="dxa"/>
            </w:tcMar>
          </w:tcPr>
          <w:p>
            <w:pPr>
              <w:widowControl/>
              <w:spacing w:after="0" w:line="240" w:lineRule="auto"/>
            </w:pPr>
            <w:r/>
            <w:r>
              <w:rPr>
                <w:rFonts w:ascii="Aptos" w:hAnsi="Aptos"/>
                <w:b w:val="0"/>
                <w:i w:val="0"/>
                <w:sz w:val="14"/>
              </w:rPr>
              <w:t>Password, Email OTP, Google, startup refresh, reload, logout, logout-all, forgot/reset/change password</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All roles / representative users</w:t>
            </w:r>
          </w:p>
        </w:tc>
        <w:tc>
          <w:tcPr>
            <w:tcW w:type="dxa" w:w="2376"/>
            <w:vAlign w:val="top"/>
            <w:tcMar>
              <w:top w:w="60" w:type="dxa"/>
              <w:start w:w="85" w:type="dxa"/>
              <w:bottom w:w="60" w:type="dxa"/>
              <w:end w:w="85" w:type="dxa"/>
            </w:tcMar>
          </w:tcPr>
          <w:p>
            <w:pPr>
              <w:widowControl/>
              <w:spacing w:after="0" w:line="240" w:lineRule="auto"/>
            </w:pPr>
            <w:r/>
            <w:r>
              <w:rPr>
                <w:rFonts w:ascii="Aptos" w:hAnsi="Aptos"/>
                <w:b w:val="0"/>
                <w:i w:val="0"/>
                <w:sz w:val="14"/>
              </w:rPr>
              <w:t>Session/cookie evidence; no persistent access token</w:t>
            </w:r>
          </w:p>
        </w:tc>
      </w:tr>
      <w:tr>
        <w:trPr>
          <w:cantSplit/>
        </w:trPr>
        <w:tc>
          <w:tcPr>
            <w:tcW w:type="dxa" w:w="1512"/>
            <w:vAlign w:val="top"/>
            <w:tcMar>
              <w:top w:w="60" w:type="dxa"/>
              <w:start w:w="85" w:type="dxa"/>
              <w:bottom w:w="60" w:type="dxa"/>
              <w:end w:w="85" w:type="dxa"/>
            </w:tcMar>
          </w:tcPr>
          <w:p>
            <w:pPr>
              <w:widowControl/>
              <w:spacing w:after="0" w:line="240" w:lineRule="auto"/>
            </w:pPr>
            <w:r/>
            <w:r>
              <w:rPr>
                <w:rFonts w:ascii="Aptos" w:hAnsi="Aptos"/>
                <w:b w:val="0"/>
                <w:i w:val="0"/>
                <w:sz w:val="14"/>
              </w:rPr>
              <w:t>General</w:t>
            </w:r>
          </w:p>
        </w:tc>
        <w:tc>
          <w:tcPr>
            <w:tcW w:type="dxa" w:w="4248"/>
            <w:vAlign w:val="top"/>
            <w:tcMar>
              <w:top w:w="60" w:type="dxa"/>
              <w:start w:w="85" w:type="dxa"/>
              <w:bottom w:w="60" w:type="dxa"/>
              <w:end w:w="85" w:type="dxa"/>
            </w:tcMar>
          </w:tcPr>
          <w:p>
            <w:pPr>
              <w:widowControl/>
              <w:spacing w:after="0" w:line="240" w:lineRule="auto"/>
            </w:pPr>
            <w:r/>
            <w:r>
              <w:rPr>
                <w:rFonts w:ascii="Aptos" w:hAnsi="Aptos"/>
                <w:b w:val="0"/>
                <w:i w:val="0"/>
                <w:sz w:val="14"/>
              </w:rPr>
              <w:t>Personal save; organization authority; protected Brand identity; Team inspect/mutate; invitation acceptance</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Owner, Finance, Campaign</w:t>
            </w:r>
          </w:p>
        </w:tc>
        <w:tc>
          <w:tcPr>
            <w:tcW w:type="dxa" w:w="2376"/>
            <w:vAlign w:val="top"/>
            <w:tcMar>
              <w:top w:w="60" w:type="dxa"/>
              <w:start w:w="85" w:type="dxa"/>
              <w:bottom w:w="60" w:type="dxa"/>
              <w:end w:w="85" w:type="dxa"/>
            </w:tcMar>
          </w:tcPr>
          <w:p>
            <w:pPr>
              <w:widowControl/>
              <w:spacing w:after="0" w:line="240" w:lineRule="auto"/>
            </w:pPr>
            <w:r/>
            <w:r>
              <w:rPr>
                <w:rFonts w:ascii="Aptos" w:hAnsi="Aptos"/>
                <w:b w:val="0"/>
                <w:i w:val="0"/>
                <w:sz w:val="14"/>
              </w:rPr>
              <w:t>API responses + forbidden mutation evidence</w:t>
            </w:r>
          </w:p>
        </w:tc>
      </w:tr>
      <w:tr>
        <w:trPr>
          <w:cantSplit/>
        </w:trPr>
        <w:tc>
          <w:tcPr>
            <w:tcW w:type="dxa" w:w="1512"/>
            <w:vAlign w:val="top"/>
            <w:tcMar>
              <w:top w:w="60" w:type="dxa"/>
              <w:start w:w="85" w:type="dxa"/>
              <w:bottom w:w="60" w:type="dxa"/>
              <w:end w:w="85" w:type="dxa"/>
            </w:tcMar>
          </w:tcPr>
          <w:p>
            <w:pPr>
              <w:widowControl/>
              <w:spacing w:after="0" w:line="240" w:lineRule="auto"/>
            </w:pPr>
            <w:r/>
            <w:r>
              <w:rPr>
                <w:rFonts w:ascii="Aptos" w:hAnsi="Aptos"/>
                <w:b w:val="0"/>
                <w:i w:val="0"/>
                <w:sz w:val="14"/>
              </w:rPr>
              <w:t>Billing</w:t>
            </w:r>
          </w:p>
        </w:tc>
        <w:tc>
          <w:tcPr>
            <w:tcW w:type="dxa" w:w="4248"/>
            <w:vAlign w:val="top"/>
            <w:tcMar>
              <w:top w:w="60" w:type="dxa"/>
              <w:start w:w="85" w:type="dxa"/>
              <w:bottom w:w="60" w:type="dxa"/>
              <w:end w:w="85" w:type="dxa"/>
            </w:tcMar>
          </w:tcPr>
          <w:p>
            <w:pPr>
              <w:widowControl/>
              <w:spacing w:after="0" w:line="240" w:lineRule="auto"/>
            </w:pPr>
            <w:r/>
            <w:r>
              <w:rPr>
                <w:rFonts w:ascii="Aptos" w:hAnsi="Aptos"/>
                <w:b w:val="0"/>
                <w:i w:val="0"/>
                <w:sz w:val="14"/>
              </w:rPr>
              <w:t>Billing Profile; Founder’s Beta; trial; invoices; six notification categories</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Owner, Finance, Campaign</w:t>
            </w:r>
          </w:p>
        </w:tc>
        <w:tc>
          <w:tcPr>
            <w:tcW w:type="dxa" w:w="2376"/>
            <w:vAlign w:val="top"/>
            <w:tcMar>
              <w:top w:w="60" w:type="dxa"/>
              <w:start w:w="85" w:type="dxa"/>
              <w:bottom w:w="60" w:type="dxa"/>
              <w:end w:w="85" w:type="dxa"/>
            </w:tcMar>
          </w:tcPr>
          <w:p>
            <w:pPr>
              <w:widowControl/>
              <w:spacing w:after="0" w:line="240" w:lineRule="auto"/>
            </w:pPr>
            <w:r/>
            <w:r>
              <w:rPr>
                <w:rFonts w:ascii="Aptos" w:hAnsi="Aptos"/>
                <w:b w:val="0"/>
                <w:i w:val="0"/>
                <w:sz w:val="14"/>
              </w:rPr>
              <w:t>Role/read-only behavior and lifecycle copy</w:t>
            </w:r>
          </w:p>
        </w:tc>
      </w:tr>
      <w:tr>
        <w:trPr>
          <w:cantSplit/>
        </w:trPr>
        <w:tc>
          <w:tcPr>
            <w:tcW w:type="dxa" w:w="1512"/>
            <w:vAlign w:val="top"/>
            <w:tcMar>
              <w:top w:w="60" w:type="dxa"/>
              <w:start w:w="85" w:type="dxa"/>
              <w:bottom w:w="60" w:type="dxa"/>
              <w:end w:w="85" w:type="dxa"/>
            </w:tcMar>
          </w:tcPr>
          <w:p>
            <w:pPr>
              <w:widowControl/>
              <w:spacing w:after="0" w:line="240" w:lineRule="auto"/>
            </w:pPr>
            <w:r/>
            <w:r>
              <w:rPr>
                <w:rFonts w:ascii="Aptos" w:hAnsi="Aptos"/>
                <w:b w:val="0"/>
                <w:i w:val="0"/>
                <w:sz w:val="14"/>
              </w:rPr>
              <w:t>Instagram</w:t>
            </w:r>
          </w:p>
        </w:tc>
        <w:tc>
          <w:tcPr>
            <w:tcW w:type="dxa" w:w="4248"/>
            <w:vAlign w:val="top"/>
            <w:tcMar>
              <w:top w:w="60" w:type="dxa"/>
              <w:start w:w="85" w:type="dxa"/>
              <w:bottom w:w="60" w:type="dxa"/>
              <w:end w:w="85" w:type="dxa"/>
            </w:tcMar>
          </w:tcPr>
          <w:p>
            <w:pPr>
              <w:widowControl/>
              <w:spacing w:after="0" w:line="240" w:lineRule="auto"/>
            </w:pPr>
            <w:r/>
            <w:r>
              <w:rPr>
                <w:rFonts w:ascii="Aptos" w:hAnsi="Aptos"/>
                <w:b w:val="0"/>
                <w:i w:val="0"/>
                <w:sz w:val="14"/>
              </w:rPr>
              <w:t>No integration; Owner connect; same-ID reconnect; account change; Finance read-only; Campaign bounded reconnect; disconnect; delete</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Provider test account</w:t>
            </w:r>
          </w:p>
        </w:tc>
        <w:tc>
          <w:tcPr>
            <w:tcW w:type="dxa" w:w="2376"/>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Only after Meta gate passes</w:t>
            </w:r>
          </w:p>
        </w:tc>
      </w:tr>
      <w:tr>
        <w:trPr>
          <w:cantSplit/>
        </w:trPr>
        <w:tc>
          <w:tcPr>
            <w:tcW w:type="dxa" w:w="1512"/>
            <w:vAlign w:val="top"/>
            <w:tcMar>
              <w:top w:w="60" w:type="dxa"/>
              <w:start w:w="85" w:type="dxa"/>
              <w:bottom w:w="60" w:type="dxa"/>
              <w:end w:w="85" w:type="dxa"/>
            </w:tcMar>
          </w:tcPr>
          <w:p>
            <w:pPr>
              <w:widowControl/>
              <w:spacing w:after="0" w:line="240" w:lineRule="auto"/>
            </w:pPr>
            <w:r/>
            <w:r>
              <w:rPr>
                <w:rFonts w:ascii="Aptos" w:hAnsi="Aptos"/>
                <w:b w:val="0"/>
                <w:i w:val="0"/>
                <w:sz w:val="14"/>
              </w:rPr>
              <w:t>Secure escrow</w:t>
            </w:r>
          </w:p>
        </w:tc>
        <w:tc>
          <w:tcPr>
            <w:tcW w:type="dxa" w:w="4248"/>
            <w:vAlign w:val="top"/>
            <w:tcMar>
              <w:top w:w="60" w:type="dxa"/>
              <w:start w:w="85" w:type="dxa"/>
              <w:bottom w:w="60" w:type="dxa"/>
              <w:end w:w="85" w:type="dxa"/>
            </w:tcMar>
          </w:tcPr>
          <w:p>
            <w:pPr>
              <w:widowControl/>
              <w:spacing w:after="0" w:line="240" w:lineRule="auto"/>
            </w:pPr>
            <w:r/>
            <w:r>
              <w:rPr>
                <w:rFonts w:ascii="Aptos" w:hAnsi="Aptos"/>
                <w:b w:val="0"/>
                <w:i w:val="0"/>
                <w:sz w:val="14"/>
              </w:rPr>
              <w:t>Vault read; Add Funds test; pending unavailable; no destination/source controls; unknown-currency Brand Return blocked</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Owner, Finance, Campaign</w:t>
            </w:r>
          </w:p>
        </w:tc>
        <w:tc>
          <w:tcPr>
            <w:tcW w:type="dxa" w:w="2376"/>
            <w:vAlign w:val="top"/>
            <w:tcMar>
              <w:top w:w="60" w:type="dxa"/>
              <w:start w:w="85" w:type="dxa"/>
              <w:bottom w:w="60" w:type="dxa"/>
              <w:end w:w="85" w:type="dxa"/>
            </w:tcMar>
            <w:shd w:fill="FFF2CC"/>
          </w:tcPr>
          <w:p>
            <w:pPr>
              <w:widowControl/>
              <w:spacing w:after="0" w:line="240" w:lineRule="auto"/>
            </w:pPr>
            <w:r/>
            <w:r>
              <w:rPr>
                <w:rFonts w:ascii="Aptos" w:hAnsi="Aptos"/>
                <w:b w:val="0"/>
                <w:i w:val="0"/>
                <w:sz w:val="14"/>
              </w:rPr>
              <w:t>No live return until BS-04 passes</w:t>
            </w:r>
          </w:p>
        </w:tc>
      </w:tr>
      <w:tr>
        <w:trPr>
          <w:cantSplit/>
        </w:trPr>
        <w:tc>
          <w:tcPr>
            <w:tcW w:type="dxa" w:w="1512"/>
            <w:vAlign w:val="top"/>
            <w:tcMar>
              <w:top w:w="60" w:type="dxa"/>
              <w:start w:w="85" w:type="dxa"/>
              <w:bottom w:w="60" w:type="dxa"/>
              <w:end w:w="85" w:type="dxa"/>
            </w:tcMar>
          </w:tcPr>
          <w:p>
            <w:pPr>
              <w:widowControl/>
              <w:spacing w:after="0" w:line="240" w:lineRule="auto"/>
            </w:pPr>
            <w:r/>
            <w:r>
              <w:rPr>
                <w:rFonts w:ascii="Aptos" w:hAnsi="Aptos"/>
                <w:b w:val="0"/>
                <w:i w:val="0"/>
                <w:sz w:val="14"/>
              </w:rPr>
              <w:t>Responsive</w:t>
            </w:r>
          </w:p>
        </w:tc>
        <w:tc>
          <w:tcPr>
            <w:tcW w:type="dxa" w:w="4248"/>
            <w:vAlign w:val="top"/>
            <w:tcMar>
              <w:top w:w="60" w:type="dxa"/>
              <w:start w:w="85" w:type="dxa"/>
              <w:bottom w:w="60" w:type="dxa"/>
              <w:end w:w="85" w:type="dxa"/>
            </w:tcMar>
          </w:tcPr>
          <w:p>
            <w:pPr>
              <w:widowControl/>
              <w:spacing w:after="0" w:line="240" w:lineRule="auto"/>
            </w:pPr>
            <w:r/>
            <w:r>
              <w:rPr>
                <w:rFonts w:ascii="Aptos" w:hAnsi="Aptos"/>
                <w:b w:val="0"/>
                <w:i w:val="0"/>
                <w:sz w:val="14"/>
              </w:rPr>
              <w:t>Desktop 1280/1440; mobile 390; bounded 360; no horizontal overflow</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All Settings routes</w:t>
            </w:r>
          </w:p>
        </w:tc>
        <w:tc>
          <w:tcPr>
            <w:tcW w:type="dxa" w:w="2376"/>
            <w:vAlign w:val="top"/>
            <w:tcMar>
              <w:top w:w="60" w:type="dxa"/>
              <w:start w:w="85" w:type="dxa"/>
              <w:bottom w:w="60" w:type="dxa"/>
              <w:end w:w="85" w:type="dxa"/>
            </w:tcMar>
          </w:tcPr>
          <w:p>
            <w:pPr>
              <w:widowControl/>
              <w:spacing w:after="0" w:line="240" w:lineRule="auto"/>
            </w:pPr>
            <w:r/>
            <w:r>
              <w:rPr>
                <w:rFonts w:ascii="Aptos" w:hAnsi="Aptos"/>
                <w:b w:val="0"/>
                <w:i w:val="0"/>
                <w:sz w:val="14"/>
              </w:rPr>
              <w:t>Screenshots + console/network log</w:t>
            </w:r>
          </w:p>
        </w:tc>
      </w:tr>
      <w:tr>
        <w:trPr>
          <w:cantSplit/>
        </w:trPr>
        <w:tc>
          <w:tcPr>
            <w:tcW w:type="dxa" w:w="1512"/>
            <w:vAlign w:val="top"/>
            <w:tcMar>
              <w:top w:w="60" w:type="dxa"/>
              <w:start w:w="85" w:type="dxa"/>
              <w:bottom w:w="60" w:type="dxa"/>
              <w:end w:w="85" w:type="dxa"/>
            </w:tcMar>
          </w:tcPr>
          <w:p>
            <w:pPr>
              <w:widowControl/>
              <w:spacing w:after="0" w:line="240" w:lineRule="auto"/>
            </w:pPr>
            <w:r/>
            <w:r>
              <w:rPr>
                <w:rFonts w:ascii="Aptos" w:hAnsi="Aptos"/>
                <w:b w:val="0"/>
                <w:i w:val="0"/>
                <w:sz w:val="14"/>
              </w:rPr>
              <w:t>Accessibility</w:t>
            </w:r>
          </w:p>
        </w:tc>
        <w:tc>
          <w:tcPr>
            <w:tcW w:type="dxa" w:w="4248"/>
            <w:vAlign w:val="top"/>
            <w:tcMar>
              <w:top w:w="60" w:type="dxa"/>
              <w:start w:w="85" w:type="dxa"/>
              <w:bottom w:w="60" w:type="dxa"/>
              <w:end w:w="85" w:type="dxa"/>
            </w:tcMar>
          </w:tcPr>
          <w:p>
            <w:pPr>
              <w:widowControl/>
              <w:spacing w:after="0" w:line="240" w:lineRule="auto"/>
            </w:pPr>
            <w:r/>
            <w:r>
              <w:rPr>
                <w:rFonts w:ascii="Aptos" w:hAnsi="Aptos"/>
                <w:b w:val="0"/>
                <w:i w:val="0"/>
                <w:sz w:val="14"/>
              </w:rPr>
              <w:t>Keyboard, focus, drawer behavior, labels, errors, contrast, responsive navigation</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Representative routes</w:t>
            </w:r>
          </w:p>
        </w:tc>
        <w:tc>
          <w:tcPr>
            <w:tcW w:type="dxa" w:w="2376"/>
            <w:vAlign w:val="top"/>
            <w:tcMar>
              <w:top w:w="60" w:type="dxa"/>
              <w:start w:w="85" w:type="dxa"/>
              <w:bottom w:w="60" w:type="dxa"/>
              <w:end w:w="85" w:type="dxa"/>
            </w:tcMar>
          </w:tcPr>
          <w:p>
            <w:pPr>
              <w:widowControl/>
              <w:spacing w:after="0" w:line="240" w:lineRule="auto"/>
            </w:pPr>
            <w:r/>
            <w:r>
              <w:rPr>
                <w:rFonts w:ascii="Aptos" w:hAnsi="Aptos"/>
                <w:b w:val="0"/>
                <w:i w:val="0"/>
                <w:sz w:val="14"/>
              </w:rPr>
              <w:t>Manual evidence + automated result</w:t>
            </w:r>
          </w:p>
        </w:tc>
      </w:tr>
      <w:tr>
        <w:trPr>
          <w:cantSplit/>
        </w:trPr>
        <w:tc>
          <w:tcPr>
            <w:tcW w:type="dxa" w:w="1512"/>
            <w:vAlign w:val="top"/>
            <w:tcMar>
              <w:top w:w="60" w:type="dxa"/>
              <w:start w:w="85" w:type="dxa"/>
              <w:bottom w:w="60" w:type="dxa"/>
              <w:end w:w="85" w:type="dxa"/>
            </w:tcMar>
          </w:tcPr>
          <w:p>
            <w:pPr>
              <w:widowControl/>
              <w:spacing w:after="0" w:line="240" w:lineRule="auto"/>
            </w:pPr>
            <w:r/>
            <w:r>
              <w:rPr>
                <w:rFonts w:ascii="Aptos" w:hAnsi="Aptos"/>
                <w:b w:val="0"/>
                <w:i w:val="0"/>
                <w:sz w:val="14"/>
              </w:rPr>
              <w:t>Observability</w:t>
            </w:r>
          </w:p>
        </w:tc>
        <w:tc>
          <w:tcPr>
            <w:tcW w:type="dxa" w:w="4248"/>
            <w:vAlign w:val="top"/>
            <w:tcMar>
              <w:top w:w="60" w:type="dxa"/>
              <w:start w:w="85" w:type="dxa"/>
              <w:bottom w:w="60" w:type="dxa"/>
              <w:end w:w="85" w:type="dxa"/>
            </w:tcMar>
          </w:tcPr>
          <w:p>
            <w:pPr>
              <w:widowControl/>
              <w:spacing w:after="0" w:line="240" w:lineRule="auto"/>
            </w:pPr>
            <w:r/>
            <w:r>
              <w:rPr>
                <w:rFonts w:ascii="Aptos" w:hAnsi="Aptos"/>
                <w:b w:val="0"/>
                <w:i w:val="0"/>
                <w:sz w:val="14"/>
              </w:rPr>
              <w:t>Startup, auth failures, provider callbacks, webhook signature failures, idempotency/replay, financial unknown outcomes</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Backend/monitoring</w:t>
            </w:r>
          </w:p>
        </w:tc>
        <w:tc>
          <w:tcPr>
            <w:tcW w:type="dxa" w:w="2376"/>
            <w:vAlign w:val="top"/>
            <w:tcMar>
              <w:top w:w="60" w:type="dxa"/>
              <w:start w:w="85" w:type="dxa"/>
              <w:bottom w:w="60" w:type="dxa"/>
              <w:end w:w="85" w:type="dxa"/>
            </w:tcMar>
          </w:tcPr>
          <w:p>
            <w:pPr>
              <w:widowControl/>
              <w:spacing w:after="0" w:line="240" w:lineRule="auto"/>
            </w:pPr>
            <w:r/>
            <w:r>
              <w:rPr>
                <w:rFonts w:ascii="Aptos" w:hAnsi="Aptos"/>
                <w:b w:val="0"/>
                <w:i w:val="0"/>
                <w:sz w:val="14"/>
              </w:rPr>
              <w:t>Traceable correlation IDs without secrets</w:t>
            </w:r>
          </w:p>
        </w:tc>
      </w:tr>
    </w:tbl>
    <w:p>
      <w:pPr>
        <w:spacing w:after="0"/>
      </w:pPr>
    </w:p>
    <w:p>
      <w:pPr>
        <w:pStyle w:val="Heading1"/>
        <w:keepNext/>
        <w:keepLines/>
        <w:spacing w:before="360" w:after="80"/>
      </w:pPr>
      <w:r>
        <w:t>10. Rollback and incident handling</w:t>
      </w:r>
    </w:p>
    <w:p>
      <w:pPr>
        <w:pStyle w:val="ListBullet"/>
        <w:keepLines/>
        <w:spacing w:after="40" w:line="245" w:lineRule="auto"/>
      </w:pPr>
      <w:r>
        <w:t>Frontend rollback: restore the prior immutable artifact/config and validate routing plus API compatibility.</w:t>
      </w:r>
    </w:p>
    <w:p>
      <w:pPr>
        <w:pStyle w:val="ListBullet"/>
        <w:keepLines/>
        <w:spacing w:after="40" w:line="245" w:lineRule="auto"/>
      </w:pPr>
      <w:r>
        <w:t>Backend rollback: restore the prior compatible artifact only after checking schema compatibility. Do not automatically reverse production migrations.</w:t>
      </w:r>
    </w:p>
    <w:p>
      <w:pPr>
        <w:pStyle w:val="ListBullet"/>
        <w:keepLines/>
        <w:spacing w:after="40" w:line="245" w:lineRule="auto"/>
      </w:pPr>
      <w:r>
        <w:t>Database incident: stop writes or enter the approved maintenance posture, capture evidence, and use the reviewed restore/forward-fix plan. A snapshot is not a substitute for a tested restore procedure.</w:t>
      </w:r>
    </w:p>
    <w:p>
      <w:pPr>
        <w:pStyle w:val="ListBullet"/>
        <w:keepLines/>
        <w:spacing w:after="40" w:line="245" w:lineRule="auto"/>
      </w:pPr>
      <w:r>
        <w:t>Provider incident: disable the affected surface, retain fail-closed behavior, preserve idempotency/reconciliation records, and do not retry ambiguous financial mutations manually.</w:t>
      </w:r>
    </w:p>
    <w:p>
      <w:pPr>
        <w:pStyle w:val="ListBullet"/>
        <w:keepLines/>
        <w:spacing w:after="40" w:line="245" w:lineRule="auto"/>
      </w:pPr>
      <w:r>
        <w:t>Secret incident: revoke/rotate through the provider and deployment systems, assess exposure, invalidate affected sessions/tokens, and treat SETTINGS_FIELD_ENCRYPTION_KEY separately as a data migration.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232"/>
            <w:shd w:fill="D9EAF7"/>
            <w:vAlign w:val="center"/>
            <w:tcMar>
              <w:top w:w="60" w:type="dxa"/>
              <w:start w:w="85" w:type="dxa"/>
              <w:bottom w:w="60" w:type="dxa"/>
              <w:end w:w="85" w:type="dxa"/>
            </w:tcMar>
          </w:tcPr>
          <w:p>
            <w:pPr>
              <w:widowControl/>
              <w:spacing w:after="0" w:line="240" w:lineRule="auto"/>
            </w:pPr>
            <w:r/>
            <w:r>
              <w:rPr>
                <w:rFonts w:ascii="Aptos" w:hAnsi="Aptos"/>
                <w:b/>
                <w:i w:val="0"/>
                <w:sz w:val="15"/>
              </w:rPr>
              <w:t>Trigger</w:t>
            </w:r>
          </w:p>
        </w:tc>
        <w:tc>
          <w:tcPr>
            <w:tcW w:type="dxa" w:w="2664"/>
            <w:shd w:fill="D9EAF7"/>
            <w:vAlign w:val="center"/>
            <w:tcMar>
              <w:top w:w="60" w:type="dxa"/>
              <w:start w:w="85" w:type="dxa"/>
              <w:bottom w:w="60" w:type="dxa"/>
              <w:end w:w="85" w:type="dxa"/>
            </w:tcMar>
          </w:tcPr>
          <w:p>
            <w:pPr>
              <w:widowControl/>
              <w:spacing w:after="0" w:line="240" w:lineRule="auto"/>
            </w:pPr>
            <w:r/>
            <w:r>
              <w:rPr>
                <w:rFonts w:ascii="Aptos" w:hAnsi="Aptos"/>
                <w:b/>
                <w:i w:val="0"/>
                <w:sz w:val="15"/>
              </w:rPr>
              <w:t>Immediate action</w:t>
            </w:r>
          </w:p>
        </w:tc>
        <w:tc>
          <w:tcPr>
            <w:tcW w:type="dxa" w:w="2088"/>
            <w:shd w:fill="D9EAF7"/>
            <w:vAlign w:val="center"/>
            <w:tcMar>
              <w:top w:w="60" w:type="dxa"/>
              <w:start w:w="85" w:type="dxa"/>
              <w:bottom w:w="60" w:type="dxa"/>
              <w:end w:w="85" w:type="dxa"/>
            </w:tcMar>
          </w:tcPr>
          <w:p>
            <w:pPr>
              <w:widowControl/>
              <w:spacing w:after="0" w:line="240" w:lineRule="auto"/>
            </w:pPr>
            <w:r/>
            <w:r>
              <w:rPr>
                <w:rFonts w:ascii="Aptos" w:hAnsi="Aptos"/>
                <w:b/>
                <w:i w:val="0"/>
                <w:sz w:val="15"/>
              </w:rPr>
              <w:t>Owner</w:t>
            </w:r>
          </w:p>
        </w:tc>
        <w:tc>
          <w:tcPr>
            <w:tcW w:type="dxa" w:w="3096"/>
            <w:shd w:fill="D9EAF7"/>
            <w:vAlign w:val="center"/>
            <w:tcMar>
              <w:top w:w="60" w:type="dxa"/>
              <w:start w:w="85" w:type="dxa"/>
              <w:bottom w:w="60" w:type="dxa"/>
              <w:end w:w="85" w:type="dxa"/>
            </w:tcMar>
          </w:tcPr>
          <w:p>
            <w:pPr>
              <w:widowControl/>
              <w:spacing w:after="0" w:line="240" w:lineRule="auto"/>
            </w:pPr>
            <w:r/>
            <w:r>
              <w:rPr>
                <w:rFonts w:ascii="Aptos" w:hAnsi="Aptos"/>
                <w:b/>
                <w:i w:val="0"/>
                <w:sz w:val="15"/>
              </w:rPr>
              <w:t>Evidence to capture</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Authentication/session unusable</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5"/>
              </w:rPr>
              <w:t>NO-GO / rollback</w:t>
            </w:r>
          </w:p>
        </w:tc>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5"/>
              </w:rPr>
              <w:t>Release owner + backend</w:t>
            </w:r>
          </w:p>
        </w:tc>
        <w:tc>
          <w:tcPr>
            <w:tcW w:type="dxa" w:w="3096"/>
            <w:vAlign w:val="top"/>
            <w:tcMar>
              <w:top w:w="60" w:type="dxa"/>
              <w:start w:w="85" w:type="dxa"/>
              <w:bottom w:w="60" w:type="dxa"/>
              <w:end w:w="85" w:type="dxa"/>
            </w:tcMar>
          </w:tcPr>
          <w:p>
            <w:pPr>
              <w:widowControl/>
              <w:spacing w:after="0" w:line="240" w:lineRule="auto"/>
            </w:pPr>
            <w:r/>
            <w:r>
              <w:rPr>
                <w:rFonts w:ascii="Aptos" w:hAnsi="Aptos"/>
                <w:b w:val="0"/>
                <w:i w:val="0"/>
                <w:sz w:val="15"/>
              </w:rPr>
              <w:t>Health, cookie, CORS/CSRF, provider logs</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Migration incomplete/uncertain</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5"/>
              </w:rPr>
              <w:t>STOP traffic-changing steps</w:t>
            </w:r>
          </w:p>
        </w:tc>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5"/>
              </w:rPr>
              <w:t>DB owner + release owner</w:t>
            </w:r>
          </w:p>
        </w:tc>
        <w:tc>
          <w:tcPr>
            <w:tcW w:type="dxa" w:w="3096"/>
            <w:vAlign w:val="top"/>
            <w:tcMar>
              <w:top w:w="60" w:type="dxa"/>
              <w:start w:w="85" w:type="dxa"/>
              <w:bottom w:w="60" w:type="dxa"/>
              <w:end w:w="85" w:type="dxa"/>
            </w:tcMar>
          </w:tcPr>
          <w:p>
            <w:pPr>
              <w:widowControl/>
              <w:spacing w:after="0" w:line="240" w:lineRule="auto"/>
            </w:pPr>
            <w:r/>
            <w:r>
              <w:rPr>
                <w:rFonts w:ascii="Aptos" w:hAnsi="Aptos"/>
                <w:b w:val="0"/>
                <w:i w:val="0"/>
                <w:sz w:val="15"/>
              </w:rPr>
              <w:t>Migration table, locks, logs, snapshot/restore status</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Meta callback/permissions failure</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5"/>
              </w:rPr>
              <w:t>Disable Instagram enablement</w:t>
            </w:r>
          </w:p>
        </w:tc>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5"/>
              </w:rPr>
              <w:t>Meta owner + backend</w:t>
            </w:r>
          </w:p>
        </w:tc>
        <w:tc>
          <w:tcPr>
            <w:tcW w:type="dxa" w:w="3096"/>
            <w:vAlign w:val="top"/>
            <w:tcMar>
              <w:top w:w="60" w:type="dxa"/>
              <w:start w:w="85" w:type="dxa"/>
              <w:bottom w:w="60" w:type="dxa"/>
              <w:end w:w="85" w:type="dxa"/>
            </w:tcMar>
          </w:tcPr>
          <w:p>
            <w:pPr>
              <w:widowControl/>
              <w:spacing w:after="0" w:line="240" w:lineRule="auto"/>
            </w:pPr>
            <w:r/>
            <w:r>
              <w:rPr>
                <w:rFonts w:ascii="Aptos" w:hAnsi="Aptos"/>
                <w:b w:val="0"/>
                <w:i w:val="0"/>
                <w:sz w:val="15"/>
              </w:rPr>
              <w:t>App console, callback logs, OAuth state</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Postmark mandatory mail failure</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5"/>
              </w:rPr>
              <w:t>Do not certify auth/invite mail</w:t>
            </w:r>
          </w:p>
        </w:tc>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5"/>
              </w:rPr>
              <w:t>Postmark owner + backend</w:t>
            </w:r>
          </w:p>
        </w:tc>
        <w:tc>
          <w:tcPr>
            <w:tcW w:type="dxa" w:w="3096"/>
            <w:vAlign w:val="top"/>
            <w:tcMar>
              <w:top w:w="60" w:type="dxa"/>
              <w:start w:w="85" w:type="dxa"/>
              <w:bottom w:w="60" w:type="dxa"/>
              <w:end w:w="85" w:type="dxa"/>
            </w:tcMar>
          </w:tcPr>
          <w:p>
            <w:pPr>
              <w:widowControl/>
              <w:spacing w:after="0" w:line="240" w:lineRule="auto"/>
            </w:pPr>
            <w:r/>
            <w:r>
              <w:rPr>
                <w:rFonts w:ascii="Aptos" w:hAnsi="Aptos"/>
                <w:b w:val="0"/>
                <w:i w:val="0"/>
                <w:sz w:val="15"/>
              </w:rPr>
              <w:t>MessageID, activity, bounce/delivery event</w:t>
            </w:r>
          </w:p>
        </w:tc>
      </w:tr>
      <w:tr>
        <w:trPr>
          <w:cantSplit/>
        </w:trPr>
        <w:tc>
          <w:tcPr>
            <w:tcW w:type="dxa" w:w="2232"/>
            <w:vAlign w:val="top"/>
            <w:tcMar>
              <w:top w:w="60" w:type="dxa"/>
              <w:start w:w="85" w:type="dxa"/>
              <w:bottom w:w="60" w:type="dxa"/>
              <w:end w:w="85" w:type="dxa"/>
            </w:tcMar>
          </w:tcPr>
          <w:p>
            <w:pPr>
              <w:widowControl/>
              <w:spacing w:after="0" w:line="240" w:lineRule="auto"/>
            </w:pPr>
            <w:r/>
            <w:r>
              <w:rPr>
                <w:rFonts w:ascii="Aptos" w:hAnsi="Aptos"/>
                <w:b w:val="0"/>
                <w:i w:val="0"/>
                <w:sz w:val="15"/>
              </w:rPr>
              <w:t>Razorpay ambiguous financial outcome</w:t>
            </w:r>
          </w:p>
        </w:tc>
        <w:tc>
          <w:tcPr>
            <w:tcW w:type="dxa" w:w="2664"/>
            <w:vAlign w:val="top"/>
            <w:tcMar>
              <w:top w:w="60" w:type="dxa"/>
              <w:start w:w="85" w:type="dxa"/>
              <w:bottom w:w="60" w:type="dxa"/>
              <w:end w:w="85" w:type="dxa"/>
            </w:tcMar>
          </w:tcPr>
          <w:p>
            <w:pPr>
              <w:widowControl/>
              <w:spacing w:after="0" w:line="240" w:lineRule="auto"/>
            </w:pPr>
            <w:r/>
            <w:r>
              <w:rPr>
                <w:rFonts w:ascii="Aptos" w:hAnsi="Aptos"/>
                <w:b w:val="0"/>
                <w:i w:val="0"/>
                <w:sz w:val="15"/>
              </w:rPr>
              <w:t>FAIL CLOSED; no manual duplicate</w:t>
            </w:r>
          </w:p>
        </w:tc>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5"/>
              </w:rPr>
              <w:t>Finance platform owner</w:t>
            </w:r>
          </w:p>
        </w:tc>
        <w:tc>
          <w:tcPr>
            <w:tcW w:type="dxa" w:w="3096"/>
            <w:vAlign w:val="top"/>
            <w:tcMar>
              <w:top w:w="60" w:type="dxa"/>
              <w:start w:w="85" w:type="dxa"/>
              <w:bottom w:w="60" w:type="dxa"/>
              <w:end w:w="85" w:type="dxa"/>
            </w:tcMar>
          </w:tcPr>
          <w:p>
            <w:pPr>
              <w:widowControl/>
              <w:spacing w:after="0" w:line="240" w:lineRule="auto"/>
            </w:pPr>
            <w:r/>
            <w:r>
              <w:rPr>
                <w:rFonts w:ascii="Aptos" w:hAnsi="Aptos"/>
                <w:b w:val="0"/>
                <w:i w:val="0"/>
                <w:sz w:val="15"/>
              </w:rPr>
              <w:t>Idempotency, webhook, reconciliation, provider IDs</w:t>
            </w:r>
          </w:p>
        </w:tc>
      </w:tr>
    </w:tbl>
    <w:p>
      <w:pPr>
        <w:spacing w:after="0"/>
      </w:pPr>
    </w:p>
    <w:p>
      <w:pPr>
        <w:pStyle w:val="Heading1"/>
        <w:keepNext/>
        <w:keepLines/>
        <w:spacing w:before="360" w:after="80"/>
      </w:pPr>
      <w:r>
        <w:t>11. Evidence register, ownership, and final sign-off</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872"/>
            <w:shd w:fill="D9EAF7"/>
            <w:vAlign w:val="center"/>
            <w:tcMar>
              <w:top w:w="60" w:type="dxa"/>
              <w:start w:w="85" w:type="dxa"/>
              <w:bottom w:w="60" w:type="dxa"/>
              <w:end w:w="85" w:type="dxa"/>
            </w:tcMar>
          </w:tcPr>
          <w:p>
            <w:pPr>
              <w:widowControl/>
              <w:spacing w:after="0" w:line="240" w:lineRule="auto"/>
            </w:pPr>
            <w:r/>
            <w:r>
              <w:rPr>
                <w:rFonts w:ascii="Aptos" w:hAnsi="Aptos"/>
                <w:b/>
                <w:i w:val="0"/>
                <w:sz w:val="14"/>
              </w:rPr>
              <w:t>Evidence item</w:t>
            </w:r>
          </w:p>
        </w:tc>
        <w:tc>
          <w:tcPr>
            <w:tcW w:type="dxa" w:w="1944"/>
            <w:shd w:fill="D9EAF7"/>
            <w:vAlign w:val="center"/>
            <w:tcMar>
              <w:top w:w="60" w:type="dxa"/>
              <w:start w:w="85" w:type="dxa"/>
              <w:bottom w:w="60" w:type="dxa"/>
              <w:end w:w="85" w:type="dxa"/>
            </w:tcMar>
          </w:tcPr>
          <w:p>
            <w:pPr>
              <w:widowControl/>
              <w:spacing w:after="0" w:line="240" w:lineRule="auto"/>
            </w:pPr>
            <w:r/>
            <w:r>
              <w:rPr>
                <w:rFonts w:ascii="Aptos" w:hAnsi="Aptos"/>
                <w:b/>
                <w:i w:val="0"/>
                <w:sz w:val="14"/>
              </w:rPr>
              <w:t>Accountable owner</w:t>
            </w:r>
          </w:p>
        </w:tc>
        <w:tc>
          <w:tcPr>
            <w:tcW w:type="dxa" w:w="4680"/>
            <w:shd w:fill="D9EAF7"/>
            <w:vAlign w:val="center"/>
            <w:tcMar>
              <w:top w:w="60" w:type="dxa"/>
              <w:start w:w="85" w:type="dxa"/>
              <w:bottom w:w="60" w:type="dxa"/>
              <w:end w:w="85" w:type="dxa"/>
            </w:tcMar>
          </w:tcPr>
          <w:p>
            <w:pPr>
              <w:widowControl/>
              <w:spacing w:after="0" w:line="240" w:lineRule="auto"/>
            </w:pPr>
            <w:r/>
            <w:r>
              <w:rPr>
                <w:rFonts w:ascii="Aptos" w:hAnsi="Aptos"/>
                <w:b/>
                <w:i w:val="0"/>
                <w:sz w:val="14"/>
              </w:rPr>
              <w:t>Required record</w:t>
            </w:r>
          </w:p>
        </w:tc>
        <w:tc>
          <w:tcPr>
            <w:tcW w:type="dxa" w:w="1584"/>
            <w:shd w:fill="D9EAF7"/>
            <w:vAlign w:val="center"/>
            <w:tcMar>
              <w:top w:w="60" w:type="dxa"/>
              <w:start w:w="85" w:type="dxa"/>
              <w:bottom w:w="60" w:type="dxa"/>
              <w:end w:w="85" w:type="dxa"/>
            </w:tcMar>
          </w:tcPr>
          <w:p>
            <w:pPr>
              <w:widowControl/>
              <w:spacing w:after="0" w:line="240" w:lineRule="auto"/>
            </w:pPr>
            <w:r/>
            <w:r>
              <w:rPr>
                <w:rFonts w:ascii="Aptos" w:hAnsi="Aptos"/>
                <w:b/>
                <w:i w:val="0"/>
                <w:sz w:val="14"/>
              </w:rPr>
              <w:t>Gate</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Release manifest</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Release owner</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Frontend/backend SHAs, artifact digests, target environment, timestamp</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Core deployment</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Authority pin</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Systems Architect</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Accepted dummy_tcs branch + SHA</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Core deployment</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Migration</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Database owner</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Plan, snapshot, pre/post status, executor, exact-once result</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Core deployment</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Auth/session</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Backend + frontend owners</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Cookie/topology checks, login matrix, browser storage evidence</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Core deployment</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Meta</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Meta app owner</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App mode, app ID, products, permissions, exact redirects/callbacks, screenshots, controlled tests</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Instagram enablement</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Postmark auth</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Postmark owner</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Template/sender/stream configuration, persisted MessageIDs, provider delivery events</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Mandatory mail</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Postmark Team</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Postmark + Team owner</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Template model, acceptance link, expiry/terminal-state test</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Invite mail</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Razorpay subscription/top-up</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Payments owner</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Plans, credentials, webhook/reconciliation, controlled checkout/top-up</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Payment enablement</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Razorpay Brand Return</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Payments + backend owners</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Adapter review, provider support, webhook/reconciliation, controlled returns</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BS-04 enablement</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Razorpay Route</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Payments + backend owners</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Entitlement, linked accounts, adapter review, transfers/reversals/settlements</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BS-09 enablement</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QA/accessibility</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QA owner</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Role matrix, responsive/browser evidence, accessibility results</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Core certification</w:t>
            </w:r>
          </w:p>
        </w:tc>
      </w:tr>
      <w:tr>
        <w:trPr>
          <w:cantSplit/>
        </w:trPr>
        <w:tc>
          <w:tcPr>
            <w:tcW w:type="dxa" w:w="1872"/>
            <w:vAlign w:val="top"/>
            <w:tcMar>
              <w:top w:w="60" w:type="dxa"/>
              <w:start w:w="85" w:type="dxa"/>
              <w:bottom w:w="60" w:type="dxa"/>
              <w:end w:w="85" w:type="dxa"/>
            </w:tcMar>
          </w:tcPr>
          <w:p>
            <w:pPr>
              <w:widowControl/>
              <w:spacing w:after="0" w:line="240" w:lineRule="auto"/>
            </w:pPr>
            <w:r/>
            <w:r>
              <w:rPr>
                <w:rFonts w:ascii="Aptos" w:hAnsi="Aptos"/>
                <w:b w:val="0"/>
                <w:i w:val="0"/>
                <w:sz w:val="14"/>
              </w:rPr>
              <w:t>Observability/support</w:t>
            </w:r>
          </w:p>
        </w:tc>
        <w:tc>
          <w:tcPr>
            <w:tcW w:type="dxa" w:w="1944"/>
            <w:vAlign w:val="top"/>
            <w:tcMar>
              <w:top w:w="60" w:type="dxa"/>
              <w:start w:w="85" w:type="dxa"/>
              <w:bottom w:w="60" w:type="dxa"/>
              <w:end w:w="85" w:type="dxa"/>
            </w:tcMar>
          </w:tcPr>
          <w:p>
            <w:pPr>
              <w:widowControl/>
              <w:spacing w:after="0" w:line="240" w:lineRule="auto"/>
            </w:pPr>
            <w:r/>
            <w:r>
              <w:rPr>
                <w:rFonts w:ascii="Aptos" w:hAnsi="Aptos"/>
                <w:b w:val="0"/>
                <w:i w:val="0"/>
                <w:sz w:val="14"/>
              </w:rPr>
              <w:t>SRE/support owner</w:t>
            </w:r>
          </w:p>
        </w:tc>
        <w:tc>
          <w:tcPr>
            <w:tcW w:type="dxa" w:w="4680"/>
            <w:vAlign w:val="top"/>
            <w:tcMar>
              <w:top w:w="60" w:type="dxa"/>
              <w:start w:w="85" w:type="dxa"/>
              <w:bottom w:w="60" w:type="dxa"/>
              <w:end w:w="85" w:type="dxa"/>
            </w:tcMar>
          </w:tcPr>
          <w:p>
            <w:pPr>
              <w:widowControl/>
              <w:spacing w:after="0" w:line="240" w:lineRule="auto"/>
            </w:pPr>
            <w:r/>
            <w:r>
              <w:rPr>
                <w:rFonts w:ascii="Aptos" w:hAnsi="Aptos"/>
                <w:b w:val="0"/>
                <w:i w:val="0"/>
                <w:sz w:val="14"/>
              </w:rPr>
              <w:t>Dashboards, alerts, runbooks, disable/rollback procedures</w:t>
            </w:r>
          </w:p>
        </w:tc>
        <w:tc>
          <w:tcPr>
            <w:tcW w:type="dxa" w:w="1584"/>
            <w:vAlign w:val="top"/>
            <w:tcMar>
              <w:top w:w="60" w:type="dxa"/>
              <w:start w:w="85" w:type="dxa"/>
              <w:bottom w:w="60" w:type="dxa"/>
              <w:end w:w="85" w:type="dxa"/>
            </w:tcMar>
          </w:tcPr>
          <w:p>
            <w:pPr>
              <w:widowControl/>
              <w:spacing w:after="0" w:line="240" w:lineRule="auto"/>
            </w:pPr>
            <w:r/>
            <w:r>
              <w:rPr>
                <w:rFonts w:ascii="Aptos" w:hAnsi="Aptos"/>
                <w:b w:val="0"/>
                <w:i w:val="0"/>
                <w:sz w:val="14"/>
              </w:rPr>
              <w:t>Each enabled surface</w:t>
            </w:r>
          </w:p>
        </w:tc>
      </w:tr>
    </w:tbl>
    <w:p>
      <w:pPr>
        <w:spacing w:after="0"/>
      </w:pPr>
    </w:p>
    <w:p>
      <w:pPr>
        <w:keepLines/>
        <w:spacing w:before="60" w:after="120" w:line="250" w:lineRule="auto"/>
        <w:ind w:left="58" w:right="58"/>
        <w:shd w:fill="E2F0D9"/>
        <w:pBdr>
          <w:top w:val="single" w:sz="5" w:space="3" w:color="808080"/>
          <w:left w:val="single" w:sz="5" w:space="3" w:color="808080"/>
          <w:bottom w:val="single" w:sz="5" w:space="3" w:color="808080"/>
          <w:right w:val="single" w:sz="5" w:space="3" w:color="808080"/>
        </w:pBdr>
      </w:pPr>
      <w:r>
        <w:rPr>
          <w:b/>
          <w:i w:val="0"/>
          <w:color w:val="375623"/>
        </w:rPr>
        <w:t xml:space="preserve">Production acceptance record: </w:t>
      </w:r>
      <w:r>
        <w:rPr>
          <w:b w:val="0"/>
          <w:i w:val="0"/>
        </w:rPr>
        <w:t>record release decision (GO / NO-GO), exact artifact digests, migration result, core smoke result, provider surface decisions, known exceptions, rollback point, timestamp, and named approvers. Do not replace this record with chat history.</w:t>
      </w:r>
    </w:p>
    <w:p>
      <w:pPr>
        <w:pStyle w:val="Heading1"/>
        <w:keepNext/>
        <w:keepLines/>
        <w:spacing w:before="360" w:after="80"/>
      </w:pPr>
      <w:r>
        <w:t>12. Known non-blocking repository baseline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D9EAF7"/>
            <w:vAlign w:val="center"/>
            <w:tcMar>
              <w:top w:w="60" w:type="dxa"/>
              <w:start w:w="85" w:type="dxa"/>
              <w:bottom w:w="60" w:type="dxa"/>
              <w:end w:w="85" w:type="dxa"/>
            </w:tcMar>
          </w:tcPr>
          <w:p>
            <w:pPr>
              <w:widowControl/>
              <w:spacing w:after="0" w:line="240" w:lineRule="auto"/>
            </w:pPr>
            <w:r/>
            <w:r>
              <w:rPr>
                <w:rFonts w:ascii="Aptos" w:hAnsi="Aptos"/>
                <w:b/>
                <w:i w:val="0"/>
                <w:sz w:val="16"/>
              </w:rPr>
              <w:t>Check</w:t>
            </w:r>
          </w:p>
        </w:tc>
        <w:tc>
          <w:tcPr>
            <w:tcW w:type="dxa" w:w="3528"/>
            <w:shd w:fill="D9EAF7"/>
            <w:vAlign w:val="center"/>
            <w:tcMar>
              <w:top w:w="60" w:type="dxa"/>
              <w:start w:w="85" w:type="dxa"/>
              <w:bottom w:w="60" w:type="dxa"/>
              <w:end w:w="85" w:type="dxa"/>
            </w:tcMar>
          </w:tcPr>
          <w:p>
            <w:pPr>
              <w:widowControl/>
              <w:spacing w:after="0" w:line="240" w:lineRule="auto"/>
            </w:pPr>
            <w:r/>
            <w:r>
              <w:rPr>
                <w:rFonts w:ascii="Aptos" w:hAnsi="Aptos"/>
                <w:b/>
                <w:i w:val="0"/>
                <w:sz w:val="16"/>
              </w:rPr>
              <w:t>Accepted baseline</w:t>
            </w:r>
          </w:p>
        </w:tc>
        <w:tc>
          <w:tcPr>
            <w:tcW w:type="dxa" w:w="4464"/>
            <w:shd w:fill="D9EAF7"/>
            <w:vAlign w:val="center"/>
            <w:tcMar>
              <w:top w:w="60" w:type="dxa"/>
              <w:start w:w="85" w:type="dxa"/>
              <w:bottom w:w="60" w:type="dxa"/>
              <w:end w:w="85" w:type="dxa"/>
            </w:tcMar>
          </w:tcPr>
          <w:p>
            <w:pPr>
              <w:widowControl/>
              <w:spacing w:after="0" w:line="240" w:lineRule="auto"/>
            </w:pPr>
            <w:r/>
            <w:r>
              <w:rPr>
                <w:rFonts w:ascii="Aptos" w:hAnsi="Aptos"/>
                <w:b/>
                <w:i w:val="0"/>
                <w:sz w:val="16"/>
              </w:rPr>
              <w:t>Release interpretation</w:t>
            </w:r>
          </w:p>
        </w:tc>
      </w:tr>
      <w:tr>
        <w:trPr>
          <w:cantSplit/>
        </w:trPr>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6"/>
              </w:rPr>
              <w:t>Frontend regression</w:t>
            </w:r>
          </w:p>
        </w:tc>
        <w:tc>
          <w:tcPr>
            <w:tcW w:type="dxa" w:w="3528"/>
            <w:vAlign w:val="top"/>
            <w:tcMar>
              <w:top w:w="60" w:type="dxa"/>
              <w:start w:w="85" w:type="dxa"/>
              <w:bottom w:w="60" w:type="dxa"/>
              <w:end w:w="85" w:type="dxa"/>
            </w:tcMar>
            <w:shd w:fill="E2F0D9"/>
          </w:tcPr>
          <w:p>
            <w:pPr>
              <w:widowControl/>
              <w:spacing w:after="0" w:line="240" w:lineRule="auto"/>
            </w:pPr>
            <w:r/>
            <w:r>
              <w:rPr>
                <w:rFonts w:ascii="Aptos" w:hAnsi="Aptos"/>
                <w:b w:val="0"/>
                <w:i w:val="0"/>
                <w:sz w:val="16"/>
              </w:rPr>
              <w:t>66 test files / 477 tests</w:t>
            </w:r>
          </w:p>
        </w:tc>
        <w:tc>
          <w:tcPr>
            <w:tcW w:type="dxa" w:w="4464"/>
            <w:vAlign w:val="top"/>
            <w:tcMar>
              <w:top w:w="60" w:type="dxa"/>
              <w:start w:w="85" w:type="dxa"/>
              <w:bottom w:w="60" w:type="dxa"/>
              <w:end w:w="85" w:type="dxa"/>
            </w:tcMar>
          </w:tcPr>
          <w:p>
            <w:pPr>
              <w:widowControl/>
              <w:spacing w:after="0" w:line="240" w:lineRule="auto"/>
            </w:pPr>
            <w:r/>
            <w:r>
              <w:rPr>
                <w:rFonts w:ascii="Aptos" w:hAnsi="Aptos"/>
                <w:b w:val="0"/>
                <w:i w:val="0"/>
                <w:sz w:val="16"/>
              </w:rPr>
              <w:t>PASS at FE-E closure</w:t>
            </w:r>
          </w:p>
        </w:tc>
      </w:tr>
      <w:tr>
        <w:trPr>
          <w:cantSplit/>
        </w:trPr>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6"/>
              </w:rPr>
              <w:t>Settings-scoped lint</w:t>
            </w:r>
          </w:p>
        </w:tc>
        <w:tc>
          <w:tcPr>
            <w:tcW w:type="dxa" w:w="3528"/>
            <w:vAlign w:val="top"/>
            <w:tcMar>
              <w:top w:w="60" w:type="dxa"/>
              <w:start w:w="85" w:type="dxa"/>
              <w:bottom w:w="60" w:type="dxa"/>
              <w:end w:w="85" w:type="dxa"/>
            </w:tcMar>
            <w:shd w:fill="E2F0D9"/>
          </w:tcPr>
          <w:p>
            <w:pPr>
              <w:widowControl/>
              <w:spacing w:after="0" w:line="240" w:lineRule="auto"/>
            </w:pPr>
            <w:r/>
            <w:r>
              <w:rPr>
                <w:rFonts w:ascii="Aptos" w:hAnsi="Aptos"/>
                <w:b w:val="0"/>
                <w:i w:val="0"/>
                <w:sz w:val="16"/>
              </w:rPr>
              <w:t>PASS</w:t>
            </w:r>
          </w:p>
        </w:tc>
        <w:tc>
          <w:tcPr>
            <w:tcW w:type="dxa" w:w="4464"/>
            <w:vAlign w:val="top"/>
            <w:tcMar>
              <w:top w:w="60" w:type="dxa"/>
              <w:start w:w="85" w:type="dxa"/>
              <w:bottom w:w="60" w:type="dxa"/>
              <w:end w:w="85" w:type="dxa"/>
            </w:tcMar>
          </w:tcPr>
          <w:p>
            <w:pPr>
              <w:widowControl/>
              <w:spacing w:after="0" w:line="240" w:lineRule="auto"/>
            </w:pPr>
            <w:r/>
            <w:r>
              <w:rPr>
                <w:rFonts w:ascii="Aptos" w:hAnsi="Aptos"/>
                <w:b w:val="0"/>
                <w:i w:val="0"/>
                <w:sz w:val="16"/>
              </w:rPr>
              <w:t>Use as release comparison</w:t>
            </w:r>
          </w:p>
        </w:tc>
      </w:tr>
      <w:tr>
        <w:trPr>
          <w:cantSplit/>
        </w:trPr>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6"/>
              </w:rPr>
              <w:t>Typecheck</w:t>
            </w:r>
          </w:p>
        </w:tc>
        <w:tc>
          <w:tcPr>
            <w:tcW w:type="dxa" w:w="3528"/>
            <w:vAlign w:val="top"/>
            <w:tcMar>
              <w:top w:w="60" w:type="dxa"/>
              <w:start w:w="85" w:type="dxa"/>
              <w:bottom w:w="60" w:type="dxa"/>
              <w:end w:w="85" w:type="dxa"/>
            </w:tcMar>
            <w:shd w:fill="E2F0D9"/>
          </w:tcPr>
          <w:p>
            <w:pPr>
              <w:widowControl/>
              <w:spacing w:after="0" w:line="240" w:lineRule="auto"/>
            </w:pPr>
            <w:r/>
            <w:r>
              <w:rPr>
                <w:rFonts w:ascii="Aptos" w:hAnsi="Aptos"/>
                <w:b w:val="0"/>
                <w:i w:val="0"/>
                <w:sz w:val="16"/>
              </w:rPr>
              <w:t>PASS</w:t>
            </w:r>
          </w:p>
        </w:tc>
        <w:tc>
          <w:tcPr>
            <w:tcW w:type="dxa" w:w="4464"/>
            <w:vAlign w:val="top"/>
            <w:tcMar>
              <w:top w:w="60" w:type="dxa"/>
              <w:start w:w="85" w:type="dxa"/>
              <w:bottom w:w="60" w:type="dxa"/>
              <w:end w:w="85" w:type="dxa"/>
            </w:tcMar>
          </w:tcPr>
          <w:p>
            <w:pPr>
              <w:widowControl/>
              <w:spacing w:after="0" w:line="240" w:lineRule="auto"/>
            </w:pPr>
            <w:r/>
            <w:r>
              <w:rPr>
                <w:rFonts w:ascii="Aptos" w:hAnsi="Aptos"/>
                <w:b w:val="0"/>
                <w:i w:val="0"/>
                <w:sz w:val="16"/>
              </w:rPr>
              <w:t>Use as release comparison</w:t>
            </w:r>
          </w:p>
        </w:tc>
      </w:tr>
      <w:tr>
        <w:trPr>
          <w:cantSplit/>
        </w:trPr>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6"/>
              </w:rPr>
              <w:t>Build</w:t>
            </w:r>
          </w:p>
        </w:tc>
        <w:tc>
          <w:tcPr>
            <w:tcW w:type="dxa" w:w="3528"/>
            <w:vAlign w:val="top"/>
            <w:tcMar>
              <w:top w:w="60" w:type="dxa"/>
              <w:start w:w="85" w:type="dxa"/>
              <w:bottom w:w="60" w:type="dxa"/>
              <w:end w:w="85" w:type="dxa"/>
            </w:tcMar>
            <w:shd w:fill="FFF2CC"/>
          </w:tcPr>
          <w:p>
            <w:pPr>
              <w:widowControl/>
              <w:spacing w:after="0" w:line="240" w:lineRule="auto"/>
            </w:pPr>
            <w:r/>
            <w:r>
              <w:rPr>
                <w:rFonts w:ascii="Aptos" w:hAnsi="Aptos"/>
                <w:b w:val="0"/>
                <w:i w:val="0"/>
                <w:sz w:val="16"/>
              </w:rPr>
              <w:t>PASS</w:t>
            </w:r>
          </w:p>
        </w:tc>
        <w:tc>
          <w:tcPr>
            <w:tcW w:type="dxa" w:w="4464"/>
            <w:vAlign w:val="top"/>
            <w:tcMar>
              <w:top w:w="60" w:type="dxa"/>
              <w:start w:w="85" w:type="dxa"/>
              <w:bottom w:w="60" w:type="dxa"/>
              <w:end w:w="85" w:type="dxa"/>
            </w:tcMar>
          </w:tcPr>
          <w:p>
            <w:pPr>
              <w:widowControl/>
              <w:spacing w:after="0" w:line="240" w:lineRule="auto"/>
            </w:pPr>
            <w:r/>
            <w:r>
              <w:rPr>
                <w:rFonts w:ascii="Aptos" w:hAnsi="Aptos"/>
                <w:b w:val="0"/>
                <w:i w:val="0"/>
                <w:sz w:val="16"/>
              </w:rPr>
              <w:t>Existing large-chunk warning remains</w:t>
            </w:r>
          </w:p>
        </w:tc>
      </w:tr>
      <w:tr>
        <w:trPr>
          <w:cantSplit/>
        </w:trPr>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6"/>
              </w:rPr>
              <w:t>Repository-wide lint</w:t>
            </w:r>
          </w:p>
        </w:tc>
        <w:tc>
          <w:tcPr>
            <w:tcW w:type="dxa" w:w="3528"/>
            <w:vAlign w:val="top"/>
            <w:tcMar>
              <w:top w:w="60" w:type="dxa"/>
              <w:start w:w="85" w:type="dxa"/>
              <w:bottom w:w="60" w:type="dxa"/>
              <w:end w:w="85" w:type="dxa"/>
            </w:tcMar>
            <w:shd w:fill="FFF2CC"/>
          </w:tcPr>
          <w:p>
            <w:pPr>
              <w:widowControl/>
              <w:spacing w:after="0" w:line="240" w:lineRule="auto"/>
            </w:pPr>
            <w:r/>
            <w:r>
              <w:rPr>
                <w:rFonts w:ascii="Aptos" w:hAnsi="Aptos"/>
                <w:b w:val="0"/>
                <w:i w:val="0"/>
                <w:sz w:val="16"/>
              </w:rPr>
              <w:t>25 pre-existing errors / 16 warnings outside Settings scope</w:t>
            </w:r>
          </w:p>
        </w:tc>
        <w:tc>
          <w:tcPr>
            <w:tcW w:type="dxa" w:w="4464"/>
            <w:vAlign w:val="top"/>
            <w:tcMar>
              <w:top w:w="60" w:type="dxa"/>
              <w:start w:w="85" w:type="dxa"/>
              <w:bottom w:w="60" w:type="dxa"/>
              <w:end w:w="85" w:type="dxa"/>
            </w:tcMar>
          </w:tcPr>
          <w:p>
            <w:pPr>
              <w:widowControl/>
              <w:spacing w:after="0" w:line="240" w:lineRule="auto"/>
            </w:pPr>
            <w:r/>
            <w:r>
              <w:rPr>
                <w:rFonts w:ascii="Aptos" w:hAnsi="Aptos"/>
                <w:b w:val="0"/>
                <w:i w:val="0"/>
                <w:sz w:val="16"/>
              </w:rPr>
              <w:t>Non-blocking baseline; do not misclassify as new Settings defect</w:t>
            </w:r>
          </w:p>
        </w:tc>
      </w:tr>
      <w:tr>
        <w:trPr>
          <w:cantSplit/>
        </w:trPr>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6"/>
              </w:rPr>
              <w:t>Router</w:t>
            </w:r>
          </w:p>
        </w:tc>
        <w:tc>
          <w:tcPr>
            <w:tcW w:type="dxa" w:w="3528"/>
            <w:vAlign w:val="top"/>
            <w:tcMar>
              <w:top w:w="60" w:type="dxa"/>
              <w:start w:w="85" w:type="dxa"/>
              <w:bottom w:w="60" w:type="dxa"/>
              <w:end w:w="85" w:type="dxa"/>
            </w:tcMar>
            <w:shd w:fill="FFF2CC"/>
          </w:tcPr>
          <w:p>
            <w:pPr>
              <w:widowControl/>
              <w:spacing w:after="0" w:line="240" w:lineRule="auto"/>
            </w:pPr>
            <w:r/>
            <w:r>
              <w:rPr>
                <w:rFonts w:ascii="Aptos" w:hAnsi="Aptos"/>
                <w:b w:val="0"/>
                <w:i w:val="0"/>
                <w:sz w:val="16"/>
              </w:rPr>
              <w:t>Existing React Router v7 future warnings</w:t>
            </w:r>
          </w:p>
        </w:tc>
        <w:tc>
          <w:tcPr>
            <w:tcW w:type="dxa" w:w="4464"/>
            <w:vAlign w:val="top"/>
            <w:tcMar>
              <w:top w:w="60" w:type="dxa"/>
              <w:start w:w="85" w:type="dxa"/>
              <w:bottom w:w="60" w:type="dxa"/>
              <w:end w:w="85" w:type="dxa"/>
            </w:tcMar>
          </w:tcPr>
          <w:p>
            <w:pPr>
              <w:widowControl/>
              <w:spacing w:after="0" w:line="240" w:lineRule="auto"/>
            </w:pPr>
            <w:r/>
            <w:r>
              <w:rPr>
                <w:rFonts w:ascii="Aptos" w:hAnsi="Aptos"/>
                <w:b w:val="0"/>
                <w:i w:val="0"/>
                <w:sz w:val="16"/>
              </w:rPr>
              <w:t>Non-blocking platform debt</w:t>
            </w:r>
          </w:p>
        </w:tc>
      </w:tr>
      <w:tr>
        <w:trPr>
          <w:cantSplit/>
        </w:trPr>
        <w:tc>
          <w:tcPr>
            <w:tcW w:type="dxa" w:w="2088"/>
            <w:vAlign w:val="top"/>
            <w:tcMar>
              <w:top w:w="60" w:type="dxa"/>
              <w:start w:w="85" w:type="dxa"/>
              <w:bottom w:w="60" w:type="dxa"/>
              <w:end w:w="85" w:type="dxa"/>
            </w:tcMar>
          </w:tcPr>
          <w:p>
            <w:pPr>
              <w:widowControl/>
              <w:spacing w:after="0" w:line="240" w:lineRule="auto"/>
            </w:pPr>
            <w:r/>
            <w:r>
              <w:rPr>
                <w:rFonts w:ascii="Aptos" w:hAnsi="Aptos"/>
                <w:b w:val="0"/>
                <w:i w:val="0"/>
                <w:sz w:val="16"/>
              </w:rPr>
              <w:t>Deployment</w:t>
            </w:r>
          </w:p>
        </w:tc>
        <w:tc>
          <w:tcPr>
            <w:tcW w:type="dxa" w:w="3528"/>
            <w:vAlign w:val="top"/>
            <w:tcMar>
              <w:top w:w="60" w:type="dxa"/>
              <w:start w:w="85" w:type="dxa"/>
              <w:bottom w:w="60" w:type="dxa"/>
              <w:end w:w="85" w:type="dxa"/>
            </w:tcMar>
            <w:shd w:fill="FFF2CC"/>
          </w:tcPr>
          <w:p>
            <w:pPr>
              <w:widowControl/>
              <w:spacing w:after="0" w:line="240" w:lineRule="auto"/>
            </w:pPr>
            <w:r/>
            <w:r>
              <w:rPr>
                <w:rFonts w:ascii="Aptos" w:hAnsi="Aptos"/>
                <w:b w:val="0"/>
                <w:i w:val="0"/>
                <w:sz w:val="16"/>
              </w:rPr>
              <w:t>Not performed</w:t>
            </w:r>
          </w:p>
        </w:tc>
        <w:tc>
          <w:tcPr>
            <w:tcW w:type="dxa" w:w="4464"/>
            <w:vAlign w:val="top"/>
            <w:tcMar>
              <w:top w:w="60" w:type="dxa"/>
              <w:start w:w="85" w:type="dxa"/>
              <w:bottom w:w="60" w:type="dxa"/>
              <w:end w:w="85" w:type="dxa"/>
            </w:tcMar>
          </w:tcPr>
          <w:p>
            <w:pPr>
              <w:widowControl/>
              <w:spacing w:after="0" w:line="240" w:lineRule="auto"/>
            </w:pPr>
            <w:r/>
            <w:r>
              <w:rPr>
                <w:rFonts w:ascii="Aptos" w:hAnsi="Aptos"/>
                <w:b w:val="0"/>
                <w:i w:val="0"/>
                <w:sz w:val="16"/>
              </w:rPr>
              <w:t>Still requires this handoff’s gates</w:t>
            </w:r>
          </w:p>
        </w:tc>
      </w:tr>
    </w:tbl>
    <w:p>
      <w:pPr>
        <w:spacing w:after="0"/>
      </w:pPr>
    </w:p>
    <w:p>
      <w:pPr>
        <w:pStyle w:val="Heading1"/>
        <w:keepNext/>
        <w:keepLines/>
        <w:spacing w:before="360" w:after="80"/>
      </w:pPr>
      <w:r>
        <w:t>13. Change control and final authority</w:t>
      </w:r>
    </w:p>
    <w:p>
      <w:pPr>
        <w:spacing w:before="0" w:after="60" w:line="250" w:lineRule="auto"/>
      </w:pPr>
      <w:r>
        <w:rPr>
          <w:i w:val="0"/>
        </w:rPr>
        <w:t>Classify every issue before changing code:</w:t>
      </w:r>
    </w:p>
    <w:p>
      <w:pPr>
        <w:keepLines/>
        <w:spacing w:before="40" w:after="100" w:line="240" w:lineRule="auto"/>
        <w:ind w:left="58" w:right="58"/>
        <w:shd w:fill="EAF2F8"/>
        <w:pBdr>
          <w:top w:val="single" w:sz="5" w:space="3" w:color="808080"/>
          <w:left w:val="single" w:sz="5" w:space="3" w:color="808080"/>
          <w:bottom w:val="single" w:sz="5" w:space="3" w:color="808080"/>
          <w:right w:val="single" w:sz="5" w:space="3" w:color="808080"/>
        </w:pBdr>
      </w:pPr>
      <w:r>
        <w:rPr>
          <w:rFonts w:ascii="Consolas" w:hAnsi="Consolas"/>
          <w:sz w:val="17"/>
        </w:rPr>
        <w:t>A. Deployment/configuration     B. Provider operational</w:t>
        <w:br/>
      </w:r>
      <w:r>
        <w:rPr>
          <w:rFonts w:ascii="Consolas" w:hAnsi="Consolas"/>
          <w:sz w:val="17"/>
        </w:rPr>
        <w:t>C. Environment/secret           D. Data/migration</w:t>
        <w:br/>
      </w:r>
      <w:r>
        <w:rPr>
          <w:rFonts w:ascii="Consolas" w:hAnsi="Consolas"/>
          <w:sz w:val="17"/>
        </w:rPr>
        <w:t>E. Genuine canonical contract defect</w:t>
      </w:r>
    </w:p>
    <w:p>
      <w:pPr>
        <w:pStyle w:val="ListBullet"/>
        <w:keepLines/>
        <w:spacing w:after="40" w:line="245" w:lineRule="auto"/>
      </w:pPr>
      <w:r>
        <w:t>Resolve A–D operationally or as the smallest bounded infrastructure/provider task without changing Product semantics.</w:t>
      </w:r>
    </w:p>
    <w:p>
      <w:pPr>
        <w:pStyle w:val="ListBullet"/>
        <w:keepLines/>
        <w:spacing w:after="40" w:line="245" w:lineRule="auto"/>
      </w:pPr>
      <w:r>
        <w:t>For E, capture exact canonical SHA, component/endpoint, reproduction, expected contract, actual behavior, and smallest correction. Route the correction to the relevant BS unit and repeat its acceptance/integration gate.</w:t>
      </w:r>
    </w:p>
    <w:p>
      <w:pPr>
        <w:pStyle w:val="ListBullet"/>
        <w:keepLines/>
        <w:spacing w:after="40" w:line="245" w:lineRule="auto"/>
      </w:pPr>
      <w:r>
        <w:t>No Settings product/code gap remains open for closure. Runtime enablement of BS-04 and BS-09 nevertheless requires the bounded backend adapter work described above.</w:t>
      </w:r>
    </w:p>
    <w:p>
      <w:pPr>
        <w:pStyle w:val="ListBullet"/>
        <w:keepLines/>
        <w:spacing w:after="40" w:line="245" w:lineRule="auto"/>
      </w:pPr>
      <w:r>
        <w:t>No Stitch work is required. Deployment and production runtime certification remain outside the closed implementation program until completed under this handoff.</w:t>
      </w:r>
    </w:p>
    <w:p>
      <w:pPr>
        <w:keepLines/>
        <w:spacing w:before="40" w:after="100" w:line="240" w:lineRule="auto"/>
        <w:ind w:left="58" w:right="58"/>
        <w:shd w:fill="EDEDED"/>
        <w:pBdr>
          <w:top w:val="single" w:sz="5" w:space="3" w:color="808080"/>
          <w:left w:val="single" w:sz="5" w:space="3" w:color="808080"/>
          <w:bottom w:val="single" w:sz="5" w:space="3" w:color="808080"/>
          <w:right w:val="single" w:sz="5" w:space="3" w:color="808080"/>
        </w:pBdr>
      </w:pPr>
      <w:r>
        <w:rPr>
          <w:rFonts w:ascii="Consolas" w:hAnsi="Consolas"/>
          <w:sz w:val="17"/>
        </w:rPr>
        <w:t>BACKEND  Piyush1087/creator-commerce-backend-v2-clone</w:t>
        <w:br/>
      </w:r>
      <w:r>
        <w:rPr>
          <w:rFonts w:ascii="Consolas" w:hAnsi="Consolas"/>
          <w:sz w:val="17"/>
        </w:rPr>
        <w:t xml:space="preserve">         program/brand-settings-mvp</w:t>
        <w:br/>
      </w:r>
      <w:r>
        <w:rPr>
          <w:rFonts w:ascii="Consolas" w:hAnsi="Consolas"/>
          <w:sz w:val="17"/>
        </w:rPr>
        <w:t xml:space="preserve">         517531682f6286d5ee45bd48ec4e145e96d583a7</w:t>
        <w:br/>
      </w:r>
      <w:r>
        <w:rPr>
          <w:rFonts w:ascii="Consolas" w:hAnsi="Consolas"/>
          <w:sz w:val="17"/>
        </w:rPr>
        <w:br/>
      </w:r>
      <w:r>
        <w:rPr>
          <w:rFonts w:ascii="Consolas" w:hAnsi="Consolas"/>
          <w:sz w:val="17"/>
        </w:rPr>
        <w:t>FRONTEND Piyush1087/creator-commerce-frontend-v2-clone</w:t>
        <w:br/>
      </w:r>
      <w:r>
        <w:rPr>
          <w:rFonts w:ascii="Consolas" w:hAnsi="Consolas"/>
          <w:sz w:val="17"/>
        </w:rPr>
        <w:t xml:space="preserve">         program/brand-settings-mvp</w:t>
        <w:br/>
      </w:r>
      <w:r>
        <w:rPr>
          <w:rFonts w:ascii="Consolas" w:hAnsi="Consolas"/>
          <w:sz w:val="17"/>
        </w:rPr>
        <w:t xml:space="preserve">         3e2cabbe95c16ee23bd77fe20a44fe9b1d8670d2</w:t>
      </w:r>
    </w:p>
    <w:p>
      <w:pPr>
        <w:spacing w:before="320" w:after="0"/>
        <w:jc w:val="center"/>
      </w:pPr>
      <w:r>
        <w:rPr>
          <w:rFonts w:ascii="Aptos" w:hAnsi="Aptos"/>
          <w:b/>
          <w:color w:val="17365D"/>
          <w:sz w:val="21"/>
        </w:rPr>
        <w:t>HANDOFF STATUS: SETTINGS MVP CODE AND CONTRACT CLOSED — PRODUCTION TRANSITION CONTROLLED BY THIS RUNBOOK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Creator Shop — Settings MVP Developer Handoff</dc:title>
  <dc:subject>Production transition, operational debt, deployment gates, and runtime verification</dc:subject>
  <dc:creator>The Creator Shop</dc:creator>
  <cp:keywords>Settings MVP, production handoff, Meta, Postmark, Razorpay, deployment</cp:keywords>
  <dc:description>generated by python-docx</dc:description>
  <cp:lastModifiedBy/>
  <cp:revision>1</cp:revision>
  <dcterms:created xsi:type="dcterms:W3CDTF">2013-12-23T23:15:00Z</dcterms:created>
  <dcterms:modified xsi:type="dcterms:W3CDTF">2013-12-23T23:15:00Z</dcterms:modified>
  <cp:category/>
</cp:coreProperties>
</file>