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47" w:lineRule="auto"/>
        <w:jc w:val="center"/>
      </w:pPr>
      <w:r>
        <w:rPr>
          <w:rFonts w:ascii="Aptos Display" w:hAnsi="Aptos Display"/>
          <w:b/>
          <w:color w:val="4F81BD"/>
          <w:sz w:val="22"/>
        </w:rPr>
        <w:t>THE CREATOR SHOP</w:t>
      </w:r>
    </w:p>
    <w:p>
      <w:pPr>
        <w:pStyle w:val="Title"/>
        <w:jc w:val="center"/>
      </w:pPr>
      <w:r>
        <w:t>Product Intelligence V1 – Developer Handoff</w:t>
      </w:r>
    </w:p>
    <w:p>
      <w:pPr>
        <w:pStyle w:val="Subtitle"/>
        <w:jc w:val="center"/>
      </w:pPr>
      <w:r>
        <w:t>End-to-end accepted canonical Offering + Product Intelligence + price-refresh milestone</w:t>
      </w:r>
    </w:p>
    <w:p>
      <w:pPr>
        <w:spacing w:after="60" w:line="247" w:lineRule="auto"/>
        <w:jc w:val="center"/>
      </w:pPr>
      <w:r>
        <w:rPr>
          <w:b/>
          <w:color w:val="2E7D32"/>
        </w:rPr>
        <w:t>Delivery status  ACCEPTED / READY FOR DEVELOPER DEPLOYMENT</w:t>
      </w:r>
    </w:p>
    <w:tbl>
      <w:tblPr>
        <w:tblStyle w:val="TableGrid"/>
        <w:tblW w:type="auto" w:w="0"/>
        <w:jc w:val="center"/>
        <w:tblLook w:firstColumn="1" w:firstRow="1" w:lastColumn="0" w:lastRow="0" w:noHBand="0" w:noVBand="1" w:val="04A0"/>
      </w:tblPr>
      <w:tblGrid>
        <w:gridCol w:w="5040"/>
        <w:gridCol w:w="5040"/>
      </w:tblGrid>
      <w:tr>
        <w:trPr>
          <w:cantSplit/>
        </w:trPr>
        <w:tc>
          <w:tcPr>
            <w:tcW w:type="dxa" w:w="3240"/>
            <w:shd w:fill="D9EAF7"/>
            <w:vAlign w:val="center"/>
            <w:tcMar>
              <w:top w:w="80" w:type="dxa"/>
              <w:start w:w="90" w:type="dxa"/>
              <w:bottom w:w="80" w:type="dxa"/>
              <w:end w:w="90" w:type="dxa"/>
            </w:tcMar>
          </w:tcPr>
          <w:p>
            <w:pPr>
              <w:jc w:val="left"/>
            </w:pPr>
            <w:r>
              <w:rPr>
                <w:b/>
              </w:rPr>
              <w:t>Canonical area</w:t>
            </w:r>
          </w:p>
        </w:tc>
        <w:tc>
          <w:tcPr>
            <w:tcW w:type="dxa" w:w="6840"/>
            <w:shd w:fill="D9EAF7"/>
            <w:vAlign w:val="center"/>
            <w:tcMar>
              <w:top w:w="80" w:type="dxa"/>
              <w:start w:w="90" w:type="dxa"/>
              <w:bottom w:w="80" w:type="dxa"/>
              <w:end w:w="90" w:type="dxa"/>
            </w:tcMar>
          </w:tcPr>
          <w:p>
            <w:pPr>
              <w:jc w:val="left"/>
            </w:pPr>
            <w:r>
              <w:rPr>
                <w:b/>
              </w:rPr>
              <w:t>Accepted state</w:t>
            </w:r>
          </w:p>
        </w:tc>
      </w:tr>
      <w:tr>
        <w:trPr>
          <w:cantSplit/>
        </w:trPr>
        <w:tc>
          <w:tcPr>
            <w:tcW w:type="dxa" w:w="3240"/>
            <w:tcMar>
              <w:top w:w="80" w:type="dxa"/>
              <w:start w:w="90" w:type="dxa"/>
              <w:bottom w:w="80" w:type="dxa"/>
              <w:end w:w="90" w:type="dxa"/>
            </w:tcMar>
            <w:vAlign w:val="top"/>
          </w:tcPr>
          <w:p>
            <w:r>
              <w:t>Frontend development</w:t>
            </w:r>
          </w:p>
        </w:tc>
        <w:tc>
          <w:tcPr>
            <w:tcW w:type="dxa" w:w="6840"/>
            <w:tcMar>
              <w:top w:w="80" w:type="dxa"/>
              <w:start w:w="90" w:type="dxa"/>
              <w:bottom w:w="80" w:type="dxa"/>
              <w:end w:w="90" w:type="dxa"/>
            </w:tcMar>
            <w:vAlign w:val="top"/>
          </w:tcPr>
          <w:p>
            <w:r>
              <w:t>6bc9659ec87d9b960caaf3c6314e0f4da7b2596f</w:t>
            </w:r>
          </w:p>
        </w:tc>
      </w:tr>
      <w:tr>
        <w:trPr>
          <w:cantSplit/>
        </w:trPr>
        <w:tc>
          <w:tcPr>
            <w:tcW w:type="dxa" w:w="3240"/>
            <w:tcMar>
              <w:top w:w="80" w:type="dxa"/>
              <w:start w:w="90" w:type="dxa"/>
              <w:bottom w:w="80" w:type="dxa"/>
              <w:end w:w="90" w:type="dxa"/>
            </w:tcMar>
            <w:vAlign w:val="top"/>
          </w:tcPr>
          <w:p>
            <w:r>
              <w:t>Backend development</w:t>
            </w:r>
          </w:p>
        </w:tc>
        <w:tc>
          <w:tcPr>
            <w:tcW w:type="dxa" w:w="6840"/>
            <w:tcMar>
              <w:top w:w="80" w:type="dxa"/>
              <w:start w:w="90" w:type="dxa"/>
              <w:bottom w:w="80" w:type="dxa"/>
              <w:end w:w="90" w:type="dxa"/>
            </w:tcMar>
            <w:vAlign w:val="top"/>
          </w:tcPr>
          <w:p>
            <w:r>
              <w:t>17214722dc20abf23c8dce935a58050a017f6639</w:t>
            </w:r>
          </w:p>
        </w:tc>
      </w:tr>
      <w:tr>
        <w:trPr>
          <w:cantSplit/>
        </w:trPr>
        <w:tc>
          <w:tcPr>
            <w:tcW w:type="dxa" w:w="3240"/>
            <w:tcMar>
              <w:top w:w="80" w:type="dxa"/>
              <w:start w:w="90" w:type="dxa"/>
              <w:bottom w:w="80" w:type="dxa"/>
              <w:end w:w="90" w:type="dxa"/>
            </w:tcMar>
            <w:vAlign w:val="top"/>
          </w:tcPr>
          <w:p>
            <w:r>
              <w:t>Architecture / Product authority</w:t>
            </w:r>
          </w:p>
        </w:tc>
        <w:tc>
          <w:tcPr>
            <w:tcW w:type="dxa" w:w="6840"/>
            <w:tcMar>
              <w:top w:w="80" w:type="dxa"/>
              <w:start w:w="90" w:type="dxa"/>
              <w:bottom w:w="80" w:type="dxa"/>
              <w:end w:w="90" w:type="dxa"/>
            </w:tcMar>
            <w:vAlign w:val="top"/>
          </w:tcPr>
          <w:p>
            <w:r>
              <w:t>dummy_tcs main @ 677a6333d143d02a715274ee9bed42ade96808b3</w:t>
            </w:r>
          </w:p>
        </w:tc>
      </w:tr>
    </w:tbl>
    <w:p>
      <w:pPr>
        <w:spacing w:after="60" w:line="247" w:lineRule="auto"/>
      </w:pPr>
    </w:p>
    <w:p>
      <w:pPr>
        <w:pStyle w:val="Heading1"/>
        <w:keepNext/>
        <w:spacing w:before="160" w:after="80"/>
      </w:pPr>
      <w:r>
        <w:t>1. Purpose of this handoff</w:t>
      </w:r>
    </w:p>
    <w:p>
      <w:pPr>
        <w:spacing w:after="60" w:line="247" w:lineRule="auto"/>
      </w:pPr>
      <w:r>
        <w:t>This document is the developer-facing handoff for the accepted Product Intelligence V1 delivery slice. It identifies the exact frontend, backend and authority states to deploy; the canonical Offering discovery/detail contracts; the three Product Intelligence processors and Objects; controlled canonical price refresh and manual override behavior; database/migration state; deployment configuration; and the checks required before production rollout.</w:t>
      </w:r>
    </w:p>
    <w:p>
      <w:pPr>
        <w:spacing w:after="60" w:line="247" w:lineRule="auto"/>
      </w:pPr>
      <w:r>
        <w:t>This handoff is intentionally implementation-focused. It does not reopen Product Intelligence architecture, frontend state families, UI/UX, Stitch, or historical legacy-catalogue semantics.</w:t>
      </w:r>
    </w:p>
    <w:p>
      <w:pPr>
        <w:pStyle w:val="Heading1"/>
        <w:keepNext/>
        <w:spacing w:before="160" w:after="80"/>
      </w:pPr>
      <w:r>
        <w:t>2. Canonical repositories and source of truth</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1728"/>
            <w:shd w:fill="D9EAF7"/>
            <w:vAlign w:val="center"/>
            <w:tcMar>
              <w:top w:w="80" w:type="dxa"/>
              <w:start w:w="90" w:type="dxa"/>
              <w:bottom w:w="80" w:type="dxa"/>
              <w:end w:w="90" w:type="dxa"/>
            </w:tcMar>
          </w:tcPr>
          <w:p>
            <w:pPr>
              <w:jc w:val="left"/>
            </w:pPr>
            <w:r>
              <w:rPr>
                <w:b/>
              </w:rPr>
              <w:t>Area</w:t>
            </w:r>
          </w:p>
        </w:tc>
        <w:tc>
          <w:tcPr>
            <w:tcW w:type="dxa" w:w="4032"/>
            <w:shd w:fill="D9EAF7"/>
            <w:vAlign w:val="center"/>
            <w:tcMar>
              <w:top w:w="80" w:type="dxa"/>
              <w:start w:w="90" w:type="dxa"/>
              <w:bottom w:w="80" w:type="dxa"/>
              <w:end w:w="90" w:type="dxa"/>
            </w:tcMar>
          </w:tcPr>
          <w:p>
            <w:pPr>
              <w:jc w:val="left"/>
            </w:pPr>
            <w:r>
              <w:rPr>
                <w:b/>
              </w:rPr>
              <w:t>Repository</w:t>
            </w:r>
          </w:p>
        </w:tc>
        <w:tc>
          <w:tcPr>
            <w:tcW w:type="dxa" w:w="1584"/>
            <w:shd w:fill="D9EAF7"/>
            <w:vAlign w:val="center"/>
            <w:tcMar>
              <w:top w:w="80" w:type="dxa"/>
              <w:start w:w="90" w:type="dxa"/>
              <w:bottom w:w="80" w:type="dxa"/>
              <w:end w:w="90" w:type="dxa"/>
            </w:tcMar>
          </w:tcPr>
          <w:p>
            <w:pPr>
              <w:jc w:val="left"/>
            </w:pPr>
            <w:r>
              <w:rPr>
                <w:b/>
              </w:rPr>
              <w:t>Branch</w:t>
            </w:r>
          </w:p>
        </w:tc>
        <w:tc>
          <w:tcPr>
            <w:tcW w:type="dxa" w:w="3024"/>
            <w:shd w:fill="D9EAF7"/>
            <w:vAlign w:val="center"/>
            <w:tcMar>
              <w:top w:w="80" w:type="dxa"/>
              <w:start w:w="90" w:type="dxa"/>
              <w:bottom w:w="80" w:type="dxa"/>
              <w:end w:w="90" w:type="dxa"/>
            </w:tcMar>
          </w:tcPr>
          <w:p>
            <w:pPr>
              <w:jc w:val="left"/>
            </w:pPr>
            <w:r>
              <w:rPr>
                <w:b/>
              </w:rPr>
              <w:t>Canonical SHA</w:t>
            </w:r>
          </w:p>
        </w:tc>
      </w:tr>
      <w:tr>
        <w:trPr>
          <w:cantSplit/>
        </w:trPr>
        <w:tc>
          <w:tcPr>
            <w:tcW w:type="dxa" w:w="1728"/>
            <w:tcMar>
              <w:top w:w="80" w:type="dxa"/>
              <w:start w:w="90" w:type="dxa"/>
              <w:bottom w:w="80" w:type="dxa"/>
              <w:end w:w="90" w:type="dxa"/>
            </w:tcMar>
            <w:vAlign w:val="top"/>
          </w:tcPr>
          <w:p>
            <w:r>
              <w:t>Frontend</w:t>
            </w:r>
          </w:p>
        </w:tc>
        <w:tc>
          <w:tcPr>
            <w:tcW w:type="dxa" w:w="4032"/>
            <w:tcMar>
              <w:top w:w="80" w:type="dxa"/>
              <w:start w:w="90" w:type="dxa"/>
              <w:bottom w:w="80" w:type="dxa"/>
              <w:end w:w="90" w:type="dxa"/>
            </w:tcMar>
            <w:vAlign w:val="top"/>
          </w:tcPr>
          <w:p>
            <w:r>
              <w:t>Piyush1087/creator-commerce-frontend-v2-clone</w:t>
            </w:r>
          </w:p>
        </w:tc>
        <w:tc>
          <w:tcPr>
            <w:tcW w:type="dxa" w:w="1584"/>
            <w:tcMar>
              <w:top w:w="80" w:type="dxa"/>
              <w:start w:w="90" w:type="dxa"/>
              <w:bottom w:w="80" w:type="dxa"/>
              <w:end w:w="90" w:type="dxa"/>
            </w:tcMar>
            <w:vAlign w:val="top"/>
          </w:tcPr>
          <w:p>
            <w:r>
              <w:t>development</w:t>
            </w:r>
          </w:p>
        </w:tc>
        <w:tc>
          <w:tcPr>
            <w:tcW w:type="dxa" w:w="3024"/>
            <w:tcMar>
              <w:top w:w="80" w:type="dxa"/>
              <w:start w:w="90" w:type="dxa"/>
              <w:bottom w:w="80" w:type="dxa"/>
              <w:end w:w="90" w:type="dxa"/>
            </w:tcMar>
            <w:vAlign w:val="top"/>
          </w:tcPr>
          <w:p>
            <w:r>
              <w:t>6bc9659ec87d9b960caaf3c6314e0f4da7b2596f</w:t>
            </w:r>
          </w:p>
        </w:tc>
      </w:tr>
      <w:tr>
        <w:trPr>
          <w:cantSplit/>
        </w:trPr>
        <w:tc>
          <w:tcPr>
            <w:tcW w:type="dxa" w:w="1728"/>
            <w:tcMar>
              <w:top w:w="80" w:type="dxa"/>
              <w:start w:w="90" w:type="dxa"/>
              <w:bottom w:w="80" w:type="dxa"/>
              <w:end w:w="90" w:type="dxa"/>
            </w:tcMar>
            <w:vAlign w:val="top"/>
          </w:tcPr>
          <w:p>
            <w:r>
              <w:t>Backend</w:t>
            </w:r>
          </w:p>
        </w:tc>
        <w:tc>
          <w:tcPr>
            <w:tcW w:type="dxa" w:w="4032"/>
            <w:tcMar>
              <w:top w:w="80" w:type="dxa"/>
              <w:start w:w="90" w:type="dxa"/>
              <w:bottom w:w="80" w:type="dxa"/>
              <w:end w:w="90" w:type="dxa"/>
            </w:tcMar>
            <w:vAlign w:val="top"/>
          </w:tcPr>
          <w:p>
            <w:r>
              <w:t>Piyush1087/creator-commerce-backend-v2-clone</w:t>
            </w:r>
          </w:p>
        </w:tc>
        <w:tc>
          <w:tcPr>
            <w:tcW w:type="dxa" w:w="1584"/>
            <w:tcMar>
              <w:top w:w="80" w:type="dxa"/>
              <w:start w:w="90" w:type="dxa"/>
              <w:bottom w:w="80" w:type="dxa"/>
              <w:end w:w="90" w:type="dxa"/>
            </w:tcMar>
            <w:vAlign w:val="top"/>
          </w:tcPr>
          <w:p>
            <w:r>
              <w:t>development</w:t>
            </w:r>
          </w:p>
        </w:tc>
        <w:tc>
          <w:tcPr>
            <w:tcW w:type="dxa" w:w="3024"/>
            <w:tcMar>
              <w:top w:w="80" w:type="dxa"/>
              <w:start w:w="90" w:type="dxa"/>
              <w:bottom w:w="80" w:type="dxa"/>
              <w:end w:w="90" w:type="dxa"/>
            </w:tcMar>
            <w:vAlign w:val="top"/>
          </w:tcPr>
          <w:p>
            <w:r>
              <w:t>17214722dc20abf23c8dce935a58050a017f6639</w:t>
            </w:r>
          </w:p>
        </w:tc>
      </w:tr>
      <w:tr>
        <w:trPr>
          <w:cantSplit/>
        </w:trPr>
        <w:tc>
          <w:tcPr>
            <w:tcW w:type="dxa" w:w="1728"/>
            <w:tcMar>
              <w:top w:w="80" w:type="dxa"/>
              <w:start w:w="90" w:type="dxa"/>
              <w:bottom w:w="80" w:type="dxa"/>
              <w:end w:w="90" w:type="dxa"/>
            </w:tcMar>
            <w:vAlign w:val="top"/>
          </w:tcPr>
          <w:p>
            <w:r>
              <w:t>Architecture / Product authority</w:t>
            </w:r>
          </w:p>
        </w:tc>
        <w:tc>
          <w:tcPr>
            <w:tcW w:type="dxa" w:w="4032"/>
            <w:tcMar>
              <w:top w:w="80" w:type="dxa"/>
              <w:start w:w="90" w:type="dxa"/>
              <w:bottom w:w="80" w:type="dxa"/>
              <w:end w:w="90" w:type="dxa"/>
            </w:tcMar>
            <w:vAlign w:val="top"/>
          </w:tcPr>
          <w:p>
            <w:r>
              <w:t>Piyush1087/dummy_tcs</w:t>
            </w:r>
          </w:p>
        </w:tc>
        <w:tc>
          <w:tcPr>
            <w:tcW w:type="dxa" w:w="1584"/>
            <w:tcMar>
              <w:top w:w="80" w:type="dxa"/>
              <w:start w:w="90" w:type="dxa"/>
              <w:bottom w:w="80" w:type="dxa"/>
              <w:end w:w="90" w:type="dxa"/>
            </w:tcMar>
            <w:vAlign w:val="top"/>
          </w:tcPr>
          <w:p>
            <w:r>
              <w:t>main</w:t>
            </w:r>
          </w:p>
        </w:tc>
        <w:tc>
          <w:tcPr>
            <w:tcW w:type="dxa" w:w="3024"/>
            <w:tcMar>
              <w:top w:w="80" w:type="dxa"/>
              <w:start w:w="90" w:type="dxa"/>
              <w:bottom w:w="80" w:type="dxa"/>
              <w:end w:w="90" w:type="dxa"/>
            </w:tcMar>
            <w:vAlign w:val="top"/>
          </w:tcPr>
          <w:p>
            <w:r>
              <w:t>677a6333d143d02a715274ee9bed42ade96808b3</w:t>
            </w:r>
          </w:p>
        </w:tc>
      </w:tr>
    </w:tbl>
    <w:p>
      <w:pPr>
        <w:spacing w:after="60" w:line="247" w:lineRule="auto"/>
      </w:pPr>
    </w:p>
    <w:p>
      <w:pPr>
        <w:spacing w:after="60" w:line="247" w:lineRule="auto"/>
      </w:pPr>
      <w:r>
        <w:t>Relevant frozen authority references:</w:t>
      </w:r>
    </w:p>
    <w:p>
      <w:pPr>
        <w:pStyle w:val="ListBullet"/>
      </w:pPr>
      <w:r>
        <w:t>Product Intelligence V1 contracts: agent/product-intelligence-v1-contracts @ bbb0be3345c36e9cc7c4f06ca68fb491b742b83f</w:t>
      </w:r>
    </w:p>
    <w:p>
      <w:pPr>
        <w:pStyle w:val="ListBullet"/>
      </w:pPr>
      <w:r>
        <w:t>Commercial DE contract: agent/product-intelligence-v1-de-commercial-evidence-contract @ ef363a04a3e4bc115ac17868a3f5987e2af76d63</w:t>
      </w:r>
    </w:p>
    <w:p>
      <w:pPr>
        <w:pStyle w:val="ListBullet"/>
      </w:pPr>
      <w:r>
        <w:t>Controlled price refresh decision: dummy_tcs/main/backend/canonical_offering_price_refresh_v1.md</w:t>
      </w:r>
    </w:p>
    <w:p>
      <w:pPr>
        <w:pStyle w:val="Heading1"/>
        <w:keepNext/>
        <w:spacing w:before="160" w:after="80"/>
      </w:pPr>
      <w:r>
        <w:t>3. Delivery outcome</w:t>
      </w:r>
    </w:p>
    <w:p>
      <w:pPr>
        <w:pStyle w:val="ListBullet"/>
      </w:pPr>
      <w:r>
        <w:t>Canonical Offering foundation is integrated in backend development, including lifecycle, kind/subtype, price revisioning, media, Bundle membership, Offer applicability and Offering-to-Location availability edges.</w:t>
      </w:r>
    </w:p>
    <w:p>
      <w:pPr>
        <w:pStyle w:val="ListBullet"/>
      </w:pPr>
      <w:r>
        <w:t>Product Intelligence V1 is integrated with exactly three Product processors and exactly three Product Objects.</w:t>
      </w:r>
    </w:p>
    <w:p>
      <w:pPr>
        <w:pStyle w:val="ListBullet"/>
      </w:pPr>
      <w:r>
        <w:t>Canonical Brand-owned Offering discovery is available independently of the legacy Brand DNA catalogue.</w:t>
      </w:r>
    </w:p>
    <w:p>
      <w:pPr>
        <w:pStyle w:val="ListBullet"/>
      </w:pPr>
      <w:r>
        <w:t>Exact Offering Product Intelligence detail is available through the accepted read consumer.</w:t>
      </w:r>
    </w:p>
    <w:p>
      <w:pPr>
        <w:pStyle w:val="ListBullet"/>
      </w:pPr>
      <w:r>
        <w:t>Controlled first-party website price refresh is integrated with 24-hour eligibility, hourly scan dispatch, atomic multi-instance claim and immutable canonical price revisions.</w:t>
      </w:r>
    </w:p>
    <w:p>
      <w:pPr>
        <w:pStyle w:val="ListBullet"/>
      </w:pPr>
      <w:r>
        <w:t>Manual Brand price editing is integrated; a Brand-confirmed price is protected from automatic website overwrite.</w:t>
      </w:r>
    </w:p>
    <w:p>
      <w:pPr>
        <w:pStyle w:val="ListBullet"/>
      </w:pPr>
      <w:r>
        <w:t>Frontend Product Intelligence Offering list/detail experience is integrated into frontend development, including canonical price display/edit and independent Product runtime states.</w:t>
      </w:r>
    </w:p>
    <w:p>
      <w:pPr>
        <w:pStyle w:val="ListBullet"/>
      </w:pPr>
      <w:r>
        <w:t>Frontend and backend runtime acceptance completed before integration; final feature branches are identical to their respective development branches.</w:t>
      </w:r>
    </w:p>
    <w:p>
      <w:pPr>
        <w:pStyle w:val="ListBullet"/>
      </w:pPr>
      <w:r>
        <w:t>Database migration count remains exactly 52; migration 53 does not exist.</w:t>
      </w:r>
    </w:p>
    <w:p>
      <w:pPr>
        <w:pStyle w:val="Heading1"/>
        <w:keepNext/>
        <w:spacing w:before="160" w:after="80"/>
      </w:pPr>
      <w:r>
        <w:t>4. Product location and navigation contract</w:t>
      </w:r>
    </w:p>
    <w:p>
      <w:pPr>
        <w:spacing w:after="60" w:line="247" w:lineRule="auto"/>
      </w:pPr>
      <w:r>
        <w:t>Product Intelligence lives inside Brand Centre Offerings. It is not a new top-level workspace and should not be split into a separate application shell.</w:t>
      </w:r>
    </w:p>
    <w:p>
      <w:pPr>
        <w:spacing w:before="40" w:after="60" w:line="247" w:lineRule="auto"/>
        <w:ind w:left="259"/>
        <w:shd w:fill="F3F6F9"/>
      </w:pPr>
      <w:r>
        <w:rPr>
          <w:rFonts w:ascii="Consolas" w:hAnsi="Consolas"/>
          <w:color w:val="323232"/>
          <w:sz w:val="17"/>
        </w:rPr>
        <w:t>Brand Centre</w:t>
        <w:br/>
        <w:t xml:space="preserve">  → Offerings</w:t>
        <w:br/>
        <w:t xml:space="preserve">      → Canonical Offering list</w:t>
        <w:br/>
        <w:t xml:space="preserve">          → Exact Offering detail</w:t>
        <w:br/>
        <w:t xml:space="preserve">              → Canonical price</w:t>
        <w:br/>
        <w:t xml:space="preserve">              → Factual understanding</w:t>
        <w:br/>
        <w:t xml:space="preserve">              → Creator communication</w:t>
        <w:br/>
        <w:t xml:space="preserve">              → Actionability</w:t>
      </w:r>
    </w:p>
    <w:p>
      <w:pPr>
        <w:spacing w:after="60" w:line="247" w:lineRule="auto"/>
      </w:pPr>
      <w:r>
        <w:t>Frontend routes introduced by the accepted Product Intelligence implementation:</w:t>
      </w:r>
    </w:p>
    <w:p>
      <w:pPr>
        <w:pStyle w:val="ListBullet"/>
      </w:pPr>
      <w:r>
        <w:t>/brand-centre/offerings</w:t>
      </w:r>
    </w:p>
    <w:p>
      <w:pPr>
        <w:pStyle w:val="ListBullet"/>
      </w:pPr>
      <w:r>
        <w:t>/brand-centre/offerings/:offeringId</w:t>
      </w:r>
    </w:p>
    <w:p>
      <w:pPr>
        <w:spacing w:after="60" w:line="247" w:lineRule="auto"/>
      </w:pPr>
      <w:r>
        <w:t>Important: Product discovery must use the canonical Offering index. Do not make the Product flow depend on GET /api/v1/brand-centre/dna/offerings, which remains a legacy-compatible Brand DNA catalogue surface.</w:t>
      </w:r>
    </w:p>
    <w:p>
      <w:pPr>
        <w:pStyle w:val="Heading1"/>
        <w:keepNext/>
        <w:spacing w:before="160" w:after="80"/>
      </w:pPr>
      <w:r>
        <w:t>5. Product Intelligence runtime now available</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024"/>
            <w:shd w:fill="D9EAF7"/>
            <w:vAlign w:val="center"/>
            <w:tcMar>
              <w:top w:w="80" w:type="dxa"/>
              <w:start w:w="90" w:type="dxa"/>
              <w:bottom w:w="80" w:type="dxa"/>
              <w:end w:w="90" w:type="dxa"/>
            </w:tcMar>
          </w:tcPr>
          <w:p>
            <w:pPr>
              <w:jc w:val="left"/>
            </w:pPr>
            <w:r>
              <w:rPr>
                <w:b/>
              </w:rPr>
              <w:t>Processor</w:t>
            </w:r>
          </w:p>
        </w:tc>
        <w:tc>
          <w:tcPr>
            <w:tcW w:type="dxa" w:w="3312"/>
            <w:shd w:fill="D9EAF7"/>
            <w:vAlign w:val="center"/>
            <w:tcMar>
              <w:top w:w="80" w:type="dxa"/>
              <w:start w:w="90" w:type="dxa"/>
              <w:bottom w:w="80" w:type="dxa"/>
              <w:end w:w="90" w:type="dxa"/>
            </w:tcMar>
          </w:tcPr>
          <w:p>
            <w:pPr>
              <w:jc w:val="left"/>
            </w:pPr>
            <w:r>
              <w:rPr>
                <w:b/>
              </w:rPr>
              <w:t>Product Object</w:t>
            </w:r>
          </w:p>
        </w:tc>
        <w:tc>
          <w:tcPr>
            <w:tcW w:type="dxa" w:w="4032"/>
            <w:shd w:fill="D9EAF7"/>
            <w:vAlign w:val="center"/>
            <w:tcMar>
              <w:top w:w="80" w:type="dxa"/>
              <w:start w:w="90" w:type="dxa"/>
              <w:bottom w:w="80" w:type="dxa"/>
              <w:end w:w="90" w:type="dxa"/>
            </w:tcMar>
          </w:tcPr>
          <w:p>
            <w:pPr>
              <w:jc w:val="left"/>
            </w:pPr>
            <w:r>
              <w:rPr>
                <w:b/>
              </w:rPr>
              <w:t>Owned semantic output</w:t>
            </w:r>
          </w:p>
        </w:tc>
      </w:tr>
      <w:tr>
        <w:trPr>
          <w:cantSplit/>
        </w:trPr>
        <w:tc>
          <w:tcPr>
            <w:tcW w:type="dxa" w:w="3024"/>
            <w:tcMar>
              <w:top w:w="80" w:type="dxa"/>
              <w:start w:w="90" w:type="dxa"/>
              <w:bottom w:w="80" w:type="dxa"/>
              <w:end w:w="90" w:type="dxa"/>
            </w:tcMar>
            <w:vAlign w:val="top"/>
          </w:tcPr>
          <w:p>
            <w:r>
              <w:t>offering_factual_synthesis</w:t>
            </w:r>
          </w:p>
        </w:tc>
        <w:tc>
          <w:tcPr>
            <w:tcW w:type="dxa" w:w="3312"/>
            <w:tcMar>
              <w:top w:w="80" w:type="dxa"/>
              <w:start w:w="90" w:type="dxa"/>
              <w:bottom w:w="80" w:type="dxa"/>
              <w:end w:w="90" w:type="dxa"/>
            </w:tcMar>
            <w:vAlign w:val="top"/>
          </w:tcPr>
          <w:p>
            <w:r>
              <w:t>offering_factual_profile</w:t>
            </w:r>
          </w:p>
        </w:tc>
        <w:tc>
          <w:tcPr>
            <w:tcW w:type="dxa" w:w="4032"/>
            <w:tcMar>
              <w:top w:w="80" w:type="dxa"/>
              <w:start w:w="90" w:type="dxa"/>
              <w:bottom w:w="80" w:type="dxa"/>
              <w:end w:w="90" w:type="dxa"/>
            </w:tcMar>
            <w:vAlign w:val="top"/>
          </w:tcPr>
          <w:p>
            <w:r>
              <w:t>factual_summary; key_facts; key_benefits; proof_points; usage_context; customer_context</w:t>
            </w:r>
          </w:p>
        </w:tc>
      </w:tr>
      <w:tr>
        <w:trPr>
          <w:cantSplit/>
        </w:trPr>
        <w:tc>
          <w:tcPr>
            <w:tcW w:type="dxa" w:w="3024"/>
            <w:tcMar>
              <w:top w:w="80" w:type="dxa"/>
              <w:start w:w="90" w:type="dxa"/>
              <w:bottom w:w="80" w:type="dxa"/>
              <w:end w:w="90" w:type="dxa"/>
            </w:tcMar>
            <w:vAlign w:val="top"/>
          </w:tcPr>
          <w:p>
            <w:r>
              <w:t>offering_creator_communication</w:t>
            </w:r>
          </w:p>
        </w:tc>
        <w:tc>
          <w:tcPr>
            <w:tcW w:type="dxa" w:w="3312"/>
            <w:tcMar>
              <w:top w:w="80" w:type="dxa"/>
              <w:start w:w="90" w:type="dxa"/>
              <w:bottom w:w="80" w:type="dxa"/>
              <w:end w:w="90" w:type="dxa"/>
            </w:tcMar>
            <w:vAlign w:val="top"/>
          </w:tcPr>
          <w:p>
            <w:r>
              <w:t>offering_creator_communication_profile</w:t>
            </w:r>
          </w:p>
        </w:tc>
        <w:tc>
          <w:tcPr>
            <w:tcW w:type="dxa" w:w="4032"/>
            <w:tcMar>
              <w:top w:w="80" w:type="dxa"/>
              <w:start w:w="90" w:type="dxa"/>
              <w:bottom w:w="80" w:type="dxa"/>
              <w:end w:w="90" w:type="dxa"/>
            </w:tcMar>
            <w:vAlign w:val="top"/>
          </w:tcPr>
          <w:p>
            <w:r>
              <w:t>creator_talking_points; communication_constraints</w:t>
            </w:r>
          </w:p>
        </w:tc>
      </w:tr>
      <w:tr>
        <w:trPr>
          <w:cantSplit/>
        </w:trPr>
        <w:tc>
          <w:tcPr>
            <w:tcW w:type="dxa" w:w="3024"/>
            <w:tcMar>
              <w:top w:w="80" w:type="dxa"/>
              <w:start w:w="90" w:type="dxa"/>
              <w:bottom w:w="80" w:type="dxa"/>
              <w:end w:w="90" w:type="dxa"/>
            </w:tcMar>
            <w:vAlign w:val="top"/>
          </w:tcPr>
          <w:p>
            <w:r>
              <w:t>offering_actionability_synthesis</w:t>
            </w:r>
          </w:p>
        </w:tc>
        <w:tc>
          <w:tcPr>
            <w:tcW w:type="dxa" w:w="3312"/>
            <w:tcMar>
              <w:top w:w="80" w:type="dxa"/>
              <w:start w:w="90" w:type="dxa"/>
              <w:bottom w:w="80" w:type="dxa"/>
              <w:end w:w="90" w:type="dxa"/>
            </w:tcMar>
            <w:vAlign w:val="top"/>
          </w:tcPr>
          <w:p>
            <w:r>
              <w:t>offering_actionability_profile</w:t>
            </w:r>
          </w:p>
        </w:tc>
        <w:tc>
          <w:tcPr>
            <w:tcW w:type="dxa" w:w="4032"/>
            <w:tcMar>
              <w:top w:w="80" w:type="dxa"/>
              <w:start w:w="90" w:type="dxa"/>
              <w:bottom w:w="80" w:type="dxa"/>
              <w:end w:w="90" w:type="dxa"/>
            </w:tcMar>
            <w:vAlign w:val="top"/>
          </w:tcPr>
          <w:p>
            <w:r>
              <w:t>customer_action; commercial_context</w:t>
            </w:r>
          </w:p>
        </w:tc>
      </w:tr>
    </w:tbl>
    <w:p>
      <w:pPr>
        <w:spacing w:after="60" w:line="247" w:lineRule="auto"/>
      </w:pPr>
    </w:p>
    <w:p>
      <w:pPr>
        <w:spacing w:after="60" w:line="247" w:lineRule="auto"/>
      </w:pPr>
      <w:r>
        <w:t>Runtime invariants the developer must preserve:</w:t>
      </w:r>
    </w:p>
    <w:p>
      <w:pPr>
        <w:pStyle w:val="ListBullet"/>
      </w:pPr>
      <w:r>
        <w:t>The three Objects mature independently. There is no whole-Offering Product Intelligence readiness state.</w:t>
      </w:r>
    </w:p>
    <w:p>
      <w:pPr>
        <w:pStyle w:val="ListBullet"/>
      </w:pPr>
      <w:r>
        <w:t>Object readiness is READY / PARTIAL / NOT_READY. Execution failure is not a FAILED readiness state.</w:t>
      </w:r>
    </w:p>
    <w:p>
      <w:pPr>
        <w:pStyle w:val="ListBullet"/>
      </w:pPr>
      <w:r>
        <w:t>Object freshness is CURRENT / STALE / UNKNOWN.</w:t>
      </w:r>
    </w:p>
    <w:p>
      <w:pPr>
        <w:pStyle w:val="ListBullet"/>
      </w:pPr>
      <w:r>
        <w:t>Processor activity is independent of Object readiness/freshness.</w:t>
      </w:r>
    </w:p>
    <w:p>
      <w:pPr>
        <w:pStyle w:val="ListBullet"/>
      </w:pPr>
      <w:r>
        <w:t>Usable prior current remains visible during refresh and after a failed refresh when the backend retains it.</w:t>
      </w:r>
    </w:p>
    <w:p>
      <w:pPr>
        <w:pStyle w:val="ListBullet"/>
      </w:pPr>
      <w:r>
        <w:t>Candidate/conflict state does not replace current automatically.</w:t>
      </w:r>
    </w:p>
    <w:p>
      <w:pPr>
        <w:pStyle w:val="ListBullet"/>
      </w:pPr>
      <w:r>
        <w:t>Raw Data Extraction Evidence is never rendered or promoted as canonical Product truth.</w:t>
      </w:r>
    </w:p>
    <w:p>
      <w:pPr>
        <w:pStyle w:val="Heading1"/>
        <w:keepNext/>
        <w:spacing w:before="160" w:after="80"/>
      </w:pPr>
      <w:r>
        <w:t>6. Canonical API contracts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232"/>
            <w:shd w:fill="D9EAF7"/>
            <w:vAlign w:val="center"/>
            <w:tcMar>
              <w:top w:w="80" w:type="dxa"/>
              <w:start w:w="90" w:type="dxa"/>
              <w:bottom w:w="80" w:type="dxa"/>
              <w:end w:w="90" w:type="dxa"/>
            </w:tcMar>
          </w:tcPr>
          <w:p>
            <w:pPr>
              <w:jc w:val="left"/>
            </w:pPr>
            <w:r>
              <w:rPr>
                <w:b/>
              </w:rPr>
              <w:t>Purpose</w:t>
            </w:r>
          </w:p>
        </w:tc>
        <w:tc>
          <w:tcPr>
            <w:tcW w:type="dxa" w:w="4104"/>
            <w:shd w:fill="D9EAF7"/>
            <w:vAlign w:val="center"/>
            <w:tcMar>
              <w:top w:w="80" w:type="dxa"/>
              <w:start w:w="90" w:type="dxa"/>
              <w:bottom w:w="80" w:type="dxa"/>
              <w:end w:w="90" w:type="dxa"/>
            </w:tcMar>
          </w:tcPr>
          <w:p>
            <w:pPr>
              <w:jc w:val="left"/>
            </w:pPr>
            <w:r>
              <w:rPr>
                <w:b/>
              </w:rPr>
              <w:t>Method / route</w:t>
            </w:r>
          </w:p>
        </w:tc>
        <w:tc>
          <w:tcPr>
            <w:tcW w:type="dxa" w:w="4320"/>
            <w:shd w:fill="D9EAF7"/>
            <w:vAlign w:val="center"/>
            <w:tcMar>
              <w:top w:w="80" w:type="dxa"/>
              <w:start w:w="90" w:type="dxa"/>
              <w:bottom w:w="80" w:type="dxa"/>
              <w:end w:w="90" w:type="dxa"/>
            </w:tcMar>
          </w:tcPr>
          <w:p>
            <w:pPr>
              <w:jc w:val="left"/>
            </w:pPr>
            <w:r>
              <w:rPr>
                <w:b/>
              </w:rPr>
              <w:t>Developer contract</w:t>
            </w:r>
          </w:p>
        </w:tc>
      </w:tr>
      <w:tr>
        <w:trPr>
          <w:cantSplit/>
        </w:trPr>
        <w:tc>
          <w:tcPr>
            <w:tcW w:type="dxa" w:w="2232"/>
            <w:tcMar>
              <w:top w:w="80" w:type="dxa"/>
              <w:start w:w="90" w:type="dxa"/>
              <w:bottom w:w="80" w:type="dxa"/>
              <w:end w:w="90" w:type="dxa"/>
            </w:tcMar>
            <w:vAlign w:val="top"/>
          </w:tcPr>
          <w:p>
            <w:r>
              <w:t>Offering discovery</w:t>
            </w:r>
          </w:p>
        </w:tc>
        <w:tc>
          <w:tcPr>
            <w:tcW w:type="dxa" w:w="4104"/>
            <w:tcMar>
              <w:top w:w="80" w:type="dxa"/>
              <w:start w:w="90" w:type="dxa"/>
              <w:bottom w:w="80" w:type="dxa"/>
              <w:end w:w="90" w:type="dxa"/>
            </w:tcMar>
            <w:vAlign w:val="top"/>
          </w:tcPr>
          <w:p>
            <w:r>
              <w:t>GET /api/v1/brand-centre/offerings</w:t>
            </w:r>
          </w:p>
        </w:tc>
        <w:tc>
          <w:tcPr>
            <w:tcW w:type="dxa" w:w="4320"/>
            <w:tcMar>
              <w:top w:w="80" w:type="dxa"/>
              <w:start w:w="90" w:type="dxa"/>
              <w:bottom w:w="80" w:type="dxa"/>
              <w:end w:w="90" w:type="dxa"/>
            </w:tcMar>
            <w:vAlign w:val="top"/>
          </w:tcPr>
          <w:p>
            <w:r>
              <w:t>Authenticated Brand-owned canonical list: offeringId, name, kind, subtype, lifecycle only.</w:t>
            </w:r>
          </w:p>
        </w:tc>
      </w:tr>
      <w:tr>
        <w:trPr>
          <w:cantSplit/>
        </w:trPr>
        <w:tc>
          <w:tcPr>
            <w:tcW w:type="dxa" w:w="2232"/>
            <w:tcMar>
              <w:top w:w="80" w:type="dxa"/>
              <w:start w:w="90" w:type="dxa"/>
              <w:bottom w:w="80" w:type="dxa"/>
              <w:end w:w="90" w:type="dxa"/>
            </w:tcMar>
            <w:vAlign w:val="top"/>
          </w:tcPr>
          <w:p>
            <w:r>
              <w:t>Offering detail + Product Intelligence</w:t>
            </w:r>
          </w:p>
        </w:tc>
        <w:tc>
          <w:tcPr>
            <w:tcW w:type="dxa" w:w="4104"/>
            <w:tcMar>
              <w:top w:w="80" w:type="dxa"/>
              <w:start w:w="90" w:type="dxa"/>
              <w:bottom w:w="80" w:type="dxa"/>
              <w:end w:w="90" w:type="dxa"/>
            </w:tcMar>
            <w:vAlign w:val="top"/>
          </w:tcPr>
          <w:p>
            <w:r>
              <w:t>GET /api/v1/brand-centre/offerings/:offeringId/intelligence</w:t>
            </w:r>
          </w:p>
        </w:tc>
        <w:tc>
          <w:tcPr>
            <w:tcW w:type="dxa" w:w="4320"/>
            <w:tcMar>
              <w:top w:w="80" w:type="dxa"/>
              <w:start w:w="90" w:type="dxa"/>
              <w:bottom w:w="80" w:type="dxa"/>
              <w:end w:w="90" w:type="dxa"/>
            </w:tcMar>
            <w:vAlign w:val="top"/>
          </w:tcPr>
          <w:p>
            <w:r>
              <w:t>Canonical Offering detail + canonical price + exactly three Product Objects + exactly three processorRuntime entries.</w:t>
            </w:r>
          </w:p>
        </w:tc>
      </w:tr>
      <w:tr>
        <w:trPr>
          <w:cantSplit/>
        </w:trPr>
        <w:tc>
          <w:tcPr>
            <w:tcW w:type="dxa" w:w="2232"/>
            <w:tcMar>
              <w:top w:w="80" w:type="dxa"/>
              <w:start w:w="90" w:type="dxa"/>
              <w:bottom w:w="80" w:type="dxa"/>
              <w:end w:w="90" w:type="dxa"/>
            </w:tcMar>
            <w:vAlign w:val="top"/>
          </w:tcPr>
          <w:p>
            <w:r>
              <w:t>Manual canonical price</w:t>
            </w:r>
          </w:p>
        </w:tc>
        <w:tc>
          <w:tcPr>
            <w:tcW w:type="dxa" w:w="4104"/>
            <w:tcMar>
              <w:top w:w="80" w:type="dxa"/>
              <w:start w:w="90" w:type="dxa"/>
              <w:bottom w:w="80" w:type="dxa"/>
              <w:end w:w="90" w:type="dxa"/>
            </w:tcMar>
            <w:vAlign w:val="top"/>
          </w:tcPr>
          <w:p>
            <w:r>
              <w:t>PUT /api/v1/brand-centre/dna/offerings/:offeringId/price</w:t>
            </w:r>
          </w:p>
        </w:tc>
        <w:tc>
          <w:tcPr>
            <w:tcW w:type="dxa" w:w="4320"/>
            <w:tcMar>
              <w:top w:w="80" w:type="dxa"/>
              <w:start w:w="90" w:type="dxa"/>
              <w:bottom w:w="80" w:type="dxa"/>
              <w:end w:w="90" w:type="dxa"/>
            </w:tcMar>
            <w:vAlign w:val="top"/>
          </w:tcPr>
          <w:p>
            <w:r>
              <w:t>Brand-authoritative canonical price write. Result becomes BRAND_CONFIRMED / BRAND_EDIT.</w:t>
            </w:r>
          </w:p>
        </w:tc>
      </w:tr>
    </w:tbl>
    <w:p>
      <w:pPr>
        <w:spacing w:after="60" w:line="247" w:lineRule="auto"/>
      </w:pPr>
    </w:p>
    <w:p>
      <w:pPr>
        <w:spacing w:after="60" w:line="247" w:lineRule="auto"/>
      </w:pPr>
      <w:r>
        <w:t>Discovery response is intentionally minimal and read-only. It must not be expanded casually to include price, Product Intelligence, processor runtime, DE Evidence, scan/deep-scan fields or Campaign state.</w:t>
      </w:r>
    </w:p>
    <w:p>
      <w:pPr>
        <w:spacing w:after="60" w:line="247" w:lineRule="auto"/>
      </w:pPr>
      <w:r>
        <w:t>Authentication/tenant rule: Brand identity is resolved from the authenticated user/organization relationship. Frontend must not provide an arbitrary brandId selector for these reads.</w:t>
      </w:r>
    </w:p>
    <w:p>
      <w:pPr>
        <w:pStyle w:val="Heading1"/>
        <w:keepNext/>
        <w:spacing w:before="160" w:after="80"/>
      </w:pPr>
      <w:r>
        <w:t>7. Canonical Offering and price semantics</w:t>
      </w:r>
    </w:p>
    <w:p>
      <w:pPr>
        <w:spacing w:after="60" w:line="247" w:lineRule="auto"/>
      </w:pPr>
      <w:r>
        <w:t>Canonical Offering lifecycle vocabulary:</w:t>
      </w:r>
    </w:p>
    <w:p>
      <w:pPr>
        <w:pStyle w:val="ListBullet"/>
      </w:pPr>
      <w:r>
        <w:t>DRAFT_INCOMPLETE</w:t>
      </w:r>
    </w:p>
    <w:p>
      <w:pPr>
        <w:pStyle w:val="ListBullet"/>
      </w:pPr>
      <w:r>
        <w:t>ACTIVE</w:t>
      </w:r>
    </w:p>
    <w:p>
      <w:pPr>
        <w:pStyle w:val="ListBullet"/>
      </w:pPr>
      <w:r>
        <w:t>PAUSED_INACTIVE</w:t>
      </w:r>
    </w:p>
    <w:p>
      <w:pPr>
        <w:spacing w:after="60" w:line="247" w:lineRule="auto"/>
      </w:pPr>
      <w:r>
        <w:t>Canonical Offering kind vocabulary: PRODUCT / SERVICE / EXPERIENCE / BUNDLE. Historical rows whose canonical kind/lifecycle remains unresolved are intentionally excluded from the canonical Offering discovery list; do not reconstruct them from legacy catalogue data.</w:t>
      </w:r>
    </w:p>
    <w:p>
      <w:pPr>
        <w:spacing w:after="60" w:line="247" w:lineRule="auto"/>
      </w:pPr>
      <w:r>
        <w:t>Canonical price modes: EXACT / STARTING_AT / RANGE / NOT_PUBLICLY_LISTED. Canonical price may also be unavailable. Price freshness is CURRENT / STALE / UNKNOWN.</w:t>
      </w:r>
    </w:p>
    <w:p>
      <w:pPr>
        <w:spacing w:after="60" w:line="247" w:lineRule="auto"/>
      </w:pPr>
      <w:r>
        <w:t>Manual price behavior:</w:t>
      </w:r>
    </w:p>
    <w:p>
      <w:pPr>
        <w:pStyle w:val="ListBullet"/>
      </w:pPr>
      <w:r>
        <w:t>Manual Brand edit creates authority = BRAND_CONFIRMED and origin = BRAND_EDIT.</w:t>
      </w:r>
    </w:p>
    <w:p>
      <w:pPr>
        <w:pStyle w:val="ListBullet"/>
      </w:pPr>
      <w:r>
        <w:t>Automatic website refresh must never overwrite a Brand-confirmed/manual current price.</w:t>
      </w:r>
    </w:p>
    <w:p>
      <w:pPr>
        <w:pStyle w:val="ListBullet"/>
      </w:pPr>
      <w:r>
        <w:t>Frontend presents this as “Manually managed”; implementation enum names are not intended as user-facing copy.</w:t>
      </w:r>
    </w:p>
    <w:p>
      <w:pPr>
        <w:pStyle w:val="Heading1"/>
        <w:keepNext/>
        <w:spacing w:before="160" w:after="80"/>
      </w:pPr>
      <w:r>
        <w:t>8. Controlled website price refresh</w:t>
      </w:r>
    </w:p>
    <w:tbl>
      <w:tblPr>
        <w:tblStyle w:val="TableGrid"/>
        <w:tblW w:type="auto" w:w="0"/>
        <w:jc w:val="center"/>
        <w:tblLook w:firstColumn="1" w:firstRow="1" w:lastColumn="0" w:lastRow="0" w:noHBand="0" w:noVBand="1" w:val="04A0"/>
      </w:tblPr>
      <w:tblGrid>
        <w:gridCol w:w="5040"/>
        <w:gridCol w:w="5040"/>
      </w:tblGrid>
      <w:tr>
        <w:trPr>
          <w:cantSplit/>
        </w:trPr>
        <w:tc>
          <w:tcPr>
            <w:tcW w:type="dxa" w:w="5760"/>
            <w:shd w:fill="D9EAF7"/>
            <w:vAlign w:val="center"/>
            <w:tcMar>
              <w:top w:w="80" w:type="dxa"/>
              <w:start w:w="90" w:type="dxa"/>
              <w:bottom w:w="80" w:type="dxa"/>
              <w:end w:w="90" w:type="dxa"/>
            </w:tcMar>
          </w:tcPr>
          <w:p>
            <w:pPr>
              <w:jc w:val="left"/>
            </w:pPr>
            <w:r>
              <w:rPr>
                <w:b/>
              </w:rPr>
              <w:t>Configuration</w:t>
            </w:r>
          </w:p>
        </w:tc>
        <w:tc>
          <w:tcPr>
            <w:tcW w:type="dxa" w:w="3312"/>
            <w:shd w:fill="D9EAF7"/>
            <w:vAlign w:val="center"/>
            <w:tcMar>
              <w:top w:w="80" w:type="dxa"/>
              <w:start w:w="90" w:type="dxa"/>
              <w:bottom w:w="80" w:type="dxa"/>
              <w:end w:w="90" w:type="dxa"/>
            </w:tcMar>
          </w:tcPr>
          <w:p>
            <w:pPr>
              <w:jc w:val="left"/>
            </w:pPr>
            <w:r>
              <w:rPr>
                <w:b/>
              </w:rPr>
              <w:t>Accepted initial value</w:t>
            </w:r>
          </w:p>
        </w:tc>
      </w:tr>
      <w:tr>
        <w:trPr>
          <w:cantSplit/>
        </w:trPr>
        <w:tc>
          <w:tcPr>
            <w:tcW w:type="dxa" w:w="5760"/>
            <w:tcMar>
              <w:top w:w="80" w:type="dxa"/>
              <w:start w:w="90" w:type="dxa"/>
              <w:bottom w:w="80" w:type="dxa"/>
              <w:end w:w="90" w:type="dxa"/>
            </w:tcMar>
            <w:vAlign w:val="top"/>
          </w:tcPr>
          <w:p>
            <w:r>
              <w:t>OFFERING_PRICE_REFRESH_ENABLED</w:t>
            </w:r>
          </w:p>
        </w:tc>
        <w:tc>
          <w:tcPr>
            <w:tcW w:type="dxa" w:w="3312"/>
            <w:tcMar>
              <w:top w:w="80" w:type="dxa"/>
              <w:start w:w="90" w:type="dxa"/>
              <w:bottom w:w="80" w:type="dxa"/>
              <w:end w:w="90" w:type="dxa"/>
            </w:tcMar>
            <w:vAlign w:val="top"/>
          </w:tcPr>
          <w:p>
            <w:r>
              <w:t>true</w:t>
            </w:r>
          </w:p>
        </w:tc>
      </w:tr>
      <w:tr>
        <w:trPr>
          <w:cantSplit/>
        </w:trPr>
        <w:tc>
          <w:tcPr>
            <w:tcW w:type="dxa" w:w="5760"/>
            <w:tcMar>
              <w:top w:w="80" w:type="dxa"/>
              <w:start w:w="90" w:type="dxa"/>
              <w:bottom w:w="80" w:type="dxa"/>
              <w:end w:w="90" w:type="dxa"/>
            </w:tcMar>
            <w:vAlign w:val="top"/>
          </w:tcPr>
          <w:p>
            <w:r>
              <w:t>OFFERING_PRICE_REFRESH_SCAN_INTERVAL_MINUTES</w:t>
            </w:r>
          </w:p>
        </w:tc>
        <w:tc>
          <w:tcPr>
            <w:tcW w:type="dxa" w:w="3312"/>
            <w:tcMar>
              <w:top w:w="80" w:type="dxa"/>
              <w:start w:w="90" w:type="dxa"/>
              <w:bottom w:w="80" w:type="dxa"/>
              <w:end w:w="90" w:type="dxa"/>
            </w:tcMar>
            <w:vAlign w:val="top"/>
          </w:tcPr>
          <w:p>
            <w:r>
              <w:t>60</w:t>
            </w:r>
          </w:p>
        </w:tc>
      </w:tr>
      <w:tr>
        <w:trPr>
          <w:cantSplit/>
        </w:trPr>
        <w:tc>
          <w:tcPr>
            <w:tcW w:type="dxa" w:w="5760"/>
            <w:tcMar>
              <w:top w:w="80" w:type="dxa"/>
              <w:start w:w="90" w:type="dxa"/>
              <w:bottom w:w="80" w:type="dxa"/>
              <w:end w:w="90" w:type="dxa"/>
            </w:tcMar>
            <w:vAlign w:val="top"/>
          </w:tcPr>
          <w:p>
            <w:r>
              <w:t>OFFERING_PRICE_REFRESH_INTERVAL_HOURS</w:t>
            </w:r>
          </w:p>
        </w:tc>
        <w:tc>
          <w:tcPr>
            <w:tcW w:type="dxa" w:w="3312"/>
            <w:tcMar>
              <w:top w:w="80" w:type="dxa"/>
              <w:start w:w="90" w:type="dxa"/>
              <w:bottom w:w="80" w:type="dxa"/>
              <w:end w:w="90" w:type="dxa"/>
            </w:tcMar>
            <w:vAlign w:val="top"/>
          </w:tcPr>
          <w:p>
            <w:r>
              <w:t>24</w:t>
            </w:r>
          </w:p>
        </w:tc>
      </w:tr>
      <w:tr>
        <w:trPr>
          <w:cantSplit/>
        </w:trPr>
        <w:tc>
          <w:tcPr>
            <w:tcW w:type="dxa" w:w="5760"/>
            <w:tcMar>
              <w:top w:w="80" w:type="dxa"/>
              <w:start w:w="90" w:type="dxa"/>
              <w:bottom w:w="80" w:type="dxa"/>
              <w:end w:w="90" w:type="dxa"/>
            </w:tcMar>
            <w:vAlign w:val="top"/>
          </w:tcPr>
          <w:p>
            <w:r>
              <w:t>OFFERING_PRICE_REFRESH_BATCH_SIZE</w:t>
            </w:r>
          </w:p>
        </w:tc>
        <w:tc>
          <w:tcPr>
            <w:tcW w:type="dxa" w:w="3312"/>
            <w:tcMar>
              <w:top w:w="80" w:type="dxa"/>
              <w:start w:w="90" w:type="dxa"/>
              <w:bottom w:w="80" w:type="dxa"/>
              <w:end w:w="90" w:type="dxa"/>
            </w:tcMar>
            <w:vAlign w:val="top"/>
          </w:tcPr>
          <w:p>
            <w:r>
              <w:t>20</w:t>
            </w:r>
          </w:p>
        </w:tc>
      </w:tr>
    </w:tbl>
    <w:p>
      <w:pPr>
        <w:spacing w:after="60" w:line="247" w:lineRule="auto"/>
      </w:pPr>
    </w:p>
    <w:p>
      <w:pPr>
        <w:spacing w:after="60" w:line="247" w:lineRule="auto"/>
      </w:pPr>
      <w:r>
        <w:t>Operational behavior:</w:t>
      </w:r>
    </w:p>
    <w:p>
      <w:pPr>
        <w:pStyle w:val="ListBullet"/>
      </w:pPr>
      <w:r>
        <w:t>Scheduler scans hourly, but an Offering becomes refresh-eligible only after 24 hours (or when no successful prior commercial refresh exists).</w:t>
      </w:r>
    </w:p>
    <w:p>
      <w:pPr>
        <w:pStyle w:val="ListBullet"/>
      </w:pPr>
      <w:r>
        <w:t>Only ACTIVE, exact-resource, unprotected Offerings are eligible.</w:t>
      </w:r>
    </w:p>
    <w:p>
      <w:pPr>
        <w:pStyle w:val="ListBullet"/>
      </w:pPr>
      <w:r>
        <w:t>Each refresh targets the exact reconciled Offering resource; no root/navigation rediscovery is performed.</w:t>
      </w:r>
    </w:p>
    <w:p>
      <w:pPr>
        <w:pStyle w:val="ListBullet"/>
      </w:pPr>
      <w:r>
        <w:t>Only owned_website.offering_commercial_evidence runs for this command.</w:t>
      </w:r>
    </w:p>
    <w:p>
      <w:pPr>
        <w:pStyle w:val="ListBullet"/>
      </w:pPr>
      <w:r>
        <w:t>Direct acquisition remains first; bounded Zyte fallback remains available.</w:t>
      </w:r>
    </w:p>
    <w:p>
      <w:pPr>
        <w:pStyle w:val="ListBullet"/>
      </w:pPr>
      <w:r>
        <w:t>Multiple ECS instances may scan concurrently. A deterministic database request-key claim permits only one instance to perform exact commercial acquisition.</w:t>
      </w:r>
    </w:p>
    <w:p>
      <w:pPr>
        <w:spacing w:after="60" w:line="247" w:lineRule="auto"/>
      </w:pPr>
      <w:r>
        <w:t>Reconciliation behavior:</w:t>
      </w:r>
    </w:p>
    <w:tbl>
      <w:tblPr>
        <w:tblStyle w:val="TableGrid"/>
        <w:tblW w:type="auto" w:w="0"/>
        <w:jc w:val="center"/>
        <w:tblLook w:firstColumn="1" w:firstRow="1" w:lastColumn="0" w:lastRow="0" w:noHBand="0" w:noVBand="1" w:val="04A0"/>
      </w:tblPr>
      <w:tblGrid>
        <w:gridCol w:w="5040"/>
        <w:gridCol w:w="5040"/>
      </w:tblGrid>
      <w:tr>
        <w:trPr>
          <w:cantSplit/>
        </w:trPr>
        <w:tc>
          <w:tcPr>
            <w:tcW w:type="dxa" w:w="4680"/>
            <w:shd w:fill="D9EAF7"/>
            <w:vAlign w:val="center"/>
            <w:tcMar>
              <w:top w:w="80" w:type="dxa"/>
              <w:start w:w="90" w:type="dxa"/>
              <w:bottom w:w="80" w:type="dxa"/>
              <w:end w:w="90" w:type="dxa"/>
            </w:tcMar>
          </w:tcPr>
          <w:p>
            <w:pPr>
              <w:jc w:val="left"/>
            </w:pPr>
            <w:r>
              <w:rPr>
                <w:b/>
              </w:rPr>
              <w:t>Observed situation</w:t>
            </w:r>
          </w:p>
        </w:tc>
        <w:tc>
          <w:tcPr>
            <w:tcW w:type="dxa" w:w="5400"/>
            <w:shd w:fill="D9EAF7"/>
            <w:vAlign w:val="center"/>
            <w:tcMar>
              <w:top w:w="80" w:type="dxa"/>
              <w:start w:w="90" w:type="dxa"/>
              <w:bottom w:w="80" w:type="dxa"/>
              <w:end w:w="90" w:type="dxa"/>
            </w:tcMar>
          </w:tcPr>
          <w:p>
            <w:pPr>
              <w:jc w:val="left"/>
            </w:pPr>
            <w:r>
              <w:rPr>
                <w:b/>
              </w:rPr>
              <w:t>Canonical result</w:t>
            </w:r>
          </w:p>
        </w:tc>
      </w:tr>
      <w:tr>
        <w:trPr>
          <w:cantSplit/>
        </w:trPr>
        <w:tc>
          <w:tcPr>
            <w:tcW w:type="dxa" w:w="4680"/>
            <w:tcMar>
              <w:top w:w="80" w:type="dxa"/>
              <w:start w:w="90" w:type="dxa"/>
              <w:bottom w:w="80" w:type="dxa"/>
              <w:end w:w="90" w:type="dxa"/>
            </w:tcMar>
            <w:vAlign w:val="top"/>
          </w:tcPr>
          <w:p>
            <w:r>
              <w:t>Same normalized commercial tuple</w:t>
            </w:r>
          </w:p>
        </w:tc>
        <w:tc>
          <w:tcPr>
            <w:tcW w:type="dxa" w:w="5400"/>
            <w:tcMar>
              <w:top w:w="80" w:type="dxa"/>
              <w:start w:w="90" w:type="dxa"/>
              <w:bottom w:w="80" w:type="dxa"/>
              <w:end w:w="90" w:type="dxa"/>
            </w:tcMar>
            <w:vAlign w:val="top"/>
          </w:tcPr>
          <w:p>
            <w:r>
              <w:t>NO_CHANGE</w:t>
            </w:r>
          </w:p>
        </w:tc>
      </w:tr>
      <w:tr>
        <w:trPr>
          <w:cantSplit/>
        </w:trPr>
        <w:tc>
          <w:tcPr>
            <w:tcW w:type="dxa" w:w="4680"/>
            <w:tcMar>
              <w:top w:w="80" w:type="dxa"/>
              <w:start w:w="90" w:type="dxa"/>
              <w:bottom w:w="80" w:type="dxa"/>
              <w:end w:w="90" w:type="dxa"/>
            </w:tcMar>
            <w:vAlign w:val="top"/>
          </w:tcPr>
          <w:p>
            <w:r>
              <w:t>Clear changed first-party price</w:t>
            </w:r>
          </w:p>
        </w:tc>
        <w:tc>
          <w:tcPr>
            <w:tcW w:type="dxa" w:w="5400"/>
            <w:tcMar>
              <w:top w:w="80" w:type="dxa"/>
              <w:start w:w="90" w:type="dxa"/>
              <w:bottom w:w="80" w:type="dxa"/>
              <w:end w:w="90" w:type="dxa"/>
            </w:tcMar>
            <w:vAlign w:val="top"/>
          </w:tcPr>
          <w:p>
            <w:r>
              <w:t>ADVANCE_PRICE; new immutable OfferingPriceRevision</w:t>
            </w:r>
          </w:p>
        </w:tc>
      </w:tr>
      <w:tr>
        <w:trPr>
          <w:cantSplit/>
        </w:trPr>
        <w:tc>
          <w:tcPr>
            <w:tcW w:type="dxa" w:w="4680"/>
            <w:tcMar>
              <w:top w:w="80" w:type="dxa"/>
              <w:start w:w="90" w:type="dxa"/>
              <w:bottom w:w="80" w:type="dxa"/>
              <w:end w:w="90" w:type="dxa"/>
            </w:tcMar>
            <w:vAlign w:val="top"/>
          </w:tcPr>
          <w:p>
            <w:r>
              <w:t>Agreeing HTML + JSON-LD</w:t>
            </w:r>
          </w:p>
        </w:tc>
        <w:tc>
          <w:tcPr>
            <w:tcW w:type="dxa" w:w="5400"/>
            <w:tcMar>
              <w:top w:w="80" w:type="dxa"/>
              <w:start w:w="90" w:type="dxa"/>
              <w:bottom w:w="80" w:type="dxa"/>
              <w:end w:w="90" w:type="dxa"/>
            </w:tcMar>
            <w:vAlign w:val="top"/>
          </w:tcPr>
          <w:p>
            <w:r>
              <w:t>ADVANCE_PRICE</w:t>
            </w:r>
          </w:p>
        </w:tc>
      </w:tr>
      <w:tr>
        <w:trPr>
          <w:cantSplit/>
        </w:trPr>
        <w:tc>
          <w:tcPr>
            <w:tcW w:type="dxa" w:w="4680"/>
            <w:tcMar>
              <w:top w:w="80" w:type="dxa"/>
              <w:start w:w="90" w:type="dxa"/>
              <w:bottom w:w="80" w:type="dxa"/>
              <w:end w:w="90" w:type="dxa"/>
            </w:tcMar>
            <w:vAlign w:val="top"/>
          </w:tcPr>
          <w:p>
            <w:r>
              <w:t>Conflicting qualifying observations</w:t>
            </w:r>
          </w:p>
        </w:tc>
        <w:tc>
          <w:tcPr>
            <w:tcW w:type="dxa" w:w="5400"/>
            <w:tcMar>
              <w:top w:w="80" w:type="dxa"/>
              <w:start w:w="90" w:type="dxa"/>
              <w:bottom w:w="80" w:type="dxa"/>
              <w:end w:w="90" w:type="dxa"/>
            </w:tcMar>
            <w:vAlign w:val="top"/>
          </w:tcPr>
          <w:p>
            <w:r>
              <w:t>No advance; current retained</w:t>
            </w:r>
          </w:p>
        </w:tc>
      </w:tr>
      <w:tr>
        <w:trPr>
          <w:cantSplit/>
        </w:trPr>
        <w:tc>
          <w:tcPr>
            <w:tcW w:type="dxa" w:w="4680"/>
            <w:tcMar>
              <w:top w:w="80" w:type="dxa"/>
              <w:start w:w="90" w:type="dxa"/>
              <w:bottom w:w="80" w:type="dxa"/>
              <w:end w:w="90" w:type="dxa"/>
            </w:tcMar>
            <w:vAlign w:val="top"/>
          </w:tcPr>
          <w:p>
            <w:r>
              <w:t>Ambiguous/missing currency for priced observation</w:t>
            </w:r>
          </w:p>
        </w:tc>
        <w:tc>
          <w:tcPr>
            <w:tcW w:type="dxa" w:w="5400"/>
            <w:tcMar>
              <w:top w:w="80" w:type="dxa"/>
              <w:start w:w="90" w:type="dxa"/>
              <w:bottom w:w="80" w:type="dxa"/>
              <w:end w:w="90" w:type="dxa"/>
            </w:tcMar>
            <w:vAlign w:val="top"/>
          </w:tcPr>
          <w:p>
            <w:r>
              <w:t>No advance</w:t>
            </w:r>
          </w:p>
        </w:tc>
      </w:tr>
      <w:tr>
        <w:trPr>
          <w:cantSplit/>
        </w:trPr>
        <w:tc>
          <w:tcPr>
            <w:tcW w:type="dxa" w:w="4680"/>
            <w:tcMar>
              <w:top w:w="80" w:type="dxa"/>
              <w:start w:w="90" w:type="dxa"/>
              <w:bottom w:w="80" w:type="dxa"/>
              <w:end w:w="90" w:type="dxa"/>
            </w:tcMar>
            <w:vAlign w:val="top"/>
          </w:tcPr>
          <w:p>
            <w:r>
              <w:t>Successful usable capture but prior public price disappeared</w:t>
            </w:r>
          </w:p>
        </w:tc>
        <w:tc>
          <w:tcPr>
            <w:tcW w:type="dxa" w:w="5400"/>
            <w:tcMar>
              <w:top w:w="80" w:type="dxa"/>
              <w:start w:w="90" w:type="dxa"/>
              <w:bottom w:w="80" w:type="dxa"/>
              <w:end w:w="90" w:type="dxa"/>
            </w:tcMar>
            <w:vAlign w:val="top"/>
          </w:tcPr>
          <w:p>
            <w:r>
              <w:t>Retain full tuple; mark machine-managed price STALE</w:t>
            </w:r>
          </w:p>
        </w:tc>
      </w:tr>
      <w:tr>
        <w:trPr>
          <w:cantSplit/>
        </w:trPr>
        <w:tc>
          <w:tcPr>
            <w:tcW w:type="dxa" w:w="4680"/>
            <w:tcMar>
              <w:top w:w="80" w:type="dxa"/>
              <w:start w:w="90" w:type="dxa"/>
              <w:bottom w:w="80" w:type="dxa"/>
              <w:end w:w="90" w:type="dxa"/>
            </w:tcMar>
            <w:vAlign w:val="top"/>
          </w:tcPr>
          <w:p>
            <w:r>
              <w:t>Transient acquisition/normalization failure</w:t>
            </w:r>
          </w:p>
        </w:tc>
        <w:tc>
          <w:tcPr>
            <w:tcW w:type="dxa" w:w="5400"/>
            <w:tcMar>
              <w:top w:w="80" w:type="dxa"/>
              <w:start w:w="90" w:type="dxa"/>
              <w:bottom w:w="80" w:type="dxa"/>
              <w:end w:w="90" w:type="dxa"/>
            </w:tcMar>
            <w:vAlign w:val="top"/>
          </w:tcPr>
          <w:p>
            <w:r>
              <w:t>Current canonical price untouched</w:t>
            </w:r>
          </w:p>
        </w:tc>
      </w:tr>
      <w:tr>
        <w:trPr>
          <w:cantSplit/>
        </w:trPr>
        <w:tc>
          <w:tcPr>
            <w:tcW w:type="dxa" w:w="4680"/>
            <w:tcMar>
              <w:top w:w="80" w:type="dxa"/>
              <w:start w:w="90" w:type="dxa"/>
              <w:bottom w:w="80" w:type="dxa"/>
              <w:end w:w="90" w:type="dxa"/>
            </w:tcMar>
            <w:vAlign w:val="top"/>
          </w:tcPr>
          <w:p>
            <w:r>
              <w:t>Current Brand-confirmed/manual price</w:t>
            </w:r>
          </w:p>
        </w:tc>
        <w:tc>
          <w:tcPr>
            <w:tcW w:type="dxa" w:w="5400"/>
            <w:tcMar>
              <w:top w:w="80" w:type="dxa"/>
              <w:start w:w="90" w:type="dxa"/>
              <w:bottom w:w="80" w:type="dxa"/>
              <w:end w:w="90" w:type="dxa"/>
            </w:tcMar>
            <w:vAlign w:val="top"/>
          </w:tcPr>
          <w:p>
            <w:r>
              <w:t>BLOCKED_MANUAL</w:t>
            </w:r>
          </w:p>
        </w:tc>
      </w:tr>
      <w:tr>
        <w:trPr>
          <w:cantSplit/>
        </w:trPr>
        <w:tc>
          <w:tcPr>
            <w:tcW w:type="dxa" w:w="4680"/>
            <w:tcMar>
              <w:top w:w="80" w:type="dxa"/>
              <w:start w:w="90" w:type="dxa"/>
              <w:bottom w:w="80" w:type="dxa"/>
              <w:end w:w="90" w:type="dxa"/>
            </w:tcMar>
            <w:vAlign w:val="top"/>
          </w:tcPr>
          <w:p>
            <w:r>
              <w:t>CAS race/manual edit during refresh</w:t>
            </w:r>
          </w:p>
        </w:tc>
        <w:tc>
          <w:tcPr>
            <w:tcW w:type="dxa" w:w="5400"/>
            <w:tcMar>
              <w:top w:w="80" w:type="dxa"/>
              <w:start w:w="90" w:type="dxa"/>
              <w:bottom w:w="80" w:type="dxa"/>
              <w:end w:w="90" w:type="dxa"/>
            </w:tcMar>
            <w:vAlign w:val="top"/>
          </w:tcPr>
          <w:p>
            <w:r>
              <w:t>Winning current revision retained; automatic attempt stops</w:t>
            </w:r>
          </w:p>
        </w:tc>
      </w:tr>
    </w:tbl>
    <w:p>
      <w:pPr>
        <w:spacing w:after="60" w:line="247" w:lineRule="auto"/>
      </w:pPr>
    </w:p>
    <w:p>
      <w:pPr>
        <w:pStyle w:val="Heading1"/>
        <w:keepNext/>
        <w:spacing w:before="160" w:after="80"/>
      </w:pPr>
      <w:r>
        <w:t>9. Important domain separations the developer must preserve</w:t>
      </w:r>
    </w:p>
    <w:p>
      <w:pPr>
        <w:pStyle w:val="ListBullet"/>
      </w:pPr>
      <w:r>
        <w:t>Canonical Offering discovery ≠ legacy /dna/offerings catalogue. The legacy endpoint remains compatibility-only for existing callers.</w:t>
      </w:r>
    </w:p>
    <w:p>
      <w:pPr>
        <w:pStyle w:val="ListBullet"/>
      </w:pPr>
      <w:r>
        <w:t>Commercial Data Extraction Evidence ≠ canonical price. DE observes; application canonical state reconciles and writes truth.</w:t>
      </w:r>
    </w:p>
    <w:p>
      <w:pPr>
        <w:pStyle w:val="ListBullet"/>
      </w:pPr>
      <w:r>
        <w:t>commercial_context ≠ canonical price. Frontend must display price from canonical Offering state only.</w:t>
      </w:r>
    </w:p>
    <w:p>
      <w:pPr>
        <w:pStyle w:val="ListBullet"/>
      </w:pPr>
      <w:r>
        <w:t>Product Intelligence talking points ≠ final Campaign copy or approved caption/brief.</w:t>
      </w:r>
    </w:p>
    <w:p>
      <w:pPr>
        <w:pStyle w:val="ListBullet"/>
      </w:pPr>
      <w:r>
        <w:t>communication_constraints ≠ externally verified legal/compliance certification.</w:t>
      </w:r>
    </w:p>
    <w:p>
      <w:pPr>
        <w:pStyle w:val="ListBullet"/>
      </w:pPr>
      <w:r>
        <w:t>Product Intelligence candidate ≠ current. Do not silently swap candidate content into the current surface.</w:t>
      </w:r>
    </w:p>
    <w:p>
      <w:pPr>
        <w:pStyle w:val="ListBullet"/>
      </w:pPr>
      <w:r>
        <w:t>Product processor failure ≠ Product Object failure/readiness. Keep prior current visible where supplied.</w:t>
      </w:r>
    </w:p>
    <w:p>
      <w:pPr>
        <w:pStyle w:val="ListBullet"/>
      </w:pPr>
      <w:r>
        <w:t>Offering lifecycle ≠ Campaign eligibility. Do not infer Campaign eligibility from ACTIVE alone.</w:t>
      </w:r>
    </w:p>
    <w:p>
      <w:pPr>
        <w:pStyle w:val="ListBullet"/>
      </w:pPr>
      <w:r>
        <w:t>Historically unresolved canonical Offerings ≠ deleted. They are intentionally undiscoverable in the V1 canonical index pending authorized reconciliation.</w:t>
      </w:r>
    </w:p>
    <w:p>
      <w:pPr>
        <w:pStyle w:val="Heading1"/>
        <w:keepNext/>
        <w:spacing w:before="160" w:after="80"/>
      </w:pPr>
      <w:r>
        <w:t>10. Frontend implementation handoff</w:t>
      </w:r>
    </w:p>
    <w:p>
      <w:pPr>
        <w:spacing w:after="60" w:line="247" w:lineRule="auto"/>
      </w:pPr>
      <w:r>
        <w:t>Canonical frontend state: development @ 6bc9659ec87d9b960caaf3c6314e0f4da7b2596f</w:t>
      </w:r>
    </w:p>
    <w:p>
      <w:pPr>
        <w:spacing w:after="60" w:line="247" w:lineRule="auto"/>
      </w:pPr>
      <w:r>
        <w:t>Accepted Product Intelligence history:</w:t>
      </w:r>
    </w:p>
    <w:p>
      <w:pPr>
        <w:pStyle w:val="ListBullet"/>
      </w:pPr>
      <w:r>
        <w:t>f377dc7955047af9db31f7ddd3c9bfcc6320c344 — feat(brand-centre): add Product Intelligence Offering experience</w:t>
      </w:r>
    </w:p>
    <w:p>
      <w:pPr>
        <w:pStyle w:val="ListBullet"/>
      </w:pPr>
      <w:r>
        <w:t>6bc9659ec87d9b960caaf3c6314e0f4da7b2596f — fix(brand-centre): tighten Product Offering state identity</w:t>
      </w:r>
    </w:p>
    <w:p>
      <w:pPr>
        <w:spacing w:after="60" w:line="247" w:lineRule="auto"/>
      </w:pPr>
      <w:r>
        <w:t>Primary implementation is under src/features/brand-centre/ with supporting route configuration. Key accepted areas include:</w:t>
      </w:r>
    </w:p>
    <w:p>
      <w:pPr>
        <w:pStyle w:val="ListBullet"/>
      </w:pPr>
      <w:r>
        <w:t>API client: canonical Offering discovery, exact Product detail, manual price mutation.</w:t>
      </w:r>
    </w:p>
    <w:p>
      <w:pPr>
        <w:pStyle w:val="ListBullet"/>
      </w:pPr>
      <w:r>
        <w:t>Strict Product Intelligence runtime schemas and manual-price input validation.</w:t>
      </w:r>
    </w:p>
    <w:p>
      <w:pPr>
        <w:pStyle w:val="ListBullet"/>
      </w:pPr>
      <w:r>
        <w:t>Offering-specific query/cache identity; list/detail state must remain isolated by durable offeringId.</w:t>
      </w:r>
    </w:p>
    <w:p>
      <w:pPr>
        <w:pStyle w:val="ListBullet"/>
      </w:pPr>
      <w:r>
        <w:t>Product adapter/view model for canonical price and the three semantic sections.</w:t>
      </w:r>
    </w:p>
    <w:p>
      <w:pPr>
        <w:pStyle w:val="ListBullet"/>
      </w:pPr>
      <w:r>
        <w:t>Offering list/detail components, Product section state presentation and canonical price edit UI.</w:t>
      </w:r>
    </w:p>
    <w:p>
      <w:pPr>
        <w:pStyle w:val="ListBullet"/>
      </w:pPr>
      <w:r>
        <w:t>Routes: /brand-centre/offerings and /brand-centre/offerings/:offeringId.</w:t>
      </w:r>
    </w:p>
    <w:p>
      <w:pPr>
        <w:spacing w:after="60" w:line="247" w:lineRule="auto"/>
      </w:pPr>
      <w:r>
        <w:t>Do not rerun Stitch or redesign the accepted Product experience solely for deployment. The accepted frontend deliberately reused current Brand Centre, Settings, Campaign and Aurora patterns and reached final acceptance without new Stitch screens.</w:t>
      </w:r>
    </w:p>
    <w:p>
      <w:pPr>
        <w:spacing w:after="60" w:line="247" w:lineRule="auto"/>
      </w:pPr>
      <w:r>
        <w:t>Frontend behavioral requirements:</w:t>
      </w:r>
    </w:p>
    <w:p>
      <w:pPr>
        <w:pStyle w:val="ListBullet"/>
      </w:pPr>
      <w:r>
        <w:t>Keep the three Product processor/Object states section-scoped; never collapse them into one Product-wide READY/FAILED/refresh state.</w:t>
      </w:r>
    </w:p>
    <w:p>
      <w:pPr>
        <w:pStyle w:val="ListBullet"/>
      </w:pPr>
      <w:r>
        <w:t>Keep stale current visible with a restrained stale cue.</w:t>
      </w:r>
    </w:p>
    <w:p>
      <w:pPr>
        <w:pStyle w:val="ListBullet"/>
      </w:pPr>
      <w:r>
        <w:t>Keep current primary when candidate/conflict metadata exists.</w:t>
      </w:r>
    </w:p>
    <w:p>
      <w:pPr>
        <w:pStyle w:val="ListBullet"/>
      </w:pPr>
      <w:r>
        <w:t>Manual price save must refetch the backend canonical result; do not treat local optimistic state as canonical truth.</w:t>
      </w:r>
    </w:p>
    <w:p>
      <w:pPr>
        <w:pStyle w:val="ListBullet"/>
      </w:pPr>
      <w:r>
        <w:t>Do not synthesize historically unresolved Offerings from the legacy catalogue.</w:t>
      </w:r>
    </w:p>
    <w:p>
      <w:pPr>
        <w:pStyle w:val="ListBullet"/>
      </w:pPr>
      <w:r>
        <w:t>Maintain accepted desktop and mobile 390 responsive behavior.</w:t>
      </w:r>
    </w:p>
    <w:p>
      <w:pPr>
        <w:pStyle w:val="Heading1"/>
        <w:keepNext/>
        <w:spacing w:before="160" w:after="80"/>
      </w:pPr>
      <w:r>
        <w:t>11. Backend implementation handoff</w:t>
      </w:r>
    </w:p>
    <w:p>
      <w:pPr>
        <w:spacing w:after="60" w:line="247" w:lineRule="auto"/>
      </w:pPr>
      <w:r>
        <w:t>Canonical backend state: development @ 17214722dc20abf23c8dce935a58050a017f6639</w:t>
      </w:r>
    </w:p>
    <w:p>
      <w:pPr>
        <w:spacing w:after="60" w:line="247" w:lineRule="auto"/>
      </w:pPr>
      <w:r>
        <w:t>Key implementation areas:</w:t>
      </w:r>
    </w:p>
    <w:p>
      <w:pPr>
        <w:pStyle w:val="ListBullet"/>
      </w:pPr>
      <w:r>
        <w:t>src/features/brand-centre/consumer/product-consumer.controller.ts</w:t>
      </w:r>
    </w:p>
    <w:p>
      <w:pPr>
        <w:pStyle w:val="ListBullet"/>
      </w:pPr>
      <w:r>
        <w:t>src/features/brand-centre/consumer/product-consumer.service.ts</w:t>
      </w:r>
    </w:p>
    <w:p>
      <w:pPr>
        <w:pStyle w:val="ListBullet"/>
      </w:pPr>
      <w:r>
        <w:t>src/features/brand-centre/consumer/product-consumer.schema.ts</w:t>
      </w:r>
    </w:p>
    <w:p>
      <w:pPr>
        <w:pStyle w:val="ListBullet"/>
      </w:pPr>
      <w:r>
        <w:t>src/features/brand-centre/consumer/canonical-offering-discovery.service.ts</w:t>
      </w:r>
    </w:p>
    <w:p>
      <w:pPr>
        <w:pStyle w:val="ListBullet"/>
      </w:pPr>
      <w:r>
        <w:t>src/features/brand-centre/consumer/canonical-offering-discovery.schema.ts</w:t>
      </w:r>
    </w:p>
    <w:p>
      <w:pPr>
        <w:pStyle w:val="ListBullet"/>
      </w:pPr>
      <w:r>
        <w:t>src/features/brand-centre/services/canonical-offering-state.service.ts</w:t>
      </w:r>
    </w:p>
    <w:p>
      <w:pPr>
        <w:pStyle w:val="ListBullet"/>
      </w:pPr>
      <w:r>
        <w:t>src/features/brand-centre/services/canonical-offering-price-reconciliation.service.ts</w:t>
      </w:r>
    </w:p>
    <w:p>
      <w:pPr>
        <w:pStyle w:val="ListBullet"/>
      </w:pPr>
      <w:r>
        <w:t>src/features/brand-centre/services/offering-price-refresh-coordinator.service.ts</w:t>
      </w:r>
    </w:p>
    <w:p>
      <w:pPr>
        <w:pStyle w:val="ListBullet"/>
      </w:pPr>
      <w:r>
        <w:t>src/features/brand-centre/services/offering-price-refresh-eligibility.service.ts</w:t>
      </w:r>
    </w:p>
    <w:p>
      <w:pPr>
        <w:pStyle w:val="ListBullet"/>
      </w:pPr>
      <w:r>
        <w:t>src/features/brand-centre/services/offering-price-refresh.scheduler.ts</w:t>
      </w:r>
    </w:p>
    <w:p>
      <w:pPr>
        <w:pStyle w:val="ListBullet"/>
      </w:pPr>
      <w:r>
        <w:t>src/features/data-extraction/ (exact Offering acquisition, commercial Evidence, durable CapabilityExecution claim)</w:t>
      </w:r>
    </w:p>
    <w:p>
      <w:pPr>
        <w:pStyle w:val="ListBullet"/>
      </w:pPr>
      <w:r>
        <w:t>prisma/schema.prisma and migrations/</w:t>
      </w:r>
    </w:p>
    <w:p>
      <w:pPr>
        <w:spacing w:after="60" w:line="247" w:lineRule="auto"/>
      </w:pPr>
      <w:r>
        <w:t>Database migration state:</w:t>
      </w:r>
    </w:p>
    <w:p>
      <w:pPr>
        <w:pStyle w:val="ListBullet"/>
      </w:pPr>
      <w:r>
        <w:t>Migration 50 — 20260827223000_product_intelligence_v1_canonical_offering_foundation</w:t>
      </w:r>
    </w:p>
    <w:p>
      <w:pPr>
        <w:pStyle w:val="ListBullet"/>
      </w:pPr>
      <w:r>
        <w:t>Migration 51 — 20260827234500_product_intelligence_v1_generic_intelligence_subject_scope</w:t>
      </w:r>
    </w:p>
    <w:p>
      <w:pPr>
        <w:pStyle w:val="ListBullet"/>
      </w:pPr>
      <w:r>
        <w:t>Migration 52 — 20260828120000_data_extraction_offering_commercial_evidence</w:t>
      </w:r>
    </w:p>
    <w:p>
      <w:pPr>
        <w:pStyle w:val="ListBullet"/>
      </w:pPr>
      <w:r>
        <w:t>Migration 53 — ABSENT; do not create during deployment.</w:t>
      </w:r>
    </w:p>
    <w:p>
      <w:pPr>
        <w:pStyle w:val="Heading1"/>
        <w:keepNext/>
        <w:spacing w:before="160" w:after="80"/>
      </w:pPr>
      <w:r>
        <w:t>12. Authentication, providers and secrets</w:t>
      </w:r>
    </w:p>
    <w:p>
      <w:pPr>
        <w:spacing w:after="60" w:line="247" w:lineRule="auto"/>
      </w:pPr>
      <w:r>
        <w:t>User/application authentication and provider credentials are separate concerns.</w:t>
      </w:r>
    </w:p>
    <w:p>
      <w:pPr>
        <w:pStyle w:val="Heading2"/>
        <w:keepNext/>
        <w:spacing w:before="160" w:after="80"/>
      </w:pPr>
      <w:r>
        <w:t>12.1 User/application authentication</w:t>
      </w:r>
    </w:p>
    <w:p>
      <w:pPr>
        <w:pStyle w:val="ListBullet"/>
      </w:pPr>
      <w:r>
        <w:t>Product Offering reads/writes use the existing JWT/authenticated Brand Centre request flow.</w:t>
      </w:r>
    </w:p>
    <w:p>
      <w:pPr>
        <w:pStyle w:val="ListBullet"/>
      </w:pPr>
      <w:r>
        <w:t>Backend resolves Brand ownership from the authenticated organization/Brand relationship.</w:t>
      </w:r>
    </w:p>
    <w:p>
      <w:pPr>
        <w:pStyle w:val="ListBullet"/>
      </w:pPr>
      <w:r>
        <w:t>Cross-Brand Offering discovery/detail is server-side isolated.</w:t>
      </w:r>
    </w:p>
    <w:p>
      <w:pPr>
        <w:pStyle w:val="ListBullet"/>
      </w:pPr>
      <w:r>
        <w:t>No provider API key belongs in frontend environment variables or browser storage.</w:t>
      </w:r>
    </w:p>
    <w:p>
      <w:pPr>
        <w:pStyle w:val="Heading2"/>
        <w:keepNext/>
        <w:spacing w:before="160" w:after="80"/>
      </w:pPr>
      <w:r>
        <w:t>12.2 Data Extraction/provider credentials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1656"/>
            <w:shd w:fill="D9EAF7"/>
            <w:vAlign w:val="center"/>
            <w:tcMar>
              <w:top w:w="80" w:type="dxa"/>
              <w:start w:w="90" w:type="dxa"/>
              <w:bottom w:w="80" w:type="dxa"/>
              <w:end w:w="90" w:type="dxa"/>
            </w:tcMar>
          </w:tcPr>
          <w:p>
            <w:pPr>
              <w:jc w:val="left"/>
            </w:pPr>
            <w:r>
              <w:rPr>
                <w:b/>
              </w:rPr>
              <w:t>Tool/provider</w:t>
            </w:r>
          </w:p>
        </w:tc>
        <w:tc>
          <w:tcPr>
            <w:tcW w:type="dxa" w:w="3600"/>
            <w:shd w:fill="D9EAF7"/>
            <w:vAlign w:val="center"/>
            <w:tcMar>
              <w:top w:w="80" w:type="dxa"/>
              <w:start w:w="90" w:type="dxa"/>
              <w:bottom w:w="80" w:type="dxa"/>
              <w:end w:w="90" w:type="dxa"/>
            </w:tcMar>
          </w:tcPr>
          <w:p>
            <w:pPr>
              <w:jc w:val="left"/>
            </w:pPr>
            <w:r>
              <w:rPr>
                <w:b/>
              </w:rPr>
              <w:t>Credential</w:t>
            </w:r>
          </w:p>
        </w:tc>
        <w:tc>
          <w:tcPr>
            <w:tcW w:type="dxa" w:w="5184"/>
            <w:shd w:fill="D9EAF7"/>
            <w:vAlign w:val="center"/>
            <w:tcMar>
              <w:top w:w="80" w:type="dxa"/>
              <w:start w:w="90" w:type="dxa"/>
              <w:bottom w:w="80" w:type="dxa"/>
              <w:end w:w="90" w:type="dxa"/>
            </w:tcMar>
          </w:tcPr>
          <w:p>
            <w:pPr>
              <w:jc w:val="left"/>
            </w:pPr>
            <w:r>
              <w:rPr>
                <w:b/>
              </w:rPr>
              <w:t>Developer action</w:t>
            </w:r>
          </w:p>
        </w:tc>
      </w:tr>
      <w:tr>
        <w:trPr>
          <w:cantSplit/>
        </w:trPr>
        <w:tc>
          <w:tcPr>
            <w:tcW w:type="dxa" w:w="1656"/>
            <w:tcMar>
              <w:top w:w="80" w:type="dxa"/>
              <w:start w:w="90" w:type="dxa"/>
              <w:bottom w:w="80" w:type="dxa"/>
              <w:end w:w="90" w:type="dxa"/>
            </w:tcMar>
            <w:vAlign w:val="top"/>
          </w:tcPr>
          <w:p>
            <w:r>
              <w:t>Zyte</w:t>
            </w:r>
          </w:p>
        </w:tc>
        <w:tc>
          <w:tcPr>
            <w:tcW w:type="dxa" w:w="3600"/>
            <w:tcMar>
              <w:top w:w="80" w:type="dxa"/>
              <w:start w:w="90" w:type="dxa"/>
              <w:bottom w:w="80" w:type="dxa"/>
              <w:end w:w="90" w:type="dxa"/>
            </w:tcMar>
            <w:vAlign w:val="top"/>
          </w:tcPr>
          <w:p>
            <w:r>
              <w:t>ZYTE_API_KEY; optional URL/timeout settings</w:t>
            </w:r>
          </w:p>
        </w:tc>
        <w:tc>
          <w:tcPr>
            <w:tcW w:type="dxa" w:w="5184"/>
            <w:tcMar>
              <w:top w:w="80" w:type="dxa"/>
              <w:start w:w="90" w:type="dxa"/>
              <w:bottom w:w="80" w:type="dxa"/>
              <w:end w:w="90" w:type="dxa"/>
            </w:tcMar>
            <w:vAlign w:val="top"/>
          </w:tcPr>
          <w:p>
            <w:r>
              <w:t>Provision as backend/server secret if exact-resource fallback is enabled.</w:t>
            </w:r>
          </w:p>
        </w:tc>
      </w:tr>
      <w:tr>
        <w:trPr>
          <w:cantSplit/>
        </w:trPr>
        <w:tc>
          <w:tcPr>
            <w:tcW w:type="dxa" w:w="1656"/>
            <w:tcMar>
              <w:top w:w="80" w:type="dxa"/>
              <w:start w:w="90" w:type="dxa"/>
              <w:bottom w:w="80" w:type="dxa"/>
              <w:end w:w="90" w:type="dxa"/>
            </w:tcMar>
            <w:vAlign w:val="top"/>
          </w:tcPr>
          <w:p>
            <w:r>
              <w:t>Cheerio</w:t>
            </w:r>
          </w:p>
        </w:tc>
        <w:tc>
          <w:tcPr>
            <w:tcW w:type="dxa" w:w="3600"/>
            <w:tcMar>
              <w:top w:w="80" w:type="dxa"/>
              <w:start w:w="90" w:type="dxa"/>
              <w:bottom w:w="80" w:type="dxa"/>
              <w:end w:w="90" w:type="dxa"/>
            </w:tcMar>
            <w:vAlign w:val="top"/>
          </w:tcPr>
          <w:p>
            <w:r>
              <w:t>None</w:t>
            </w:r>
          </w:p>
        </w:tc>
        <w:tc>
          <w:tcPr>
            <w:tcW w:type="dxa" w:w="5184"/>
            <w:tcMar>
              <w:top w:w="80" w:type="dxa"/>
              <w:start w:w="90" w:type="dxa"/>
              <w:bottom w:w="80" w:type="dxa"/>
              <w:end w:w="90" w:type="dxa"/>
            </w:tcMar>
            <w:vAlign w:val="top"/>
          </w:tcPr>
          <w:p>
            <w:r>
              <w:t>Local parser dependency only; ensure lockfile install.</w:t>
            </w:r>
          </w:p>
        </w:tc>
      </w:tr>
      <w:tr>
        <w:trPr>
          <w:cantSplit/>
        </w:trPr>
        <w:tc>
          <w:tcPr>
            <w:tcW w:type="dxa" w:w="1656"/>
            <w:tcMar>
              <w:top w:w="80" w:type="dxa"/>
              <w:start w:w="90" w:type="dxa"/>
              <w:bottom w:w="80" w:type="dxa"/>
              <w:end w:w="90" w:type="dxa"/>
            </w:tcMar>
            <w:vAlign w:val="top"/>
          </w:tcPr>
          <w:p>
            <w:r>
              <w:t>Gemini</w:t>
            </w:r>
          </w:p>
        </w:tc>
        <w:tc>
          <w:tcPr>
            <w:tcW w:type="dxa" w:w="3600"/>
            <w:tcMar>
              <w:top w:w="80" w:type="dxa"/>
              <w:start w:w="90" w:type="dxa"/>
              <w:bottom w:w="80" w:type="dxa"/>
              <w:end w:w="90" w:type="dxa"/>
            </w:tcMar>
            <w:vAlign w:val="top"/>
          </w:tcPr>
          <w:p>
            <w:r>
              <w:t>GEMINI_API_KEY when enabled</w:t>
            </w:r>
          </w:p>
        </w:tc>
        <w:tc>
          <w:tcPr>
            <w:tcW w:type="dxa" w:w="5184"/>
            <w:tcMar>
              <w:top w:w="80" w:type="dxa"/>
              <w:start w:w="90" w:type="dxa"/>
              <w:bottom w:w="80" w:type="dxa"/>
              <w:end w:w="90" w:type="dxa"/>
            </w:tcMar>
            <w:vAlign w:val="top"/>
          </w:tcPr>
          <w:p>
            <w:r>
              <w:t>Provision server-side only.</w:t>
            </w:r>
          </w:p>
        </w:tc>
      </w:tr>
      <w:tr>
        <w:trPr>
          <w:cantSplit/>
        </w:trPr>
        <w:tc>
          <w:tcPr>
            <w:tcW w:type="dxa" w:w="1656"/>
            <w:tcMar>
              <w:top w:w="80" w:type="dxa"/>
              <w:start w:w="90" w:type="dxa"/>
              <w:bottom w:w="80" w:type="dxa"/>
              <w:end w:w="90" w:type="dxa"/>
            </w:tcMar>
            <w:vAlign w:val="top"/>
          </w:tcPr>
          <w:p>
            <w:r>
              <w:t>OpenAI</w:t>
            </w:r>
          </w:p>
        </w:tc>
        <w:tc>
          <w:tcPr>
            <w:tcW w:type="dxa" w:w="3600"/>
            <w:tcMar>
              <w:top w:w="80" w:type="dxa"/>
              <w:start w:w="90" w:type="dxa"/>
              <w:bottom w:w="80" w:type="dxa"/>
              <w:end w:w="90" w:type="dxa"/>
            </w:tcMar>
            <w:vAlign w:val="top"/>
          </w:tcPr>
          <w:p>
            <w:r>
              <w:t>OPENAI_API_KEY when enabled</w:t>
            </w:r>
          </w:p>
        </w:tc>
        <w:tc>
          <w:tcPr>
            <w:tcW w:type="dxa" w:w="5184"/>
            <w:tcMar>
              <w:top w:w="80" w:type="dxa"/>
              <w:start w:w="90" w:type="dxa"/>
              <w:bottom w:w="80" w:type="dxa"/>
              <w:end w:w="90" w:type="dxa"/>
            </w:tcMar>
            <w:vAlign w:val="top"/>
          </w:tcPr>
          <w:p>
            <w:r>
              <w:t>Provision server-side only; preserve provider retry/config settings.</w:t>
            </w:r>
          </w:p>
        </w:tc>
      </w:tr>
      <w:tr>
        <w:trPr>
          <w:cantSplit/>
        </w:trPr>
        <w:tc>
          <w:tcPr>
            <w:tcW w:type="dxa" w:w="1656"/>
            <w:tcMar>
              <w:top w:w="80" w:type="dxa"/>
              <w:start w:w="90" w:type="dxa"/>
              <w:bottom w:w="80" w:type="dxa"/>
              <w:end w:w="90" w:type="dxa"/>
            </w:tcMar>
            <w:vAlign w:val="top"/>
          </w:tcPr>
          <w:p>
            <w:r>
              <w:t>Parallel</w:t>
            </w:r>
          </w:p>
        </w:tc>
        <w:tc>
          <w:tcPr>
            <w:tcW w:type="dxa" w:w="3600"/>
            <w:tcMar>
              <w:top w:w="80" w:type="dxa"/>
              <w:start w:w="90" w:type="dxa"/>
              <w:bottom w:w="80" w:type="dxa"/>
              <w:end w:w="90" w:type="dxa"/>
            </w:tcMar>
            <w:vAlign w:val="top"/>
          </w:tcPr>
          <w:p>
            <w:r>
              <w:t>PARALLEL_API_KEY when enabled</w:t>
            </w:r>
          </w:p>
        </w:tc>
        <w:tc>
          <w:tcPr>
            <w:tcW w:type="dxa" w:w="5184"/>
            <w:tcMar>
              <w:top w:w="80" w:type="dxa"/>
              <w:start w:w="90" w:type="dxa"/>
              <w:bottom w:w="80" w:type="dxa"/>
              <w:end w:w="90" w:type="dxa"/>
            </w:tcMar>
            <w:vAlign w:val="top"/>
          </w:tcPr>
          <w:p>
            <w:r>
              <w:t>Provision server-side only if that acquisition/research path is enabled.</w:t>
            </w:r>
          </w:p>
        </w:tc>
      </w:tr>
    </w:tbl>
    <w:p>
      <w:pPr>
        <w:spacing w:after="60" w:line="247" w:lineRule="auto"/>
      </w:pPr>
    </w:p>
    <w:p>
      <w:pPr>
        <w:spacing w:after="60" w:line="247" w:lineRule="auto"/>
      </w:pPr>
      <w:r>
        <w:t>AWS recommendation: continue using the established server-side secret/config injection path. Do not commit secrets to Git, Docker images, frontend bundles or checked-in .env files.</w:t>
      </w:r>
    </w:p>
    <w:p>
      <w:pPr>
        <w:pStyle w:val="Heading1"/>
        <w:keepNext/>
        <w:spacing w:before="160" w:after="80"/>
      </w:pPr>
      <w:r>
        <w:t>13. Production packaging and deployment gate</w:t>
      </w:r>
    </w:p>
    <w:p>
      <w:pPr>
        <w:spacing w:after="60" w:line="247" w:lineRule="auto"/>
      </w:pPr>
      <w:r>
        <w:t>The accepted Product Intelligence milestone passed production build/type-check, source/dist verification, built startup and health checks. Before production rollout, repeat these checks against the exact deployable artifact and target environment.</w:t>
      </w:r>
    </w:p>
    <w:p>
      <w:pPr>
        <w:pStyle w:val="ListBullet"/>
      </w:pPr>
      <w:r>
        <w:t>Verify generated Intelligence contract bundles remain present/resolvable in the built backend artifact.</w:t>
      </w:r>
    </w:p>
    <w:p>
      <w:pPr>
        <w:pStyle w:val="ListBullet"/>
      </w:pPr>
      <w:r>
        <w:t>Verify the canonical Offering discovery schema/service and Product consumer are present in dist.</w:t>
      </w:r>
    </w:p>
    <w:p>
      <w:pPr>
        <w:pStyle w:val="ListBullet"/>
      </w:pPr>
      <w:r>
        <w:t>Verify price-refresh scheduler can start both enabled and disabled.</w:t>
      </w:r>
    </w:p>
    <w:p>
      <w:pPr>
        <w:pStyle w:val="ListBullet"/>
      </w:pPr>
      <w:r>
        <w:t>Do not modify processor contracts or Product topology to work around packaging problems; fix packaging/copy paths instead.</w:t>
      </w:r>
    </w:p>
    <w:p>
      <w:pPr>
        <w:pStyle w:val="Heading1"/>
        <w:keepNext/>
        <w:spacing w:before="160" w:after="80"/>
      </w:pPr>
      <w:r>
        <w:t>14. Developer deployment checklist</w:t>
      </w:r>
    </w:p>
    <w:p>
      <w:pPr>
        <w:pStyle w:val="ListBullet"/>
      </w:pPr>
      <w:r>
        <w:t>Pull frontend development and verify HEAD = 6bc9659ec87d9b960caaf3c6314e0f4da7b2596f.</w:t>
      </w:r>
    </w:p>
    <w:p>
      <w:pPr>
        <w:pStyle w:val="ListBullet"/>
      </w:pPr>
      <w:r>
        <w:t>Pull backend development and verify HEAD = 17214722dc20abf23c8dce935a58050a017f6639.</w:t>
      </w:r>
    </w:p>
    <w:p>
      <w:pPr>
        <w:pStyle w:val="ListBullet"/>
      </w:pPr>
      <w:r>
        <w:t>Use dummy_tcs main @ 677a6333d143d02a715274ee9bed42ade96808b3 as architecture/product authority when behavior is unclear.</w:t>
      </w:r>
    </w:p>
    <w:p>
      <w:pPr>
        <w:pStyle w:val="ListBullet"/>
      </w:pPr>
      <w:r>
        <w:t>Install frontend/backend dependencies from lockfiles.</w:t>
      </w:r>
    </w:p>
    <w:p>
      <w:pPr>
        <w:pStyle w:val="ListBullet"/>
      </w:pPr>
      <w:r>
        <w:t>Provision target DATABASE_URL and deploy all 52 migrations using the repository-standard migration deployment path.</w:t>
      </w:r>
    </w:p>
    <w:p>
      <w:pPr>
        <w:pStyle w:val="ListBullet"/>
      </w:pPr>
      <w:r>
        <w:t>Confirm migration 53 is absent before deployment.</w:t>
      </w:r>
    </w:p>
    <w:p>
      <w:pPr>
        <w:pStyle w:val="ListBullet"/>
      </w:pPr>
      <w:r>
        <w:t>Provision backend provider secrets only for enabled provider paths.</w:t>
      </w:r>
    </w:p>
    <w:p>
      <w:pPr>
        <w:pStyle w:val="ListBullet"/>
      </w:pPr>
      <w:r>
        <w:t>Set price-refresh production variables to the accepted initial values: true / 60 / 24 / 20.</w:t>
      </w:r>
    </w:p>
    <w:p>
      <w:pPr>
        <w:pStyle w:val="ListBullet"/>
      </w:pPr>
      <w:r>
        <w:t>Verify JWT/auth and organization-to-Brand resolution.</w:t>
      </w:r>
    </w:p>
    <w:p>
      <w:pPr>
        <w:pStyle w:val="ListBullet"/>
      </w:pPr>
      <w:r>
        <w:t>Start backend and smoke GET /api/v1/brand-centre/offerings with an authenticated Brand user.</w:t>
      </w:r>
    </w:p>
    <w:p>
      <w:pPr>
        <w:pStyle w:val="ListBullet"/>
      </w:pPr>
      <w:r>
        <w:t>Confirm empty collection returns HTTP 200 with { offerings: [] }.</w:t>
      </w:r>
    </w:p>
    <w:p>
      <w:pPr>
        <w:pStyle w:val="ListBullet"/>
      </w:pPr>
      <w:r>
        <w:t>Confirm an own-Brand listed offeringId resolves through GET /api/v1/brand-centre/offerings/:offeringId/intelligence.</w:t>
      </w:r>
    </w:p>
    <w:p>
      <w:pPr>
        <w:pStyle w:val="ListBullet"/>
      </w:pPr>
      <w:r>
        <w:t>Confirm another Brand cannot discover or read that Offering.</w:t>
      </w:r>
    </w:p>
    <w:p>
      <w:pPr>
        <w:pStyle w:val="ListBullet"/>
      </w:pPr>
      <w:r>
        <w:t>Confirm detail exposes exactly three Product Objects and three Product processorRuntime entries.</w:t>
      </w:r>
    </w:p>
    <w:p>
      <w:pPr>
        <w:pStyle w:val="ListBullet"/>
      </w:pPr>
      <w:r>
        <w:t>Confirm canonical price modes parse/display correctly and stale price retains the tuple.</w:t>
      </w:r>
    </w:p>
    <w:p>
      <w:pPr>
        <w:pStyle w:val="ListBullet"/>
      </w:pPr>
      <w:r>
        <w:t>Confirm manual price write produces the backend canonical result and subsequent auto-refresh cannot overwrite it.</w:t>
      </w:r>
    </w:p>
    <w:p>
      <w:pPr>
        <w:pStyle w:val="ListBullet"/>
      </w:pPr>
      <w:r>
        <w:t>Validate at least one mixed-state runtime scenario (for example factual READY, creator WAITING_FOR_DEPENDENCY, actionability PARTIAL).</w:t>
      </w:r>
    </w:p>
    <w:p>
      <w:pPr>
        <w:pStyle w:val="ListBullet"/>
      </w:pPr>
      <w:r>
        <w:t>Start frontend against the deployed backend and validate desktop + mobile 390 Offering list/detail flows.</w:t>
      </w:r>
    </w:p>
    <w:p>
      <w:pPr>
        <w:pStyle w:val="ListBullet"/>
      </w:pPr>
      <w:r>
        <w:t>Confirm Product discovery does not call /api/v1/brand-centre/dna/offerings.</w:t>
      </w:r>
    </w:p>
    <w:p>
      <w:pPr>
        <w:pStyle w:val="ListBullet"/>
      </w:pPr>
      <w:r>
        <w:t>Confirm built backend /health returns HTTP 200 with database up.</w:t>
      </w:r>
    </w:p>
    <w:p>
      <w:pPr>
        <w:pStyle w:val="Heading1"/>
        <w:keepNext/>
        <w:spacing w:before="160" w:after="80"/>
      </w:pPr>
      <w:r>
        <w:t>15. Accepted MVP limitations / do not treat as deployment defects</w:t>
      </w:r>
    </w:p>
    <w:p>
      <w:pPr>
        <w:pStyle w:val="ListBullet"/>
      </w:pPr>
      <w:r>
        <w:t>Canonical Offering discovery V1 is intentionally unpaginated.</w:t>
      </w:r>
    </w:p>
    <w:p>
      <w:pPr>
        <w:pStyle w:val="ListBullet"/>
      </w:pPr>
      <w:r>
        <w:t>Historically unresolved null-kind/null-lifecycle Offerings are intentionally excluded from canonical discovery pending authorized reconciliation.</w:t>
      </w:r>
    </w:p>
    <w:p>
      <w:pPr>
        <w:pStyle w:val="ListBullet"/>
      </w:pPr>
      <w:r>
        <w:t>Canonical price discovery list does not include price; price is read from the exact Offering Product consumer.</w:t>
      </w:r>
    </w:p>
    <w:p>
      <w:pPr>
        <w:pStyle w:val="ListBullet"/>
      </w:pPr>
      <w:r>
        <w:t>Price refresh V1 defaults to 24-hour eligibility, not real-time price monitoring.</w:t>
      </w:r>
    </w:p>
    <w:p>
      <w:pPr>
        <w:pStyle w:val="ListBullet"/>
      </w:pPr>
      <w:r>
        <w:t>A transient acquisition/parsing failure leaves canonical price unchanged rather than marking it stale immediately.</w:t>
      </w:r>
    </w:p>
    <w:p>
      <w:pPr>
        <w:pStyle w:val="ListBullet"/>
      </w:pPr>
      <w:r>
        <w:t>Raw website commercial Evidence is not exposed to frontend as a price-divergence panel in V1.</w:t>
      </w:r>
    </w:p>
    <w:p>
      <w:pPr>
        <w:pStyle w:val="ListBullet"/>
      </w:pPr>
      <w:r>
        <w:t>Product talking points are guidance, not final Campaign brief/caption copy.</w:t>
      </w:r>
    </w:p>
    <w:p>
      <w:pPr>
        <w:pStyle w:val="ListBullet"/>
      </w:pPr>
      <w:r>
        <w:t>Communication constraints are not externally verified legal/compliance guarantees.</w:t>
      </w:r>
    </w:p>
    <w:p>
      <w:pPr>
        <w:pStyle w:val="ListBullet"/>
      </w:pPr>
      <w:r>
        <w:t>Meta/Instagram and Similarweb are not mandatory dependencies for Product Intelligence V1.</w:t>
      </w:r>
    </w:p>
    <w:p>
      <w:pPr>
        <w:pStyle w:val="Heading1"/>
        <w:keepNext/>
        <w:spacing w:before="160" w:after="80"/>
      </w:pPr>
      <w:r>
        <w:t>16. Reference implementation paths and accepted commits</w:t>
      </w:r>
    </w:p>
    <w:p>
      <w:pPr>
        <w:spacing w:after="60" w:line="247" w:lineRule="auto"/>
      </w:pPr>
      <w:r>
        <w:t>Frontend accepted commits:</w:t>
      </w:r>
    </w:p>
    <w:p>
      <w:pPr>
        <w:pStyle w:val="ListBullet"/>
      </w:pPr>
      <w:r>
        <w:t>f377dc7955047af9db31f7ddd3c9bfcc6320c344 — feat(brand-centre): add Product Intelligence Offering experience</w:t>
      </w:r>
    </w:p>
    <w:p>
      <w:pPr>
        <w:pStyle w:val="ListBullet"/>
      </w:pPr>
      <w:r>
        <w:t>6bc9659ec87d9b960caaf3c6314e0f4da7b2596f — fix(brand-centre): tighten Product Offering state identity</w:t>
      </w:r>
    </w:p>
    <w:p>
      <w:pPr>
        <w:spacing w:after="60" w:line="247" w:lineRule="auto"/>
      </w:pPr>
      <w:r>
        <w:t>Backend accepted milestones represented in current development include:</w:t>
      </w:r>
    </w:p>
    <w:p>
      <w:pPr>
        <w:pStyle w:val="ListBullet"/>
      </w:pPr>
      <w:r>
        <w:t>Canonical Offering foundation and generic Intelligence subject scope (migrations 50 and 51).</w:t>
      </w:r>
    </w:p>
    <w:p>
      <w:pPr>
        <w:pStyle w:val="ListBullet"/>
      </w:pPr>
      <w:r>
        <w:t>Three Product Intelligence processors and consumer runtime.</w:t>
      </w:r>
    </w:p>
    <w:p>
      <w:pPr>
        <w:pStyle w:val="ListBullet"/>
      </w:pPr>
      <w:r>
        <w:t>Offering commercial Evidence capability (migration 52).</w:t>
      </w:r>
    </w:p>
    <w:p>
      <w:pPr>
        <w:pStyle w:val="ListBullet"/>
      </w:pPr>
      <w:r>
        <w:t>Controlled canonical Offering price refresh + manual Brand price protection.</w:t>
      </w:r>
    </w:p>
    <w:p>
      <w:pPr>
        <w:pStyle w:val="ListBullet"/>
      </w:pPr>
      <w:r>
        <w:t>Canonical Offering discovery endpoint integrated at 17214722dc20abf23c8dce935a58050a017f6639.</w:t>
      </w:r>
    </w:p>
    <w:p>
      <w:pPr>
        <w:keepNext/>
        <w:spacing w:after="60" w:line="247" w:lineRule="auto"/>
      </w:pPr>
      <w:r>
        <w:t>Handoff status: PRODUCT INTELLIGENCE V1 — END-TO-END ACCEPTED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The Creator Shop  •  Product Intelligence V1 Developer Handoff  •  29 Aug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Creator Shop — Product Intelligence V1 Developer Handoff</dc:title>
  <dc:subject>Accepted frontend + backend deployment handoff</dc:subject>
  <dc:creator>The Creator Shop</dc:creator>
  <cp:keywords>Product Intelligence, Offering, Brand Centre, developer handoff, deployment</cp:keywords>
  <dc:description>generated by python-docx</dc:description>
  <cp:lastModifiedBy/>
  <cp:revision>1</cp:revision>
  <dcterms:created xsi:type="dcterms:W3CDTF">2013-12-23T23:15:00Z</dcterms:created>
  <dcterms:modified xsi:type="dcterms:W3CDTF">2013-12-23T23:15:00Z</dcterms:modified>
  <cp:category/>
</cp:coreProperties>
</file>