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4B4B4B"/>
          <w:sz w:val="20"/>
        </w:rPr>
        <w:t>THE CREATOR SHOP</w:t>
      </w:r>
    </w:p>
    <w:p>
      <w:pPr>
        <w:pStyle w:val="Title"/>
        <w:jc w:val="center"/>
      </w:pPr>
      <w:r>
        <w:t>Brand Centre – Developer Handoff</w:t>
      </w:r>
    </w:p>
    <w:p>
      <w:pPr>
        <w:jc w:val="center"/>
      </w:pPr>
      <w:r>
        <w:rPr>
          <w:i/>
          <w:sz w:val="21"/>
        </w:rPr>
        <w:t>End-to-end accepted frontend + backend runtime milestone</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rFonts w:ascii="Aptos" w:hAnsi="Aptos"/>
                <w:b/>
                <w:sz w:val="17"/>
              </w:rPr>
              <w:t>Delivery status</w:t>
            </w:r>
          </w:p>
        </w:tc>
        <w:tc>
          <w:tcPr>
            <w:tcW w:type="dxa" w:w="5040"/>
            <w:vAlign w:val="center"/>
            <w:shd w:fill="E2F0D9"/>
          </w:tcPr>
          <w:p>
            <w:r/>
            <w:r>
              <w:rPr>
                <w:rFonts w:ascii="Aptos" w:hAnsi="Aptos"/>
                <w:b w:val="0"/>
                <w:sz w:val="17"/>
              </w:rPr>
              <w:t>ACCEPTED / READY FOR DEVELOPER INTEGRATION &amp; DEPLOYMENT</w:t>
            </w:r>
          </w:p>
        </w:tc>
      </w:tr>
      <w:tr>
        <w:tc>
          <w:tcPr>
            <w:tcW w:type="dxa" w:w="5040"/>
            <w:vAlign w:val="center"/>
            <w:shd w:fill="EDEDED"/>
          </w:tcPr>
          <w:p>
            <w:r/>
            <w:r>
              <w:rPr>
                <w:rFonts w:ascii="Aptos" w:hAnsi="Aptos"/>
                <w:b/>
                <w:sz w:val="17"/>
              </w:rPr>
              <w:t>Frontend canonical</w:t>
            </w:r>
          </w:p>
        </w:tc>
        <w:tc>
          <w:tcPr>
            <w:tcW w:type="dxa" w:w="5040"/>
            <w:vAlign w:val="center"/>
          </w:tcPr>
          <w:p>
            <w:r/>
            <w:r>
              <w:rPr>
                <w:rFonts w:ascii="Aptos" w:hAnsi="Aptos"/>
                <w:b w:val="0"/>
                <w:sz w:val="17"/>
              </w:rPr>
              <w:t>development @ d89810cfcb70c780054357c6571e51f1f13e258c</w:t>
            </w:r>
          </w:p>
        </w:tc>
      </w:tr>
      <w:tr>
        <w:tc>
          <w:tcPr>
            <w:tcW w:type="dxa" w:w="5040"/>
            <w:vAlign w:val="center"/>
            <w:shd w:fill="EDEDED"/>
          </w:tcPr>
          <w:p>
            <w:r/>
            <w:r>
              <w:rPr>
                <w:rFonts w:ascii="Aptos" w:hAnsi="Aptos"/>
                <w:b/>
                <w:sz w:val="17"/>
              </w:rPr>
              <w:t>Backend canonical</w:t>
            </w:r>
          </w:p>
        </w:tc>
        <w:tc>
          <w:tcPr>
            <w:tcW w:type="dxa" w:w="5040"/>
            <w:vAlign w:val="center"/>
          </w:tcPr>
          <w:p>
            <w:r/>
            <w:r>
              <w:rPr>
                <w:rFonts w:ascii="Aptos" w:hAnsi="Aptos"/>
                <w:b w:val="0"/>
                <w:sz w:val="17"/>
              </w:rPr>
              <w:t>development @ e066265d720b8f76516acb5063b9843faac5a85e</w:t>
            </w:r>
          </w:p>
        </w:tc>
      </w:tr>
      <w:tr>
        <w:tc>
          <w:tcPr>
            <w:tcW w:type="dxa" w:w="5040"/>
            <w:vAlign w:val="center"/>
            <w:shd w:fill="EDEDED"/>
          </w:tcPr>
          <w:p>
            <w:r/>
            <w:r>
              <w:rPr>
                <w:rFonts w:ascii="Aptos" w:hAnsi="Aptos"/>
                <w:b/>
                <w:sz w:val="17"/>
              </w:rPr>
              <w:t>Architecture authority</w:t>
            </w:r>
          </w:p>
        </w:tc>
        <w:tc>
          <w:tcPr>
            <w:tcW w:type="dxa" w:w="5040"/>
            <w:vAlign w:val="center"/>
          </w:tcPr>
          <w:p>
            <w:r/>
            <w:r>
              <w:rPr>
                <w:rFonts w:ascii="Aptos" w:hAnsi="Aptos"/>
                <w:b w:val="0"/>
                <w:sz w:val="17"/>
              </w:rPr>
              <w:t>dummy_tcs main @ a6bed1f28564c002f7d76931de0b4dd960ea5ae1</w:t>
            </w:r>
          </w:p>
        </w:tc>
      </w:tr>
    </w:tbl>
    <w:p/>
    <w:p>
      <w:pPr>
        <w:pStyle w:val="Heading1"/>
      </w:pPr>
      <w:r>
        <w:t>1. Purpose of this handoff</w:t>
      </w:r>
    </w:p>
    <w:p>
      <w:r>
        <w:t>This document is the developer-facing handoff for the accepted Brand Centre / Brand Intelligence V1 delivery slice. It identifies the exact repository states to deploy, the runtime contract now supported end-to-end, known accepted MVP limitations, the intended product journey versus the temporary journey currently wired, and the environment/secrets work required for Data Extraction providers.</w:t>
      </w:r>
    </w:p>
    <w:p>
      <w:pPr>
        <w:pStyle w:val="Heading1"/>
      </w:pPr>
      <w:r>
        <w:t>2. Canonical repositories and source of truth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ptos" w:hAnsi="Aptos"/>
                <w:b/>
                <w:sz w:val="17"/>
              </w:rPr>
              <w:t>Area</w:t>
            </w:r>
          </w:p>
        </w:tc>
        <w:tc>
          <w:tcPr>
            <w:tcW w:type="dxa" w:w="2520"/>
            <w:vAlign w:val="center"/>
            <w:shd w:fill="D9EAF7"/>
          </w:tcPr>
          <w:p>
            <w:r/>
            <w:r>
              <w:rPr>
                <w:rFonts w:ascii="Aptos" w:hAnsi="Aptos"/>
                <w:b/>
                <w:sz w:val="17"/>
              </w:rPr>
              <w:t>Repository</w:t>
            </w:r>
          </w:p>
        </w:tc>
        <w:tc>
          <w:tcPr>
            <w:tcW w:type="dxa" w:w="2520"/>
            <w:vAlign w:val="center"/>
            <w:shd w:fill="D9EAF7"/>
          </w:tcPr>
          <w:p>
            <w:r/>
            <w:r>
              <w:rPr>
                <w:rFonts w:ascii="Aptos" w:hAnsi="Aptos"/>
                <w:b/>
                <w:sz w:val="17"/>
              </w:rPr>
              <w:t>Branch</w:t>
            </w:r>
          </w:p>
        </w:tc>
        <w:tc>
          <w:tcPr>
            <w:tcW w:type="dxa" w:w="2520"/>
            <w:vAlign w:val="center"/>
            <w:shd w:fill="D9EAF7"/>
          </w:tcPr>
          <w:p>
            <w:r/>
            <w:r>
              <w:rPr>
                <w:rFonts w:ascii="Aptos" w:hAnsi="Aptos"/>
                <w:b/>
                <w:sz w:val="17"/>
              </w:rPr>
              <w:t>Canonical SHA</w:t>
            </w:r>
          </w:p>
        </w:tc>
      </w:tr>
      <w:tr>
        <w:tc>
          <w:tcPr>
            <w:tcW w:type="dxa" w:w="2520"/>
            <w:vAlign w:val="center"/>
          </w:tcPr>
          <w:p>
            <w:r/>
            <w:r>
              <w:rPr>
                <w:rFonts w:ascii="Aptos" w:hAnsi="Aptos"/>
                <w:b w:val="0"/>
                <w:sz w:val="17"/>
              </w:rPr>
              <w:t>Frontend</w:t>
            </w:r>
          </w:p>
        </w:tc>
        <w:tc>
          <w:tcPr>
            <w:tcW w:type="dxa" w:w="2520"/>
            <w:vAlign w:val="center"/>
          </w:tcPr>
          <w:p>
            <w:r/>
            <w:r>
              <w:rPr>
                <w:rFonts w:ascii="Aptos" w:hAnsi="Aptos"/>
                <w:b w:val="0"/>
                <w:sz w:val="17"/>
              </w:rPr>
              <w:t>Piyush1087/creator-commerce-frontend-v2-clone</w:t>
            </w:r>
          </w:p>
        </w:tc>
        <w:tc>
          <w:tcPr>
            <w:tcW w:type="dxa" w:w="2520"/>
            <w:vAlign w:val="center"/>
          </w:tcPr>
          <w:p>
            <w:r/>
            <w:r>
              <w:rPr>
                <w:rFonts w:ascii="Aptos" w:hAnsi="Aptos"/>
                <w:b w:val="0"/>
                <w:sz w:val="17"/>
              </w:rPr>
              <w:t>development</w:t>
            </w:r>
          </w:p>
        </w:tc>
        <w:tc>
          <w:tcPr>
            <w:tcW w:type="dxa" w:w="2520"/>
            <w:vAlign w:val="center"/>
          </w:tcPr>
          <w:p>
            <w:r/>
            <w:r>
              <w:rPr>
                <w:rFonts w:ascii="Aptos" w:hAnsi="Aptos"/>
                <w:b w:val="0"/>
                <w:sz w:val="17"/>
              </w:rPr>
              <w:t>d89810cfcb70c780054357c6571e51f1f13e258c</w:t>
            </w:r>
          </w:p>
        </w:tc>
      </w:tr>
      <w:tr>
        <w:tc>
          <w:tcPr>
            <w:tcW w:type="dxa" w:w="2520"/>
            <w:vAlign w:val="center"/>
          </w:tcPr>
          <w:p>
            <w:r/>
            <w:r>
              <w:rPr>
                <w:rFonts w:ascii="Aptos" w:hAnsi="Aptos"/>
                <w:b w:val="0"/>
                <w:sz w:val="17"/>
              </w:rPr>
              <w:t>Backend</w:t>
            </w:r>
          </w:p>
        </w:tc>
        <w:tc>
          <w:tcPr>
            <w:tcW w:type="dxa" w:w="2520"/>
            <w:vAlign w:val="center"/>
          </w:tcPr>
          <w:p>
            <w:r/>
            <w:r>
              <w:rPr>
                <w:rFonts w:ascii="Aptos" w:hAnsi="Aptos"/>
                <w:b w:val="0"/>
                <w:sz w:val="17"/>
              </w:rPr>
              <w:t>Piyush1087/creator-commerce-backend-v2-clone</w:t>
            </w:r>
          </w:p>
        </w:tc>
        <w:tc>
          <w:tcPr>
            <w:tcW w:type="dxa" w:w="2520"/>
            <w:vAlign w:val="center"/>
          </w:tcPr>
          <w:p>
            <w:r/>
            <w:r>
              <w:rPr>
                <w:rFonts w:ascii="Aptos" w:hAnsi="Aptos"/>
                <w:b w:val="0"/>
                <w:sz w:val="17"/>
              </w:rPr>
              <w:t>development</w:t>
            </w:r>
          </w:p>
        </w:tc>
        <w:tc>
          <w:tcPr>
            <w:tcW w:type="dxa" w:w="2520"/>
            <w:vAlign w:val="center"/>
          </w:tcPr>
          <w:p>
            <w:r/>
            <w:r>
              <w:rPr>
                <w:rFonts w:ascii="Aptos" w:hAnsi="Aptos"/>
                <w:b w:val="0"/>
                <w:sz w:val="17"/>
              </w:rPr>
              <w:t>e066265d720b8f76516acb5063b9843faac5a85e</w:t>
            </w:r>
          </w:p>
        </w:tc>
      </w:tr>
      <w:tr>
        <w:tc>
          <w:tcPr>
            <w:tcW w:type="dxa" w:w="2520"/>
            <w:vAlign w:val="center"/>
          </w:tcPr>
          <w:p>
            <w:r/>
            <w:r>
              <w:rPr>
                <w:rFonts w:ascii="Aptos" w:hAnsi="Aptos"/>
                <w:b w:val="0"/>
                <w:sz w:val="17"/>
              </w:rPr>
              <w:t>Architecture / Product authority</w:t>
            </w:r>
          </w:p>
        </w:tc>
        <w:tc>
          <w:tcPr>
            <w:tcW w:type="dxa" w:w="2520"/>
            <w:vAlign w:val="center"/>
          </w:tcPr>
          <w:p>
            <w:r/>
            <w:r>
              <w:rPr>
                <w:rFonts w:ascii="Aptos" w:hAnsi="Aptos"/>
                <w:b w:val="0"/>
                <w:sz w:val="17"/>
              </w:rPr>
              <w:t>Piyush1087/dummy_tcs</w:t>
            </w:r>
          </w:p>
        </w:tc>
        <w:tc>
          <w:tcPr>
            <w:tcW w:type="dxa" w:w="2520"/>
            <w:vAlign w:val="center"/>
          </w:tcPr>
          <w:p>
            <w:r/>
            <w:r>
              <w:rPr>
                <w:rFonts w:ascii="Aptos" w:hAnsi="Aptos"/>
                <w:b w:val="0"/>
                <w:sz w:val="17"/>
              </w:rPr>
              <w:t>main</w:t>
            </w:r>
          </w:p>
        </w:tc>
        <w:tc>
          <w:tcPr>
            <w:tcW w:type="dxa" w:w="2520"/>
            <w:vAlign w:val="center"/>
          </w:tcPr>
          <w:p>
            <w:r/>
            <w:r>
              <w:rPr>
                <w:rFonts w:ascii="Aptos" w:hAnsi="Aptos"/>
                <w:b w:val="0"/>
                <w:sz w:val="17"/>
              </w:rPr>
              <w:t>a6bed1f28564c002f7d76931de0b4dd960ea5ae1</w:t>
            </w:r>
          </w:p>
        </w:tc>
      </w:tr>
    </w:tbl>
    <w:p>
      <w:r>
        <w:t>Repository links:</w:t>
      </w:r>
    </w:p>
    <w:p>
      <w:pPr>
        <w:spacing w:after="20"/>
      </w:pPr>
      <w:r>
        <w:rPr>
          <w:b/>
        </w:rPr>
        <w:t xml:space="preserve">Frontend: </w:t>
      </w:r>
      <w:r>
        <w:t>https://github.com/Piyush1087/creator-commerce-frontend-v2-clone</w:t>
      </w:r>
    </w:p>
    <w:p>
      <w:pPr>
        <w:spacing w:after="20"/>
      </w:pPr>
      <w:r>
        <w:rPr>
          <w:b/>
        </w:rPr>
        <w:t xml:space="preserve">Backend: </w:t>
      </w:r>
      <w:r>
        <w:t>https://github.com/Piyush1087/creator-commerce-backend-v2-clone</w:t>
      </w:r>
    </w:p>
    <w:p>
      <w:pPr>
        <w:spacing w:after="20"/>
      </w:pPr>
      <w:r>
        <w:rPr>
          <w:b/>
        </w:rPr>
        <w:t xml:space="preserve">Architecture authority: </w:t>
      </w:r>
      <w:r>
        <w:t>https://github.com/Piyush1087/dummy_tcs</w:t>
      </w:r>
    </w:p>
    <w:p>
      <w:pPr>
        <w:pStyle w:val="Heading1"/>
      </w:pPr>
      <w:r>
        <w:t>3. Delivery outcome</w:t>
      </w:r>
    </w:p>
    <w:p>
      <w:pPr>
        <w:pStyle w:val="ListBullet"/>
        <w:spacing w:after="40"/>
      </w:pPr>
      <w:r>
        <w:t>Brand Centre frontend reconciliation is integrated into frontend development.</w:t>
      </w:r>
    </w:p>
    <w:p>
      <w:pPr>
        <w:pStyle w:val="ListBullet"/>
        <w:spacing w:after="40"/>
      </w:pPr>
      <w:r>
        <w:t>Brand Intelligence V1 backend is integrated into backend development.</w:t>
      </w:r>
    </w:p>
    <w:p>
      <w:pPr>
        <w:pStyle w:val="ListBullet"/>
        <w:spacing w:after="40"/>
      </w:pPr>
      <w:r>
        <w:t>All seven real Brand Intelligence processors are bundled, registered and execution-enabled.</w:t>
      </w:r>
    </w:p>
    <w:p>
      <w:pPr>
        <w:pStyle w:val="ListBullet"/>
        <w:spacing w:after="40"/>
      </w:pPr>
      <w:r>
        <w:t>The canonical Brand Centre consumer exposes ten Intelligence Objects plus processor-scoped runtime state.</w:t>
      </w:r>
    </w:p>
    <w:p>
      <w:pPr>
        <w:pStyle w:val="ListBullet"/>
        <w:spacing w:after="40"/>
      </w:pPr>
      <w:r>
        <w:t>Final joint runtime acceptance passed on desktop and mobile 390 with no console errors and no unexpected HTTP errors.</w:t>
      </w:r>
    </w:p>
    <w:p>
      <w:pPr>
        <w:pStyle w:val="ListBullet"/>
        <w:spacing w:after="40"/>
      </w:pPr>
      <w:r>
        <w:t>Frontend full suite: 334 tests passed at the accepted runtime milestone; focused Brand Centre runtime suite: 113 passed.</w:t>
      </w:r>
    </w:p>
    <w:p>
      <w:pPr>
        <w:pStyle w:val="ListBullet"/>
        <w:spacing w:after="40"/>
      </w:pPr>
      <w:r>
        <w:t>Backend full suite at final Brand Intelligence acceptance: 844 passed, 0 failed; 49 migrations retained.</w:t>
      </w:r>
    </w:p>
    <w:p>
      <w:pPr>
        <w:pStyle w:val="Heading1"/>
      </w:pPr>
      <w:r>
        <w:t>4. Product journey: stable target vs current provisional wiring</w:t>
      </w:r>
    </w:p>
    <w:p>
      <w:r>
        <w:t>The developer must distinguish the intended stable product journey from the temporary path used to complete and validate this delivery slice.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7"/>
              </w:rPr>
              <w:t>Flow</w:t>
            </w:r>
          </w:p>
        </w:tc>
        <w:tc>
          <w:tcPr>
            <w:tcW w:type="dxa" w:w="3360"/>
            <w:vAlign w:val="center"/>
            <w:shd w:fill="D9EAF7"/>
          </w:tcPr>
          <w:p>
            <w:r/>
            <w:r>
              <w:rPr>
                <w:rFonts w:ascii="Aptos" w:hAnsi="Aptos"/>
                <w:b/>
                <w:sz w:val="17"/>
              </w:rPr>
              <w:t>Sequence</w:t>
            </w:r>
          </w:p>
        </w:tc>
        <w:tc>
          <w:tcPr>
            <w:tcW w:type="dxa" w:w="3360"/>
            <w:vAlign w:val="center"/>
            <w:shd w:fill="D9EAF7"/>
          </w:tcPr>
          <w:p>
            <w:r/>
            <w:r>
              <w:rPr>
                <w:rFonts w:ascii="Aptos" w:hAnsi="Aptos"/>
                <w:b/>
                <w:sz w:val="17"/>
              </w:rPr>
              <w:t>Developer interpretation</w:t>
            </w:r>
          </w:p>
        </w:tc>
      </w:tr>
      <w:tr>
        <w:tc>
          <w:tcPr>
            <w:tcW w:type="dxa" w:w="3360"/>
            <w:vAlign w:val="center"/>
            <w:shd w:fill="E2F0D9"/>
          </w:tcPr>
          <w:p>
            <w:r/>
            <w:r>
              <w:rPr>
                <w:rFonts w:ascii="Aptos" w:hAnsi="Aptos"/>
                <w:b w:val="0"/>
                <w:sz w:val="17"/>
              </w:rPr>
              <w:t>Stable intended journey</w:t>
            </w:r>
          </w:p>
        </w:tc>
        <w:tc>
          <w:tcPr>
            <w:tcW w:type="dxa" w:w="3360"/>
            <w:vAlign w:val="center"/>
          </w:tcPr>
          <w:p>
            <w:r/>
            <w:r>
              <w:rPr>
                <w:rFonts w:ascii="Aptos" w:hAnsi="Aptos"/>
                <w:b w:val="0"/>
                <w:sz w:val="17"/>
              </w:rPr>
              <w:t>Preview screen → Verify domain → Connect Meta → Home → Brand Centre</w:t>
            </w:r>
          </w:p>
        </w:tc>
        <w:tc>
          <w:tcPr>
            <w:tcW w:type="dxa" w:w="3360"/>
            <w:vAlign w:val="center"/>
          </w:tcPr>
          <w:p>
            <w:r/>
            <w:r>
              <w:rPr>
                <w:rFonts w:ascii="Aptos" w:hAnsi="Aptos"/>
                <w:b w:val="0"/>
                <w:sz w:val="17"/>
              </w:rPr>
              <w:t>This is the target product flow. Domain verification, Meta connection and Home sit between Preview and Brand Centre before the mature journey is considered complete.</w:t>
            </w:r>
          </w:p>
        </w:tc>
      </w:tr>
      <w:tr>
        <w:tc>
          <w:tcPr>
            <w:tcW w:type="dxa" w:w="3360"/>
            <w:vAlign w:val="center"/>
            <w:shd w:fill="FFF2CC"/>
          </w:tcPr>
          <w:p>
            <w:r/>
            <w:r>
              <w:rPr>
                <w:rFonts w:ascii="Aptos" w:hAnsi="Aptos"/>
                <w:b w:val="0"/>
                <w:sz w:val="17"/>
              </w:rPr>
              <w:t>Current provision implemented for this slice</w:t>
            </w:r>
          </w:p>
        </w:tc>
        <w:tc>
          <w:tcPr>
            <w:tcW w:type="dxa" w:w="3360"/>
            <w:vAlign w:val="center"/>
          </w:tcPr>
          <w:p>
            <w:r/>
            <w:r>
              <w:rPr>
                <w:rFonts w:ascii="Aptos" w:hAnsi="Aptos"/>
                <w:b w:val="0"/>
                <w:sz w:val="17"/>
              </w:rPr>
              <w:t>Preview screen → Brand Centre</w:t>
            </w:r>
          </w:p>
        </w:tc>
        <w:tc>
          <w:tcPr>
            <w:tcW w:type="dxa" w:w="3360"/>
            <w:vAlign w:val="center"/>
          </w:tcPr>
          <w:p>
            <w:r/>
            <w:r>
              <w:rPr>
                <w:rFonts w:ascii="Aptos" w:hAnsi="Aptos"/>
                <w:b w:val="0"/>
                <w:sz w:val="17"/>
              </w:rPr>
              <w:t>This shortcut exists so Brand Centre and Brand Intelligence could be built and runtime-validated independently. Do not treat this shortcut as the final onboarding/navigation contract.</w:t>
            </w:r>
          </w:p>
        </w:tc>
      </w:tr>
    </w:tbl>
    <w:p/>
    <w:p>
      <w:r>
        <w:rPr>
          <w:b/>
        </w:rPr>
        <w:t xml:space="preserve">Deployment implication: </w:t>
      </w:r>
      <w:r>
        <w:t>do not remove the current Preview → Brand Centre route solely for this handoff, but plan the later routing convergence so the accepted Brand Centre remains the destination after domain verification, Meta connection and Home are reinstated in the stable journey.</w:t>
      </w:r>
    </w:p>
    <w:p>
      <w:pPr>
        <w:pStyle w:val="Heading1"/>
      </w:pPr>
      <w:r>
        <w:t>5. Brand Intelligence runtime now available</w:t>
      </w:r>
    </w:p>
    <w:p>
      <w:r>
        <w:t>Exactly seven processors are active:</w:t>
      </w:r>
    </w:p>
    <w:p>
      <w:pPr>
        <w:pStyle w:val="ListBullet"/>
        <w:spacing w:after="40"/>
      </w:pPr>
      <w:r>
        <w:t>brand_communication</w:t>
      </w:r>
    </w:p>
    <w:p>
      <w:pPr>
        <w:pStyle w:val="ListBullet"/>
        <w:spacing w:after="40"/>
      </w:pPr>
      <w:r>
        <w:t>brand_meaning</w:t>
      </w:r>
    </w:p>
    <w:p>
      <w:pPr>
        <w:pStyle w:val="ListBullet"/>
        <w:spacing w:after="40"/>
      </w:pPr>
      <w:r>
        <w:t>brand_character</w:t>
      </w:r>
    </w:p>
    <w:p>
      <w:pPr>
        <w:pStyle w:val="ListBullet"/>
        <w:spacing w:after="40"/>
      </w:pPr>
      <w:r>
        <w:t>audience_persona_synthesis</w:t>
      </w:r>
    </w:p>
    <w:p>
      <w:pPr>
        <w:pStyle w:val="ListBullet"/>
        <w:spacing w:after="40"/>
      </w:pPr>
      <w:r>
        <w:t>brand_differentiation</w:t>
      </w:r>
    </w:p>
    <w:p>
      <w:pPr>
        <w:pStyle w:val="ListBullet"/>
        <w:spacing w:after="40"/>
      </w:pPr>
      <w:r>
        <w:t>visual_style_synthesis</w:t>
      </w:r>
    </w:p>
    <w:p>
      <w:pPr>
        <w:pStyle w:val="ListBullet"/>
        <w:spacing w:after="40"/>
      </w:pPr>
      <w:r>
        <w:t>serviceability_synthesis</w:t>
      </w:r>
    </w:p>
    <w:p>
      <w:r>
        <w:t>They own ten Intelligence Objects:</w:t>
      </w:r>
    </w:p>
    <w:p>
      <w:pPr>
        <w:pStyle w:val="CodeBlock"/>
        <w:spacing w:before="40" w:after="80"/>
        <w:ind w:left="288" w:right="144"/>
      </w:pPr>
      <w:r>
        <w:rPr>
          <w:rFonts w:ascii="Consolas" w:hAnsi="Consolas"/>
          <w:sz w:val="17"/>
        </w:rPr>
        <w:t>brand_communication        → communication_profile</w:t>
        <w:br/>
        <w:t>brand_meaning              → brand_description</w:t>
        <w:br/>
        <w:t xml:space="preserve">                           → positioning</w:t>
        <w:br/>
        <w:t xml:space="preserve">                           → value_proposition</w:t>
        <w:br/>
        <w:t>brand_character            → brand_values</w:t>
        <w:br/>
        <w:t xml:space="preserve">                           → brand_personality</w:t>
        <w:br/>
        <w:t>audience_persona_synthesis → audience_personas</w:t>
        <w:br/>
        <w:t>brand_differentiation      → differentiation_and_proof</w:t>
        <w:br/>
        <w:t>visual_style_synthesis     → visual_style_profile</w:t>
        <w:br/>
        <w:t>serviceability_synthesis   → serviceability_profile</w:t>
      </w:r>
    </w:p>
    <w:p>
      <w:pPr>
        <w:pStyle w:val="Heading1"/>
      </w:pPr>
      <w:r>
        <w:t>6. Canonical Brand Centre API contract</w:t>
      </w:r>
    </w:p>
    <w:p>
      <w:pPr>
        <w:pStyle w:val="CodeBlock"/>
        <w:spacing w:before="40" w:after="80"/>
        <w:ind w:left="288" w:right="144"/>
      </w:pPr>
      <w:r>
        <w:rPr>
          <w:rFonts w:ascii="Consolas" w:hAnsi="Consolas"/>
          <w:sz w:val="17"/>
        </w:rPr>
        <w:t>GET /api/v1/brand-centre/brand</w:t>
      </w:r>
    </w:p>
    <w:p>
      <w:pPr>
        <w:pStyle w:val="ListBullet"/>
        <w:spacing w:after="40"/>
      </w:pPr>
      <w:r>
        <w:t>Brand resolution is derived from the authenticated organization/Brand relationship; frontend should not redirect reads with an arbitrary Brand selector.</w:t>
      </w:r>
    </w:p>
    <w:p>
      <w:pPr>
        <w:pStyle w:val="ListBullet"/>
        <w:spacing w:after="40"/>
      </w:pPr>
      <w:r>
        <w:t>processorRuntime is the canonical detailed processor activity source.</w:t>
      </w:r>
    </w:p>
    <w:p>
      <w:pPr>
        <w:pStyle w:val="ListBullet"/>
        <w:spacing w:after="40"/>
      </w:pPr>
      <w:r>
        <w:t>runtimeActivity remains an aggregate compatibility field only.</w:t>
      </w:r>
    </w:p>
    <w:p>
      <w:pPr>
        <w:pStyle w:val="ListBullet"/>
        <w:spacing w:after="40"/>
      </w:pPr>
      <w:r>
        <w:t>Object readiness remains READY / PARTIAL / NOT_READY.</w:t>
      </w:r>
    </w:p>
    <w:p>
      <w:pPr>
        <w:pStyle w:val="ListBullet"/>
        <w:spacing w:after="40"/>
      </w:pPr>
      <w:r>
        <w:t>Object freshness remains CURRENT / STALE / UNKNOWN.</w:t>
      </w:r>
    </w:p>
    <w:p>
      <w:pPr>
        <w:pStyle w:val="ListBullet"/>
        <w:spacing w:after="40"/>
      </w:pPr>
      <w:r>
        <w:t>Processor activity may independently be IDLE, WAITING_FOR_EVIDENCE, WAITING_FOR_DEPENDENCY, READY_TO_RUN, RETRY_SCHEDULED, LEARNING, REFRESHING or TEMPORARILY_UNAVAILABLE.</w:t>
      </w:r>
    </w:p>
    <w:p>
      <w:pPr>
        <w:pStyle w:val="ListBullet"/>
        <w:spacing w:after="40"/>
      </w:pPr>
      <w:r>
        <w:t>Usable prior current data remains visible during refresh and post-current failure.</w:t>
      </w:r>
    </w:p>
    <w:p>
      <w:pPr>
        <w:pStyle w:val="Heading1"/>
      </w:pPr>
      <w:r>
        <w:t>7. Important domain separations the developer must preserve</w:t>
      </w:r>
    </w:p>
    <w:p>
      <w:pPr>
        <w:pStyle w:val="ListBullet"/>
        <w:spacing w:after="40"/>
      </w:pPr>
      <w:r>
        <w:t>visualIdentity.canonical ≠ visualIdentity.style. Derived style must never be promoted to approved logo/palette/typography/reference imagery.</w:t>
      </w:r>
    </w:p>
    <w:p>
      <w:pPr>
        <w:pStyle w:val="ListBullet"/>
        <w:spacing w:after="40"/>
      </w:pPr>
      <w:r>
        <w:t>locations ≠ serviceability.state. A canonical Location does not itself establish serviceability.</w:t>
      </w:r>
    </w:p>
    <w:p>
      <w:pPr>
        <w:pStyle w:val="ListBullet"/>
        <w:spacing w:after="40"/>
      </w:pPr>
      <w:r>
        <w:t>Offering.isActive ≠ geographic/commercial availability.</w:t>
      </w:r>
    </w:p>
    <w:p>
      <w:pPr>
        <w:pStyle w:val="ListBullet"/>
        <w:spacing w:after="40"/>
      </w:pPr>
      <w:r>
        <w:t>Offering.locationIds ≠ authoritative Offering-to-Location availability.</w:t>
      </w:r>
    </w:p>
    <w:p>
      <w:pPr>
        <w:pStyle w:val="ListBullet"/>
        <w:spacing w:after="40"/>
      </w:pPr>
      <w:r>
        <w:t>Preview/legacy scan output must not be used as a fallback for canonical Brand Centre Intelligence.</w:t>
      </w:r>
    </w:p>
    <w:p>
      <w:pPr>
        <w:pStyle w:val="ListBullet"/>
        <w:spacing w:after="40"/>
      </w:pPr>
      <w:r>
        <w:t>Legacy markets_served / market_geography remain present only as noncanonical compatibility context.</w:t>
      </w:r>
    </w:p>
    <w:p>
      <w:pPr>
        <w:pStyle w:val="Heading1"/>
      </w:pPr>
      <w:r>
        <w:t>8. Frontend implementation handoff</w:t>
      </w:r>
    </w:p>
    <w:p>
      <w:r>
        <w:t>Primary Brand Centre code is under:</w:t>
      </w:r>
    </w:p>
    <w:p>
      <w:pPr>
        <w:pStyle w:val="CodeBlock"/>
        <w:spacing w:before="40" w:after="80"/>
        <w:ind w:left="288" w:right="144"/>
      </w:pPr>
      <w:r>
        <w:rPr>
          <w:rFonts w:ascii="Consolas" w:hAnsi="Consolas"/>
          <w:sz w:val="17"/>
        </w:rPr>
        <w:t>src/features/brand-centre/</w:t>
      </w:r>
    </w:p>
    <w:p>
      <w:r>
        <w:t>The accepted reconciliation also touches the app shell/navigation and Brand Centre page entry point. Do not re-run Stitch or redesign the accepted layout.</w:t>
      </w:r>
    </w:p>
    <w:p>
      <w:pPr>
        <w:pStyle w:val="ListBullet"/>
        <w:spacing w:after="40"/>
      </w:pPr>
      <w:r>
        <w:t>API client and strict schemas must remain aligned with GET /api/v1/brand-centre/brand.</w:t>
      </w:r>
    </w:p>
    <w:p>
      <w:pPr>
        <w:pStyle w:val="ListBullet"/>
        <w:spacing w:after="40"/>
      </w:pPr>
      <w:r>
        <w:t>Keep runtime states section-scoped; do not apply a single global refresh/error state to the whole workspace.</w:t>
      </w:r>
    </w:p>
    <w:p>
      <w:pPr>
        <w:pStyle w:val="ListBullet"/>
        <w:spacing w:after="40"/>
      </w:pPr>
      <w:r>
        <w:t>Keep current content visible while a processor is REFRESHING or TEMPORARILY_UNAVAILABLE when prior current exists.</w:t>
      </w:r>
    </w:p>
    <w:p>
      <w:pPr>
        <w:pStyle w:val="ListBullet"/>
        <w:spacing w:after="40"/>
      </w:pPr>
      <w:r>
        <w:t>Maintain desktop and mobile 390 behavior from the accepted runtime milestone.</w:t>
      </w:r>
    </w:p>
    <w:p>
      <w:pPr>
        <w:pStyle w:val="Heading1"/>
      </w:pPr>
      <w:r>
        <w:t>9. Backend implementation handoff</w:t>
      </w:r>
    </w:p>
    <w:p>
      <w:r>
        <w:t>Key backend areas:</w:t>
      </w:r>
    </w:p>
    <w:p>
      <w:pPr>
        <w:pStyle w:val="CodeBlock"/>
        <w:spacing w:before="40" w:after="80"/>
        <w:ind w:left="288" w:right="144"/>
      </w:pPr>
      <w:r>
        <w:rPr>
          <w:rFonts w:ascii="Consolas" w:hAnsi="Consolas"/>
          <w:sz w:val="17"/>
        </w:rPr>
        <w:t>src/features/data-extraction/</w:t>
        <w:br/>
        <w:t>src/features/brand-intelligence/</w:t>
        <w:br/>
        <w:t>src/features/brand-centre/</w:t>
        <w:br/>
        <w:t>src/features/brand-canonical-state/</w:t>
        <w:br/>
        <w:t>prisma/</w:t>
      </w:r>
    </w:p>
    <w:p>
      <w:pPr>
        <w:pStyle w:val="ListBullet"/>
        <w:spacing w:after="40"/>
      </w:pPr>
      <w:r>
        <w:t>Database migration count is 49. There is no migration 50 in this milestone.</w:t>
      </w:r>
    </w:p>
    <w:p>
      <w:pPr>
        <w:pStyle w:val="ListBullet"/>
        <w:spacing w:after="40"/>
      </w:pPr>
      <w:r>
        <w:t>Do not add canonical Offering Availability as part of deployment; its absence is an accepted MVP limitation.</w:t>
      </w:r>
    </w:p>
    <w:p>
      <w:pPr>
        <w:pStyle w:val="ListBullet"/>
        <w:spacing w:after="40"/>
      </w:pPr>
      <w:r>
        <w:t>Do not change processor pins/contracts unless a new architecture phase explicitly authorizes it.</w:t>
      </w:r>
    </w:p>
    <w:p>
      <w:pPr>
        <w:pStyle w:val="Heading1"/>
      </w:pPr>
      <w:r>
        <w:t>10. Authentication and provider credentials</w:t>
      </w:r>
    </w:p>
    <w:p>
      <w:r>
        <w:t>There are two separate auth concerns. They must not be mixed: (A) user/application authentication for Brand Centre, and (B) server-to-server provider credentials used by Data Extraction / Intelligence.</w:t>
      </w:r>
    </w:p>
    <w:p>
      <w:pPr>
        <w:pStyle w:val="Heading2"/>
      </w:pPr>
      <w:r>
        <w:t>10.1 User / application authentication</w:t>
      </w:r>
    </w:p>
    <w:p>
      <w:pPr>
        <w:pStyle w:val="ListBullet"/>
        <w:spacing w:after="40"/>
      </w:pPr>
      <w:r>
        <w:t>Brand Centre continues to use the existing authenticated request/JWT flow.</w:t>
      </w:r>
    </w:p>
    <w:p>
      <w:pPr>
        <w:pStyle w:val="ListBullet"/>
        <w:spacing w:after="40"/>
      </w:pPr>
      <w:r>
        <w:t>The backend resolves the Brand from the authenticated organization context.</w:t>
      </w:r>
    </w:p>
    <w:p>
      <w:pPr>
        <w:pStyle w:val="ListBullet"/>
        <w:spacing w:after="40"/>
      </w:pPr>
      <w:r>
        <w:t>No new frontend auth token is required merely because Data Extraction providers were added.</w:t>
      </w:r>
    </w:p>
    <w:p>
      <w:pPr>
        <w:pStyle w:val="ListBullet"/>
        <w:spacing w:after="40"/>
      </w:pPr>
      <w:r>
        <w:t>Provider API keys must never be sent to the browser or stored in frontend environment variables.</w:t>
      </w:r>
    </w:p>
    <w:p>
      <w:pPr>
        <w:pStyle w:val="Heading2"/>
      </w:pPr>
      <w:r>
        <w:t>10.2 Data Extraction / provider secrets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ptos" w:hAnsi="Aptos"/>
                <w:b/>
                <w:sz w:val="17"/>
              </w:rPr>
              <w:t>Tool/provider</w:t>
            </w:r>
          </w:p>
        </w:tc>
        <w:tc>
          <w:tcPr>
            <w:tcW w:type="dxa" w:w="2520"/>
            <w:vAlign w:val="center"/>
            <w:shd w:fill="D9EAF7"/>
          </w:tcPr>
          <w:p>
            <w:r/>
            <w:r>
              <w:rPr>
                <w:rFonts w:ascii="Aptos" w:hAnsi="Aptos"/>
                <w:b/>
                <w:sz w:val="17"/>
              </w:rPr>
              <w:t>Credential required?</w:t>
            </w:r>
          </w:p>
        </w:tc>
        <w:tc>
          <w:tcPr>
            <w:tcW w:type="dxa" w:w="2520"/>
            <w:vAlign w:val="center"/>
            <w:shd w:fill="D9EAF7"/>
          </w:tcPr>
          <w:p>
            <w:r/>
            <w:r>
              <w:rPr>
                <w:rFonts w:ascii="Aptos" w:hAnsi="Aptos"/>
                <w:b/>
                <w:sz w:val="17"/>
              </w:rPr>
              <w:t>Accepted env/config</w:t>
            </w:r>
          </w:p>
        </w:tc>
        <w:tc>
          <w:tcPr>
            <w:tcW w:type="dxa" w:w="2520"/>
            <w:vAlign w:val="center"/>
            <w:shd w:fill="D9EAF7"/>
          </w:tcPr>
          <w:p>
            <w:r/>
            <w:r>
              <w:rPr>
                <w:rFonts w:ascii="Aptos" w:hAnsi="Aptos"/>
                <w:b/>
                <w:sz w:val="17"/>
              </w:rPr>
              <w:t>Developer action</w:t>
            </w:r>
          </w:p>
        </w:tc>
      </w:tr>
      <w:tr>
        <w:tc>
          <w:tcPr>
            <w:tcW w:type="dxa" w:w="2520"/>
            <w:vAlign w:val="center"/>
          </w:tcPr>
          <w:p>
            <w:r/>
            <w:r>
              <w:rPr>
                <w:rFonts w:ascii="Aptos" w:hAnsi="Aptos"/>
                <w:b w:val="0"/>
                <w:sz w:val="17"/>
              </w:rPr>
              <w:t>Zyte</w:t>
            </w:r>
          </w:p>
        </w:tc>
        <w:tc>
          <w:tcPr>
            <w:tcW w:type="dxa" w:w="2520"/>
            <w:vAlign w:val="center"/>
          </w:tcPr>
          <w:p>
            <w:r/>
            <w:r>
              <w:rPr>
                <w:rFonts w:ascii="Aptos" w:hAnsi="Aptos"/>
                <w:b w:val="0"/>
                <w:sz w:val="17"/>
              </w:rPr>
              <w:t>YES</w:t>
            </w:r>
          </w:p>
        </w:tc>
        <w:tc>
          <w:tcPr>
            <w:tcW w:type="dxa" w:w="2520"/>
            <w:vAlign w:val="center"/>
          </w:tcPr>
          <w:p>
            <w:r/>
            <w:r>
              <w:rPr>
                <w:rFonts w:ascii="Aptos" w:hAnsi="Aptos"/>
                <w:b w:val="0"/>
                <w:sz w:val="17"/>
              </w:rPr>
              <w:t>ZYTE_API_KEY; optional ZYTE_API_URL, ZYTE_REQUEST_TIMEOUT_MS</w:t>
            </w:r>
          </w:p>
        </w:tc>
        <w:tc>
          <w:tcPr>
            <w:tcW w:type="dxa" w:w="2520"/>
            <w:vAlign w:val="center"/>
          </w:tcPr>
          <w:p>
            <w:r/>
            <w:r>
              <w:rPr>
                <w:rFonts w:ascii="Aptos" w:hAnsi="Aptos"/>
                <w:b w:val="0"/>
                <w:sz w:val="17"/>
              </w:rPr>
              <w:t>Provision as backend secret in the deployed environment. Zyte uses Basic auth derived from the API key.</w:t>
            </w:r>
          </w:p>
        </w:tc>
      </w:tr>
      <w:tr>
        <w:tc>
          <w:tcPr>
            <w:tcW w:type="dxa" w:w="2520"/>
            <w:vAlign w:val="center"/>
          </w:tcPr>
          <w:p>
            <w:r/>
            <w:r>
              <w:rPr>
                <w:rFonts w:ascii="Aptos" w:hAnsi="Aptos"/>
                <w:b w:val="0"/>
                <w:sz w:val="17"/>
              </w:rPr>
              <w:t>Cheerio</w:t>
            </w:r>
          </w:p>
        </w:tc>
        <w:tc>
          <w:tcPr>
            <w:tcW w:type="dxa" w:w="2520"/>
            <w:vAlign w:val="center"/>
          </w:tcPr>
          <w:p>
            <w:r/>
            <w:r>
              <w:rPr>
                <w:rFonts w:ascii="Aptos" w:hAnsi="Aptos"/>
                <w:b w:val="0"/>
                <w:sz w:val="17"/>
              </w:rPr>
              <w:t>NO</w:t>
            </w:r>
          </w:p>
        </w:tc>
        <w:tc>
          <w:tcPr>
            <w:tcW w:type="dxa" w:w="2520"/>
            <w:vAlign w:val="center"/>
          </w:tcPr>
          <w:p>
            <w:r/>
            <w:r>
              <w:rPr>
                <w:rFonts w:ascii="Aptos" w:hAnsi="Aptos"/>
                <w:b w:val="0"/>
                <w:sz w:val="17"/>
              </w:rPr>
              <w:t>npm dependency only</w:t>
            </w:r>
          </w:p>
        </w:tc>
        <w:tc>
          <w:tcPr>
            <w:tcW w:type="dxa" w:w="2520"/>
            <w:vAlign w:val="center"/>
          </w:tcPr>
          <w:p>
            <w:r/>
            <w:r>
              <w:rPr>
                <w:rFonts w:ascii="Aptos" w:hAnsi="Aptos"/>
                <w:b w:val="0"/>
                <w:sz w:val="17"/>
              </w:rPr>
              <w:t>No token/key. Ensure package install is present; it is local HTML parsing code.</w:t>
            </w:r>
          </w:p>
        </w:tc>
      </w:tr>
      <w:tr>
        <w:tc>
          <w:tcPr>
            <w:tcW w:type="dxa" w:w="2520"/>
            <w:vAlign w:val="center"/>
          </w:tcPr>
          <w:p>
            <w:r/>
            <w:r>
              <w:rPr>
                <w:rFonts w:ascii="Aptos" w:hAnsi="Aptos"/>
                <w:b w:val="0"/>
                <w:sz w:val="17"/>
              </w:rPr>
              <w:t>Gemini</w:t>
            </w:r>
          </w:p>
        </w:tc>
        <w:tc>
          <w:tcPr>
            <w:tcW w:type="dxa" w:w="2520"/>
            <w:vAlign w:val="center"/>
          </w:tcPr>
          <w:p>
            <w:r/>
            <w:r>
              <w:rPr>
                <w:rFonts w:ascii="Aptos" w:hAnsi="Aptos"/>
                <w:b w:val="0"/>
                <w:sz w:val="17"/>
              </w:rPr>
              <w:t>YES when Gemini path is enabled</w:t>
            </w:r>
          </w:p>
        </w:tc>
        <w:tc>
          <w:tcPr>
            <w:tcW w:type="dxa" w:w="2520"/>
            <w:vAlign w:val="center"/>
          </w:tcPr>
          <w:p>
            <w:r/>
            <w:r>
              <w:rPr>
                <w:rFonts w:ascii="Aptos" w:hAnsi="Aptos"/>
                <w:b w:val="0"/>
                <w:sz w:val="17"/>
              </w:rPr>
              <w:t>GEMINI_API_KEY</w:t>
            </w:r>
          </w:p>
        </w:tc>
        <w:tc>
          <w:tcPr>
            <w:tcW w:type="dxa" w:w="2520"/>
            <w:vAlign w:val="center"/>
          </w:tcPr>
          <w:p>
            <w:r/>
            <w:r>
              <w:rPr>
                <w:rFonts w:ascii="Aptos" w:hAnsi="Aptos"/>
                <w:b w:val="0"/>
                <w:sz w:val="17"/>
              </w:rPr>
              <w:t>Provision server-side secret. Never expose to frontend.</w:t>
            </w:r>
          </w:p>
        </w:tc>
      </w:tr>
      <w:tr>
        <w:tc>
          <w:tcPr>
            <w:tcW w:type="dxa" w:w="2520"/>
            <w:vAlign w:val="center"/>
          </w:tcPr>
          <w:p>
            <w:r/>
            <w:r>
              <w:rPr>
                <w:rFonts w:ascii="Aptos" w:hAnsi="Aptos"/>
                <w:b w:val="0"/>
                <w:sz w:val="17"/>
              </w:rPr>
              <w:t>OpenAI</w:t>
            </w:r>
          </w:p>
        </w:tc>
        <w:tc>
          <w:tcPr>
            <w:tcW w:type="dxa" w:w="2520"/>
            <w:vAlign w:val="center"/>
          </w:tcPr>
          <w:p>
            <w:r/>
            <w:r>
              <w:rPr>
                <w:rFonts w:ascii="Aptos" w:hAnsi="Aptos"/>
                <w:b w:val="0"/>
                <w:sz w:val="17"/>
              </w:rPr>
              <w:t>YES when OpenAI path is enabled</w:t>
            </w:r>
          </w:p>
        </w:tc>
        <w:tc>
          <w:tcPr>
            <w:tcW w:type="dxa" w:w="2520"/>
            <w:vAlign w:val="center"/>
          </w:tcPr>
          <w:p>
            <w:r/>
            <w:r>
              <w:rPr>
                <w:rFonts w:ascii="Aptos" w:hAnsi="Aptos"/>
                <w:b w:val="0"/>
                <w:sz w:val="17"/>
              </w:rPr>
              <w:t>OPENAI_API_KEY; optional OPENAI_REQUEST_TIMEOUT_MS, DATA_EXTRACTION_PROVIDER_MAX_ATTEMPTS</w:t>
            </w:r>
          </w:p>
        </w:tc>
        <w:tc>
          <w:tcPr>
            <w:tcW w:type="dxa" w:w="2520"/>
            <w:vAlign w:val="center"/>
          </w:tcPr>
          <w:p>
            <w:r/>
            <w:r>
              <w:rPr>
                <w:rFonts w:ascii="Aptos" w:hAnsi="Aptos"/>
                <w:b w:val="0"/>
                <w:sz w:val="17"/>
              </w:rPr>
              <w:t>Provision server-side secret only if the deployed provider path uses OpenAI.</w:t>
            </w:r>
          </w:p>
        </w:tc>
      </w:tr>
      <w:tr>
        <w:tc>
          <w:tcPr>
            <w:tcW w:type="dxa" w:w="2520"/>
            <w:vAlign w:val="center"/>
          </w:tcPr>
          <w:p>
            <w:r/>
            <w:r>
              <w:rPr>
                <w:rFonts w:ascii="Aptos" w:hAnsi="Aptos"/>
                <w:b w:val="0"/>
                <w:sz w:val="17"/>
              </w:rPr>
              <w:t>Parallel</w:t>
            </w:r>
          </w:p>
        </w:tc>
        <w:tc>
          <w:tcPr>
            <w:tcW w:type="dxa" w:w="2520"/>
            <w:vAlign w:val="center"/>
          </w:tcPr>
          <w:p>
            <w:r/>
            <w:r>
              <w:rPr>
                <w:rFonts w:ascii="Aptos" w:hAnsi="Aptos"/>
                <w:b w:val="0"/>
                <w:sz w:val="17"/>
              </w:rPr>
              <w:t>YES when Parallel path is enabled</w:t>
            </w:r>
          </w:p>
        </w:tc>
        <w:tc>
          <w:tcPr>
            <w:tcW w:type="dxa" w:w="2520"/>
            <w:vAlign w:val="center"/>
          </w:tcPr>
          <w:p>
            <w:r/>
            <w:r>
              <w:rPr>
                <w:rFonts w:ascii="Aptos" w:hAnsi="Aptos"/>
                <w:b w:val="0"/>
                <w:sz w:val="17"/>
              </w:rPr>
              <w:t>PARALLEL_API_KEY; optional PARALLEL_SEARCH_TIMEOUT_MS, PARALLEL_SEARCH_MAX_CHARS_TOTAL</w:t>
            </w:r>
          </w:p>
        </w:tc>
        <w:tc>
          <w:tcPr>
            <w:tcW w:type="dxa" w:w="2520"/>
            <w:vAlign w:val="center"/>
          </w:tcPr>
          <w:p>
            <w:r/>
            <w:r>
              <w:rPr>
                <w:rFonts w:ascii="Aptos" w:hAnsi="Aptos"/>
                <w:b w:val="0"/>
                <w:sz w:val="17"/>
              </w:rPr>
              <w:t>Provision server-side secret only if that acquisition/research path is enabled.</w:t>
            </w:r>
          </w:p>
        </w:tc>
      </w:tr>
    </w:tbl>
    <w:p/>
    <w:p>
      <w:r>
        <w:rPr>
          <w:b/>
        </w:rPr>
        <w:t xml:space="preserve">AWS deployment recommendation: </w:t>
      </w:r>
      <w:r>
        <w:t>store these values in the existing server-side secret/config mechanism (for example the project’s established AWS secret/environment injection path). Do not commit credentials to Git, Docker images, frontend bundles, or checked-in .env files. Validate each enabled provider with a small non-production smoke request after deployment.</w:t>
      </w:r>
    </w:p>
    <w:p>
      <w:pPr>
        <w:pStyle w:val="Heading2"/>
      </w:pPr>
      <w:r>
        <w:t>10.3 Meta connection</w:t>
      </w:r>
    </w:p>
    <w:p>
      <w:r>
        <w:t>Meta connection belongs to the stable product journey but is not a prerequisite for the current provisional Preview → Brand Centre slice. The final Brand Intelligence MVP does not make Meta/Instagram a mandatory dependency for the seven processors. When the stable flow is restored, Meta OAuth / Graph tokens should remain a separate user-authorized integration concern; do not reuse DE provider API keys for Meta or vice versa.</w:t>
      </w:r>
    </w:p>
    <w:p>
      <w:pPr>
        <w:pStyle w:val="Heading1"/>
      </w:pPr>
      <w:r>
        <w:t>11. Production packaging gate before deployment</w:t>
      </w:r>
    </w:p>
    <w:p>
      <w:r>
        <w:rPr>
          <w:b/>
          <w:color w:val="C00000"/>
        </w:rPr>
        <w:t xml:space="preserve">ACTION REQUIRED / VERIFY BEFORE PROD: </w:t>
      </w:r>
      <w:r>
        <w:t>the accepted joint runtime smoke had to run the backend from source because the compiled dist output did not contain the generated Intelligence contract bundles required by the verified registry.</w:t>
      </w:r>
    </w:p>
    <w:p>
      <w:pPr>
        <w:pStyle w:val="ListBullet"/>
        <w:spacing w:after="40"/>
      </w:pPr>
      <w:r>
        <w:t>Current backend build script runs Nest build plus scripts/copy-prompt-assets.mjs.</w:t>
      </w:r>
    </w:p>
    <w:p>
      <w:pPr>
        <w:pStyle w:val="ListBullet"/>
        <w:spacing w:after="40"/>
      </w:pPr>
      <w:r>
        <w:t>Before deploying with npm run start:prod / node dist/main.js, verify that generated Brand Intelligence contract bundles are copied or otherwise resolvable from the production artifact.</w:t>
      </w:r>
    </w:p>
    <w:p>
      <w:pPr>
        <w:pStyle w:val="ListBullet"/>
        <w:spacing w:after="40"/>
      </w:pPr>
      <w:r>
        <w:t>Run the built-dist registry/bundle verification against the exact deployable artifact, not only against source.</w:t>
      </w:r>
    </w:p>
    <w:p>
      <w:pPr>
        <w:pStyle w:val="ListBullet"/>
        <w:spacing w:after="40"/>
      </w:pPr>
      <w:r>
        <w:t>Do not modify processor contracts to work around packaging; fix packaging/copy paths only if required.</w:t>
      </w:r>
    </w:p>
    <w:p>
      <w:pPr>
        <w:pStyle w:val="Heading1"/>
      </w:pPr>
      <w:r>
        <w:t>12. Developer deployment checklist</w:t>
      </w:r>
    </w:p>
    <w:p>
      <w:pPr>
        <w:pStyle w:val="ListBullet"/>
        <w:spacing w:after="40"/>
      </w:pPr>
      <w:r>
        <w:t>Pull frontend development and verify HEAD = d89810cfcb70c780054357c6571e51f1f13e258c.</w:t>
      </w:r>
    </w:p>
    <w:p>
      <w:pPr>
        <w:pStyle w:val="ListBullet"/>
        <w:spacing w:after="40"/>
      </w:pPr>
      <w:r>
        <w:t>Pull backend development and verify HEAD = e066265d720b8f76516acb5063b9843faac5a85e.</w:t>
      </w:r>
    </w:p>
    <w:p>
      <w:pPr>
        <w:pStyle w:val="ListBullet"/>
        <w:spacing w:after="40"/>
      </w:pPr>
      <w:r>
        <w:t>Use dummy_tcs main @ a6bed1f28564c002f7d76931de0b4dd960ea5ae1 as architecture/product authority if behavior is unclear.</w:t>
      </w:r>
    </w:p>
    <w:p>
      <w:pPr>
        <w:pStyle w:val="ListBullet"/>
        <w:spacing w:after="40"/>
      </w:pPr>
      <w:r>
        <w:t>Install frontend/backend dependencies from lockfiles.</w:t>
      </w:r>
    </w:p>
    <w:p>
      <w:pPr>
        <w:pStyle w:val="ListBullet"/>
        <w:spacing w:after="40"/>
      </w:pPr>
      <w:r>
        <w:t>Provision database connection and deploy all 49 migrations using the repository-standard migration deployment path.</w:t>
      </w:r>
    </w:p>
    <w:p>
      <w:pPr>
        <w:pStyle w:val="ListBullet"/>
        <w:spacing w:after="40"/>
      </w:pPr>
      <w:r>
        <w:t>Provision server-side provider secrets only for enabled provider paths.</w:t>
      </w:r>
    </w:p>
    <w:p>
      <w:pPr>
        <w:pStyle w:val="ListBullet"/>
        <w:spacing w:after="40"/>
      </w:pPr>
      <w:r>
        <w:t>Verify Zyte credential configuration; Cheerio requires no secret.</w:t>
      </w:r>
    </w:p>
    <w:p>
      <w:pPr>
        <w:pStyle w:val="ListBullet"/>
        <w:spacing w:after="40"/>
      </w:pPr>
      <w:r>
        <w:t>Verify Gemini/OpenAI/Parallel secrets according to enabled runtime providers.</w:t>
      </w:r>
    </w:p>
    <w:p>
      <w:pPr>
        <w:pStyle w:val="ListBullet"/>
        <w:spacing w:after="40"/>
      </w:pPr>
      <w:r>
        <w:t>Verify JWT/auth and organization-to-Brand resolution in the target environment.</w:t>
      </w:r>
    </w:p>
    <w:p>
      <w:pPr>
        <w:pStyle w:val="ListBullet"/>
        <w:spacing w:after="40"/>
      </w:pPr>
      <w:r>
        <w:t>Verify generated Intelligence contract bundles exist in the production build artifact.</w:t>
      </w:r>
    </w:p>
    <w:p>
      <w:pPr>
        <w:pStyle w:val="ListBullet"/>
        <w:spacing w:after="40"/>
      </w:pPr>
      <w:r>
        <w:t>Start backend and call authenticated GET /api/v1/brand-centre/brand.</w:t>
      </w:r>
    </w:p>
    <w:p>
      <w:pPr>
        <w:pStyle w:val="ListBullet"/>
        <w:spacing w:after="40"/>
      </w:pPr>
      <w:r>
        <w:t>Confirm response includes exactly seven processorRuntime entries and all ten Intelligence Objects remain parseable.</w:t>
      </w:r>
    </w:p>
    <w:p>
      <w:pPr>
        <w:pStyle w:val="ListBullet"/>
        <w:spacing w:after="40"/>
      </w:pPr>
      <w:r>
        <w:t>Start frontend against the deployed backend and validate desktop + mobile Brand Centre.</w:t>
      </w:r>
    </w:p>
    <w:p>
      <w:pPr>
        <w:pStyle w:val="ListBullet"/>
        <w:spacing w:after="40"/>
      </w:pPr>
      <w:r>
        <w:t>Validate at least one mixed-state scenario (e.g. READY + PARTIAL + REFRESHING + WAITING_FOR_DEPENDENCY).</w:t>
      </w:r>
    </w:p>
    <w:p>
      <w:pPr>
        <w:pStyle w:val="ListBullet"/>
        <w:spacing w:after="40"/>
      </w:pPr>
      <w:r>
        <w:t>Confirm no Preview/legacy fallback is occurring.</w:t>
      </w:r>
    </w:p>
    <w:p>
      <w:pPr>
        <w:pStyle w:val="ListBullet"/>
        <w:spacing w:after="40"/>
      </w:pPr>
      <w:r>
        <w:t>Treat current Preview → Brand Centre routing as provisional until the stable Verify domain → Connect Meta → Home journey is reinstated.</w:t>
      </w:r>
    </w:p>
    <w:p>
      <w:pPr>
        <w:pStyle w:val="Heading1"/>
      </w:pPr>
      <w:r>
        <w:t>13. Accepted MVP limitations / do not treat as deployment defects</w:t>
      </w:r>
    </w:p>
    <w:p>
      <w:pPr>
        <w:pStyle w:val="ListBullet"/>
        <w:spacing w:after="40"/>
      </w:pPr>
      <w:r>
        <w:t>No canonical Offering Availability model yet.</w:t>
      </w:r>
    </w:p>
    <w:p>
      <w:pPr>
        <w:pStyle w:val="ListBullet"/>
        <w:spacing w:after="40"/>
      </w:pPr>
      <w:r>
        <w:t>Some processor dependency waits remain generic WAITING_FOR_DEPENDENCY / UNKNOWN rather than a finer durable sub-reason.</w:t>
      </w:r>
    </w:p>
    <w:p>
      <w:pPr>
        <w:pStyle w:val="ListBullet"/>
        <w:spacing w:after="40"/>
      </w:pPr>
      <w:r>
        <w:t>Proof is grounded observation, not third-party verification.</w:t>
      </w:r>
    </w:p>
    <w:p>
      <w:pPr>
        <w:pStyle w:val="ListBullet"/>
        <w:spacing w:after="40"/>
      </w:pPr>
      <w:r>
        <w:t>Unsupported visual imagery / graphic-treatment semantics may remain partial or null.</w:t>
      </w:r>
    </w:p>
    <w:p>
      <w:pPr>
        <w:pStyle w:val="ListBullet"/>
        <w:spacing w:after="40"/>
      </w:pPr>
      <w:r>
        <w:t>Meta/Instagram enrichment is optional for Brand Intelligence V1.</w:t>
      </w:r>
    </w:p>
    <w:p>
      <w:pPr>
        <w:pStyle w:val="ListBullet"/>
        <w:spacing w:after="40"/>
      </w:pPr>
      <w:r>
        <w:t>Similarweb is not required for the current Brand MVP.</w:t>
      </w:r>
    </w:p>
    <w:p>
      <w:pPr>
        <w:pStyle w:val="ListBullet"/>
        <w:spacing w:after="40"/>
      </w:pPr>
      <w:r>
        <w:t>Legacy market geography fields remain in the system but are noncanonical.</w:t>
      </w:r>
    </w:p>
    <w:p>
      <w:pPr>
        <w:pStyle w:val="Heading1"/>
      </w:pPr>
      <w:r>
        <w:t>14. Reference implementation paths</w:t>
      </w:r>
    </w:p>
    <w:p>
      <w:r>
        <w:t>Backend evidence / provider paths verified for this handoff:</w:t>
      </w:r>
    </w:p>
    <w:p>
      <w:pPr>
        <w:pStyle w:val="ListBullet"/>
        <w:spacing w:after="40"/>
      </w:pPr>
      <w:r>
        <w:t>src/features/data-extraction/data-extraction.module.ts</w:t>
      </w:r>
    </w:p>
    <w:p>
      <w:pPr>
        <w:pStyle w:val="ListBullet"/>
        <w:spacing w:after="40"/>
      </w:pPr>
      <w:r>
        <w:t>src/features/brand-onboarding/surface-scan/stage1a/zyte-homepage.strategy.ts</w:t>
      </w:r>
    </w:p>
    <w:p>
      <w:pPr>
        <w:pStyle w:val="ListBullet"/>
        <w:spacing w:after="40"/>
      </w:pPr>
      <w:r>
        <w:t>src/features/data-extraction/providers/gemini-structured.provider.ts</w:t>
      </w:r>
    </w:p>
    <w:p>
      <w:pPr>
        <w:pStyle w:val="ListBullet"/>
        <w:spacing w:after="40"/>
      </w:pPr>
      <w:r>
        <w:t>src/features/data-extraction/providers/openai-structured.provider.ts</w:t>
      </w:r>
    </w:p>
    <w:p>
      <w:pPr>
        <w:pStyle w:val="ListBullet"/>
        <w:spacing w:after="40"/>
      </w:pPr>
      <w:r>
        <w:t>src/features/brand-onboarding/integrations/parallel/parallel-search.client.ts</w:t>
      </w:r>
    </w:p>
    <w:p>
      <w:pPr>
        <w:pStyle w:val="ListBullet"/>
        <w:spacing w:after="40"/>
      </w:pPr>
      <w:r>
        <w:t>package.json (Cheerio dependency)</w:t>
      </w:r>
    </w:p>
    <w:p/>
    <w:p>
      <w:pPr>
        <w:jc w:val="center"/>
      </w:pPr>
      <w:r>
        <w:rPr>
          <w:b/>
          <w:sz w:val="22"/>
        </w:rPr>
        <w:t>Handoff status: BRAND CENTRE BRAND WORKSPACE — END-TO-END ACCEPTED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