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Berrima Cement Works Digital Twin</w:t>
      </w:r>
    </w:p>
    <w:p>
      <w:pPr>
        <w:spacing w:after="240"/>
      </w:pPr>
      <w:r>
        <w:rPr>
          <w:i/>
          <w:color w:val="55636F"/>
          <w:sz w:val="20"/>
        </w:rPr>
        <w:t>Project summary — functional coverage   |   Boral Cement Works Berrima, Taylor Ave, New Berrima NSW   |   10 September 2026</w:t>
      </w:r>
    </w:p>
    <w:p>
      <w:pPr>
        <w:pStyle w:val="Heading1"/>
      </w:pPr>
      <w:r>
        <w:t>1. What has been built</w:t>
      </w:r>
    </w:p>
    <w:p>
      <w:pPr>
        <w:spacing w:after="120"/>
      </w:pPr>
      <w:r>
        <w:rPr>
          <w:i w:val="0"/>
          <w:sz w:val="21"/>
        </w:rPr>
        <w:t>A single web application that represents the Berrima plant digitally and runs the plant's material workflow on top of it. It is not a dashboard with a picture behind it: the plant is the workspace, and every quantity shown anywhere in the application comes from one inventory with one transaction ledger.</w:t>
      </w:r>
    </w:p>
    <w:p>
      <w:pPr>
        <w:spacing w:after="120"/>
      </w:pPr>
      <w:r>
        <w:rPr>
          <w:i w:val="0"/>
          <w:sz w:val="21"/>
        </w:rPr>
        <w:t>The application has six views, reached from the top bar:</w:t>
      </w:r>
    </w:p>
    <w:tbl>
      <w:tblPr>
        <w:tblStyle w:val="TableGrid"/>
        <w:tblW w:type="auto" w:w="0"/>
        <w:tblLook w:firstColumn="1" w:firstRow="1" w:lastColumn="0" w:lastRow="0" w:noHBand="0" w:noVBand="1" w:val="04A0"/>
      </w:tblPr>
      <w:tblGrid>
        <w:gridCol w:w="4320"/>
        <w:gridCol w:w="4320"/>
      </w:tblGrid>
      <w:tr>
        <w:tc>
          <w:tcPr>
            <w:tcW w:type="dxa" w:w="2304"/>
          </w:tcPr>
          <w:p>
            <w:pPr>
              <w:shd w:val="clear" w:fill="EEF3F8"/>
            </w:pPr>
            <w:r/>
            <w:r>
              <w:rPr>
                <w:b/>
                <w:sz w:val="19"/>
              </w:rPr>
              <w:t>View</w:t>
            </w:r>
          </w:p>
        </w:tc>
        <w:tc>
          <w:tcPr>
            <w:tcW w:type="dxa" w:w="7056"/>
          </w:tcPr>
          <w:p>
            <w:pPr>
              <w:shd w:val="clear" w:fill="EEF3F8"/>
            </w:pPr>
            <w:r/>
            <w:r>
              <w:rPr>
                <w:b/>
                <w:sz w:val="19"/>
              </w:rPr>
              <w:t>What it does</w:t>
            </w:r>
          </w:p>
        </w:tc>
      </w:tr>
      <w:tr>
        <w:tc>
          <w:tcPr>
            <w:tcW w:type="dxa" w:w="2304"/>
          </w:tcPr>
          <w:p>
            <w:r/>
            <w:r>
              <w:rPr>
                <w:b/>
                <w:sz w:val="19"/>
              </w:rPr>
              <w:t>Satellite View</w:t>
            </w:r>
          </w:p>
        </w:tc>
        <w:tc>
          <w:tcPr>
            <w:tcW w:type="dxa" w:w="7056"/>
          </w:tcPr>
          <w:p>
            <w:r/>
            <w:r>
              <w:rPr>
                <w:b w:val="0"/>
                <w:sz w:val="19"/>
              </w:rPr>
              <w:t>Live satellite imagery of the works with the plant's assets annotated on it. The geographic truth layer.</w:t>
            </w:r>
          </w:p>
        </w:tc>
      </w:tr>
      <w:tr>
        <w:tc>
          <w:tcPr>
            <w:tcW w:type="dxa" w:w="2304"/>
          </w:tcPr>
          <w:p>
            <w:r/>
            <w:r>
              <w:rPr>
                <w:b/>
                <w:sz w:val="19"/>
              </w:rPr>
              <w:t>3D View</w:t>
            </w:r>
          </w:p>
        </w:tc>
        <w:tc>
          <w:tcPr>
            <w:tcW w:type="dxa" w:w="7056"/>
          </w:tcPr>
          <w:p>
            <w:r/>
            <w:r>
              <w:rPr>
                <w:b w:val="0"/>
                <w:sz w:val="19"/>
              </w:rPr>
              <w:t>A stylised 3D twin laid out along the process line, from stockpiles through the kiln to dispatch.</w:t>
            </w:r>
          </w:p>
        </w:tc>
      </w:tr>
      <w:tr>
        <w:tc>
          <w:tcPr>
            <w:tcW w:type="dxa" w:w="2304"/>
          </w:tcPr>
          <w:p>
            <w:r/>
            <w:r>
              <w:rPr>
                <w:b/>
                <w:sz w:val="19"/>
              </w:rPr>
              <w:t>Plant Flow</w:t>
            </w:r>
          </w:p>
        </w:tc>
        <w:tc>
          <w:tcPr>
            <w:tcW w:type="dxa" w:w="7056"/>
          </w:tcPr>
          <w:p>
            <w:r/>
            <w:r>
              <w:rPr>
                <w:b w:val="0"/>
                <w:sz w:val="19"/>
              </w:rPr>
              <w:t>The process as a diagram, with live figures on each stage.</w:t>
            </w:r>
          </w:p>
        </w:tc>
      </w:tr>
      <w:tr>
        <w:tc>
          <w:tcPr>
            <w:tcW w:type="dxa" w:w="2304"/>
          </w:tcPr>
          <w:p>
            <w:r/>
            <w:r>
              <w:rPr>
                <w:b/>
                <w:sz w:val="19"/>
              </w:rPr>
              <w:t>Inventory</w:t>
            </w:r>
          </w:p>
        </w:tc>
        <w:tc>
          <w:tcPr>
            <w:tcW w:type="dxa" w:w="7056"/>
          </w:tcPr>
          <w:p>
            <w:r/>
            <w:r>
              <w:rPr>
                <w:b w:val="0"/>
                <w:sz w:val="19"/>
              </w:rPr>
              <w:t>Material balances by location, with minimum/maximum stock, stock health and the full transaction ledger.</w:t>
            </w:r>
          </w:p>
        </w:tc>
      </w:tr>
      <w:tr>
        <w:tc>
          <w:tcPr>
            <w:tcW w:type="dxa" w:w="2304"/>
          </w:tcPr>
          <w:p>
            <w:r/>
            <w:r>
              <w:rPr>
                <w:b/>
                <w:sz w:val="19"/>
              </w:rPr>
              <w:t>Incoming Materials</w:t>
            </w:r>
          </w:p>
        </w:tc>
        <w:tc>
          <w:tcPr>
            <w:tcW w:type="dxa" w:w="7056"/>
          </w:tcPr>
          <w:p>
            <w:r/>
            <w:r>
              <w:rPr>
                <w:b w:val="0"/>
                <w:sz w:val="19"/>
              </w:rPr>
              <w:t>Receiving deliveries: QR scan or PO entry, weighing, quality, receipt into inventory.</w:t>
            </w:r>
          </w:p>
        </w:tc>
      </w:tr>
      <w:tr>
        <w:tc>
          <w:tcPr>
            <w:tcW w:type="dxa" w:w="2304"/>
          </w:tcPr>
          <w:p>
            <w:r/>
            <w:r>
              <w:rPr>
                <w:b/>
                <w:sz w:val="19"/>
              </w:rPr>
              <w:t>Issue &amp; Consumption</w:t>
            </w:r>
          </w:p>
        </w:tc>
        <w:tc>
          <w:tcPr>
            <w:tcW w:type="dxa" w:w="7056"/>
          </w:tcPr>
          <w:p>
            <w:r/>
            <w:r>
              <w:rPr>
                <w:b w:val="0"/>
                <w:sz w:val="19"/>
              </w:rPr>
              <w:t>Releasing material to a consuming area and recording what was actually consumed, with full traceability.</w:t>
            </w:r>
          </w:p>
        </w:tc>
      </w:tr>
    </w:tbl>
    <w:p>
      <w:pPr>
        <w:spacing w:after="0"/>
      </w:pPr>
    </w:p>
    <w:p>
      <w:pPr>
        <w:pStyle w:val="Heading1"/>
      </w:pPr>
      <w:r>
        <w:t>2. Satellite View</w:t>
      </w:r>
    </w:p>
    <w:p>
      <w:pPr>
        <w:pStyle w:val="ListBullet"/>
        <w:spacing w:after="60"/>
      </w:pPr>
      <w:r>
        <w:rPr>
          <w:b w:val="0"/>
          <w:sz w:val="21"/>
        </w:rPr>
        <w:t>Live Esri World Imagery, fetched from the licensed provider with attribution always on screen. No imagery is downloaded, stitched or bundled.</w:t>
      </w:r>
    </w:p>
    <w:p>
      <w:pPr>
        <w:pStyle w:val="ListBullet"/>
        <w:spacing w:after="60"/>
      </w:pPr>
      <w:r>
        <w:rPr>
          <w:b w:val="0"/>
          <w:sz w:val="21"/>
        </w:rPr>
        <w:t xml:space="preserve">Every asset carries a marker whose </w:t>
      </w:r>
      <w:r>
        <w:rPr>
          <w:b/>
          <w:sz w:val="21"/>
        </w:rPr>
        <w:t>shape and icon</w:t>
      </w:r>
      <w:r>
        <w:rPr>
          <w:b w:val="0"/>
          <w:sz w:val="21"/>
        </w:rPr>
        <w:t xml:space="preserve"> differ by class, joined by a </w:t>
      </w:r>
      <w:r>
        <w:rPr>
          <w:b/>
          <w:sz w:val="21"/>
        </w:rPr>
        <w:t>leader line</w:t>
      </w:r>
      <w:r>
        <w:rPr>
          <w:b w:val="0"/>
          <w:sz w:val="21"/>
        </w:rPr>
        <w:t xml:space="preserve"> to a readable card. Card placement is calculated automatically: cards never overlap each other, never cover another asset's marker, never sit under the header or panels, and never leave the screen.</w:t>
      </w:r>
    </w:p>
    <w:p>
      <w:pPr>
        <w:pStyle w:val="ListBullet"/>
        <w:spacing w:after="60"/>
      </w:pPr>
      <w:r>
        <w:rPr>
          <w:b w:val="0"/>
          <w:sz w:val="21"/>
        </w:rPr>
        <w:t>Cards and lines stay attached to their asset while panning and zooming. A drag that starts on a card still pans the map.</w:t>
      </w:r>
    </w:p>
    <w:p>
      <w:pPr>
        <w:pStyle w:val="ListBullet"/>
        <w:spacing w:after="60"/>
      </w:pPr>
      <w:r>
        <w:rPr>
          <w:b w:val="0"/>
          <w:sz w:val="21"/>
        </w:rPr>
        <w:t>Detail scales with zoom. At plant overview you see the major machines, silos and piles; zoom in and conveyors, utilities and minor units get labels, cards gain full detail, and the silo group splits into Silos 1–3.</w:t>
      </w:r>
    </w:p>
    <w:p>
      <w:pPr>
        <w:pStyle w:val="ListBullet"/>
        <w:spacing w:after="60"/>
      </w:pPr>
      <w:r>
        <w:rPr>
          <w:b/>
          <w:sz w:val="21"/>
        </w:rPr>
        <w:t>Map Layers</w:t>
      </w:r>
      <w:r>
        <w:rPr>
          <w:b w:val="0"/>
          <w:sz w:val="21"/>
        </w:rPr>
        <w:t xml:space="preserve"> panel: an Annotations on/off switch and filters for Machines, Piles, Storage, Conveyors, Utilities and Process Flow, plus a Material Type and Plant Assets legend.</w:t>
      </w:r>
    </w:p>
    <w:p>
      <w:pPr>
        <w:pStyle w:val="ListBullet"/>
        <w:spacing w:after="60"/>
      </w:pPr>
      <w:r>
        <w:rPr>
          <w:b w:val="0"/>
          <w:sz w:val="21"/>
        </w:rPr>
        <w:t xml:space="preserve">Clicking any asset opens a closable </w:t>
      </w:r>
      <w:r>
        <w:rPr>
          <w:b/>
          <w:sz w:val="21"/>
        </w:rPr>
        <w:t>Asset Details</w:t>
      </w:r>
      <w:r>
        <w:rPr>
          <w:b w:val="0"/>
          <w:sz w:val="21"/>
        </w:rPr>
        <w:t xml:space="preserve"> dialog — there is no permanent side panel. Piles and silos show live inventory (quantity, minimum, capacity, stock status) and open straight into the Inventory module.</w:t>
      </w:r>
    </w:p>
    <w:p>
      <w:pPr>
        <w:pStyle w:val="ListBullet"/>
        <w:spacing w:after="60"/>
      </w:pPr>
      <w:r>
        <w:rPr>
          <w:b w:val="0"/>
          <w:sz w:val="21"/>
        </w:rPr>
        <w:t>Process connections are drawn only where the plant model supports them, subtly, never because two things look close together.</w:t>
      </w:r>
    </w:p>
    <w:p>
      <w:pPr>
        <w:pStyle w:val="ListBullet"/>
        <w:spacing w:after="60"/>
      </w:pPr>
      <w:r>
        <w:rPr>
          <w:b w:val="0"/>
          <w:sz w:val="21"/>
        </w:rPr>
        <w:t>A standing note states that positions are indicative and may be approximate.</w:t>
      </w:r>
    </w:p>
    <w:p>
      <w:pPr>
        <w:pStyle w:val="Heading1"/>
      </w:pPr>
      <w:r>
        <w:t>3. 3D Digital Twin, and Plant Flow</w:t>
      </w:r>
    </w:p>
    <w:p>
      <w:pPr>
        <w:pStyle w:val="ListBullet"/>
        <w:spacing w:after="60"/>
      </w:pPr>
      <w:r>
        <w:rPr>
          <w:b w:val="0"/>
          <w:sz w:val="21"/>
        </w:rPr>
        <w:t>The 3D twin is arranged along the process line so the flow reads end to end; at true geographic spacing the units overlap into one lump.</w:t>
      </w:r>
    </w:p>
    <w:p>
      <w:pPr>
        <w:pStyle w:val="ListBullet"/>
        <w:spacing w:after="60"/>
      </w:pPr>
      <w:r>
        <w:rPr>
          <w:b w:val="0"/>
          <w:sz w:val="21"/>
        </w:rPr>
        <w:t>Units carry compact numbered tags; hovering opens a detail card beside the unit, clicking pins it. Tags stay put while the model is orbited.</w:t>
      </w:r>
    </w:p>
    <w:p>
      <w:pPr>
        <w:pStyle w:val="ListBullet"/>
        <w:spacing w:after="60"/>
      </w:pPr>
      <w:r>
        <w:rPr>
          <w:b w:val="0"/>
          <w:sz w:val="21"/>
        </w:rPr>
        <w:t xml:space="preserve">Pile and silo cards now read their figures </w:t>
      </w:r>
      <w:r>
        <w:rPr>
          <w:b/>
          <w:sz w:val="21"/>
        </w:rPr>
        <w:t>from Inventory</w:t>
      </w:r>
      <w:r>
        <w:rPr>
          <w:b w:val="0"/>
          <w:sz w:val="21"/>
        </w:rPr>
        <w:t xml:space="preserve"> — the twin holds no stock figures of its own. Process metrics (throughput, power, temperatures) are demo values and are labelled as such.</w:t>
      </w:r>
    </w:p>
    <w:p>
      <w:pPr>
        <w:pStyle w:val="ListBullet"/>
        <w:spacing w:after="60"/>
      </w:pPr>
      <w:r>
        <w:rPr>
          <w:b w:val="0"/>
          <w:sz w:val="21"/>
        </w:rPr>
        <w:t>Plant Flow shows the same process as a diagram with the same asset IDs and the same live figures.</w:t>
      </w:r>
    </w:p>
    <w:p>
      <w:pPr>
        <w:pStyle w:val="ListBullet"/>
        <w:spacing w:after="60"/>
      </w:pPr>
      <w:r>
        <w:rPr>
          <w:b w:val="0"/>
          <w:sz w:val="21"/>
        </w:rPr>
        <w:t>Both views use the same asset model and the same IDs as the satellite view.</w:t>
      </w:r>
    </w:p>
    <w:p>
      <w:pPr>
        <w:pStyle w:val="Heading1"/>
      </w:pPr>
      <w:r>
        <w:t>4. Inventory</w:t>
      </w:r>
    </w:p>
    <w:p>
      <w:pPr>
        <w:pStyle w:val="Heading2"/>
      </w:pPr>
      <w:r>
        <w:t>Master data — Material, Grade, Location</w:t>
      </w:r>
    </w:p>
    <w:p>
      <w:pPr>
        <w:spacing w:after="120"/>
      </w:pPr>
      <w:r>
        <w:rPr>
          <w:i w:val="0"/>
          <w:sz w:val="21"/>
        </w:rPr>
        <w:t>The plant registers its own master data. These are tabs inside Inventory, not new menus: the top-level navigation is unchanged.</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MATERIAL   →   GRADE   →   LOCATION   →   INVENTORY BALANCE</w:t>
      </w:r>
    </w:p>
    <w:p>
      <w:pPr>
        <w:pStyle w:val="ListBullet"/>
        <w:spacing w:after="60"/>
      </w:pPr>
      <w:r>
        <w:rPr>
          <w:b/>
          <w:sz w:val="21"/>
        </w:rPr>
        <w:t>Material Registration</w:t>
      </w:r>
      <w:r>
        <w:rPr>
          <w:b w:val="0"/>
          <w:sz w:val="21"/>
        </w:rPr>
        <w:t xml:space="preserve"> — code, name, unit of measure, group, description, whether expiry applies, and a standard cost used for valuation. A material carries master information only: no stock levels and no quality live here.</w:t>
      </w:r>
    </w:p>
    <w:p>
      <w:pPr>
        <w:pStyle w:val="ListBullet"/>
        <w:spacing w:after="60"/>
      </w:pPr>
      <w:r>
        <w:rPr>
          <w:b/>
          <w:sz w:val="21"/>
        </w:rPr>
        <w:t>Grade Registration</w:t>
      </w:r>
      <w:r>
        <w:rPr>
          <w:b w:val="0"/>
          <w:sz w:val="21"/>
        </w:rPr>
        <w:t xml:space="preserve"> — a grade sits under a material and carries two different sets of numbers, which the form keeps visibly apart.</w:t>
      </w:r>
    </w:p>
    <w:tbl>
      <w:tblPr>
        <w:tblStyle w:val="TableGrid"/>
        <w:tblW w:type="auto" w:w="0"/>
        <w:tblLook w:firstColumn="1" w:firstRow="1" w:lastColumn="0" w:lastRow="0" w:noHBand="0" w:noVBand="1" w:val="04A0"/>
      </w:tblPr>
      <w:tblGrid>
        <w:gridCol w:w="4320"/>
        <w:gridCol w:w="4320"/>
      </w:tblGrid>
      <w:tr>
        <w:tc>
          <w:tcPr>
            <w:tcW w:type="dxa" w:w="2736"/>
          </w:tcPr>
          <w:p>
            <w:pPr>
              <w:shd w:val="clear" w:fill="EEF3F8"/>
            </w:pPr>
            <w:r/>
            <w:r>
              <w:rPr>
                <w:b/>
                <w:sz w:val="19"/>
              </w:rPr>
              <w:t>On a grade</w:t>
            </w:r>
          </w:p>
        </w:tc>
        <w:tc>
          <w:tcPr>
            <w:tcW w:type="dxa" w:w="6624"/>
          </w:tcPr>
          <w:p>
            <w:pPr>
              <w:shd w:val="clear" w:fill="EEF3F8"/>
            </w:pPr>
            <w:r/>
            <w:r>
              <w:rPr>
                <w:b/>
                <w:sz w:val="19"/>
              </w:rPr>
              <w:t>What it means</w:t>
            </w:r>
          </w:p>
        </w:tc>
      </w:tr>
      <w:tr>
        <w:tc>
          <w:tcPr>
            <w:tcW w:type="dxa" w:w="2736"/>
          </w:tcPr>
          <w:p>
            <w:r/>
            <w:r>
              <w:rPr>
                <w:b/>
                <w:sz w:val="19"/>
              </w:rPr>
              <w:t>Inventory parameters</w:t>
            </w:r>
          </w:p>
        </w:tc>
        <w:tc>
          <w:tcPr>
            <w:tcW w:type="dxa" w:w="6624"/>
          </w:tcPr>
          <w:p>
            <w:r/>
            <w:r>
              <w:rPr>
                <w:b w:val="0"/>
                <w:sz w:val="19"/>
              </w:rPr>
              <w:t>Minimum, Target and Maximum STOCK — how much of this grade the plant holds.</w:t>
            </w:r>
          </w:p>
        </w:tc>
      </w:tr>
      <w:tr>
        <w:tc>
          <w:tcPr>
            <w:tcW w:type="dxa" w:w="2736"/>
          </w:tcPr>
          <w:p>
            <w:r/>
            <w:r>
              <w:rPr>
                <w:b/>
                <w:sz w:val="19"/>
              </w:rPr>
              <w:t>Quality parameters</w:t>
            </w:r>
          </w:p>
        </w:tc>
        <w:tc>
          <w:tcPr>
            <w:tcW w:type="dxa" w:w="6624"/>
          </w:tcPr>
          <w:p>
            <w:r/>
            <w:r>
              <w:rPr>
                <w:b w:val="0"/>
                <w:sz w:val="19"/>
              </w:rPr>
              <w:t>Any characteristic the plant tests, each with its own minimum, target, maximum and unit.</w:t>
            </w:r>
          </w:p>
        </w:tc>
      </w:tr>
    </w:tbl>
    <w:p>
      <w:pPr>
        <w:spacing w:after="0"/>
      </w:pPr>
    </w:p>
    <w:p>
      <w:pPr>
        <w:pStyle w:val="ListBullet"/>
        <w:spacing w:after="60"/>
      </w:pPr>
      <w:r>
        <w:rPr>
          <w:b/>
          <w:sz w:val="21"/>
        </w:rPr>
        <w:t>Quality parameters are added by the user.</w:t>
      </w:r>
      <w:r>
        <w:rPr>
          <w:b w:val="0"/>
          <w:sz w:val="21"/>
        </w:rPr>
        <w:t xml:space="preserve"> Carbon, Silicon, Sulphur and Manganese are examples, not a fixed list — a new grade starts with none, and the plant adds exactly what it tests, whether that is CaO, Blaine, Calorific Value or a whiteness index. A one-sided specification is allowed: “CaO at least 50%” needs only a minimum.</w:t>
      </w:r>
    </w:p>
    <w:p>
      <w:pPr>
        <w:pStyle w:val="ListBullet"/>
        <w:spacing w:after="60"/>
      </w:pPr>
      <w:r>
        <w:rPr>
          <w:b/>
          <w:sz w:val="21"/>
        </w:rPr>
        <w:t>Location Registration</w:t>
      </w:r>
      <w:r>
        <w:rPr>
          <w:b w:val="0"/>
          <w:sz w:val="21"/>
        </w:rPr>
        <w:t xml:space="preserve"> — every location is one of two kinds, and the difference is enforced. An </w:t>
      </w:r>
      <w:r>
        <w:rPr>
          <w:b/>
          <w:sz w:val="21"/>
        </w:rPr>
        <w:t>Inventory Location</w:t>
      </w:r>
      <w:r>
        <w:rPr>
          <w:b w:val="0"/>
          <w:sz w:val="21"/>
        </w:rPr>
        <w:t xml:space="preserve"> holds stock. A </w:t>
      </w:r>
      <w:r>
        <w:rPr>
          <w:b/>
          <w:sz w:val="21"/>
        </w:rPr>
        <w:t>Consumption Location</w:t>
      </w:r>
      <w:r>
        <w:rPr>
          <w:b w:val="0"/>
          <w:sz w:val="21"/>
        </w:rPr>
        <w:t xml:space="preserve"> is where material is used and never carries a balance. Capacity is optional; where it is set, the location reports utilisation.</w:t>
      </w:r>
    </w:p>
    <w:p>
      <w:pPr>
        <w:pStyle w:val="ListBullet"/>
        <w:spacing w:after="60"/>
      </w:pPr>
      <w:r>
        <w:rPr>
          <w:b w:val="0"/>
          <w:sz w:val="21"/>
        </w:rPr>
        <w:t>Nothing is deleted. A master in use is deactivated, and only once no active balance depends on it.</w:t>
      </w:r>
    </w:p>
    <w:p>
      <w:pPr>
        <w:pStyle w:val="Heading2"/>
      </w:pPr>
      <w:r>
        <w:t>The inventory record</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INVENTORY  =  MATERIAL  +  GRADE  +  LOCATION  +  QUANTITY</w:t>
      </w:r>
    </w:p>
    <w:p>
      <w:pPr>
        <w:spacing w:after="120"/>
      </w:pPr>
      <w:r>
        <w:rPr>
          <w:i w:val="0"/>
          <w:sz w:val="21"/>
        </w:rPr>
        <w:t>The table shows Material, Inventory ID, Location, Quantity, UOM, Grade, Min Stock, Target, Max Stock and Status, with search and filters for material group, location, status and archived records. A record can also carry its internal lot, the supplier's batch and an expiry date where expiry applies to the material.</w:t>
      </w:r>
    </w:p>
    <w:p>
      <w:pPr>
        <w:pStyle w:val="Heading2"/>
      </w:pPr>
      <w:r>
        <w:t>Stock levels come from the grade</w:t>
      </w:r>
    </w:p>
    <w:p>
      <w:pPr>
        <w:spacing w:after="120"/>
      </w:pPr>
      <w:r>
        <w:rPr>
          <w:i w:val="0"/>
          <w:sz w:val="21"/>
        </w:rPr>
        <w:t>Minimum, target and maximum stock are properties of the GRADE, never of one balance. Change a grade's minimum and every balance of that grade is measured against the new figure at once — there is no way for two silos of the same cement grade to drift onto different limits. The balance form shows the limits read-only and says where to change them.</w:t>
      </w:r>
    </w:p>
    <w:p>
      <w:pPr>
        <w:pStyle w:val="Heading2"/>
      </w:pPr>
      <w:r>
        <w:t>Stock health — two states only</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quantity  &gt;  grade minimum   →   HEALTHY</w:t>
      </w:r>
      <w:r>
        <w:br/>
      </w:r>
      <w:r>
        <w:rPr>
          <w:rFonts w:ascii="Consolas" w:hAnsi="Consolas"/>
          <w:sz w:val="18"/>
        </w:rPr>
        <w:t>quantity  ≤  grade minimum   →   CRITICAL</w:t>
      </w:r>
    </w:p>
    <w:p>
      <w:pPr>
        <w:spacing w:after="120"/>
      </w:pPr>
      <w:r>
        <w:rPr>
          <w:i w:val="0"/>
          <w:sz w:val="21"/>
        </w:rPr>
        <w:t>There is no third state anywhere in the application. Maximum and target stock are planning figures and produce no status. Status is recalculated after every transaction.</w:t>
      </w:r>
    </w:p>
    <w:p>
      <w:pPr>
        <w:pStyle w:val="Heading2"/>
      </w:pPr>
      <w:r>
        <w:t>Real-time balance</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PREVIOUS  +  INWARD  −  EXPIRED  −  NET CONSUMED   =   CURRENT BALANCE</w:t>
      </w:r>
    </w:p>
    <w:p>
      <w:pPr>
        <w:spacing w:after="120"/>
      </w:pPr>
      <w:r>
        <w:rPr>
          <w:i w:val="0"/>
          <w:sz w:val="21"/>
        </w:rPr>
        <w:t>Every term is a ledger transaction, so the balance is always explained by the movements behind it.</w:t>
      </w:r>
    </w:p>
    <w:p>
      <w:pPr>
        <w:pStyle w:val="Heading2"/>
      </w:pPr>
      <w:r>
        <w:t>What you can do</w:t>
      </w:r>
    </w:p>
    <w:p>
      <w:pPr>
        <w:pStyle w:val="ListBullet"/>
        <w:spacing w:after="60"/>
      </w:pPr>
      <w:r>
        <w:rPr>
          <w:b/>
          <w:sz w:val="21"/>
        </w:rPr>
        <w:t>Add Inventory</w:t>
      </w:r>
      <w:r>
        <w:rPr>
          <w:b w:val="0"/>
          <w:sz w:val="21"/>
        </w:rPr>
        <w:t xml:space="preserve"> — Material, Grade, Inventory ID, Storage Location, Quantity and UOM are required; Internal Lot, Supplier Batch, Expiry Date, Description and Notes are optional. Selecting the grade shows the stock limits it brings. Expiry is offered only for materials where it applies. The opening quantity arrives as a transaction, and the confirmation shows the chain: record created → transaction created → balance updated → status calculated.</w:t>
      </w:r>
    </w:p>
    <w:p>
      <w:pPr>
        <w:pStyle w:val="ListBullet"/>
        <w:spacing w:after="60"/>
      </w:pPr>
      <w:r>
        <w:rPr>
          <w:b/>
          <w:sz w:val="21"/>
        </w:rPr>
        <w:t>Add Stock / Remove Stock</w:t>
      </w:r>
      <w:r>
        <w:rPr>
          <w:b w:val="0"/>
          <w:sz w:val="21"/>
        </w:rPr>
        <w:t xml:space="preserve"> — controlled adjustments, each requiring a quantity and a reason, with optional reference and notes. The system records the user, date/time, previous quantity, movement, new quantity, an Adjustment ID and a Transaction ID. A removal can never take a balance below zero.</w:t>
      </w:r>
    </w:p>
    <w:p>
      <w:pPr>
        <w:pStyle w:val="ListBullet"/>
        <w:spacing w:after="60"/>
      </w:pPr>
      <w:r>
        <w:rPr>
          <w:b/>
          <w:sz w:val="21"/>
        </w:rPr>
        <w:t>Edit Details</w:t>
      </w:r>
      <w:r>
        <w:rPr>
          <w:b w:val="0"/>
          <w:sz w:val="21"/>
        </w:rPr>
        <w:t xml:space="preserve"> — description and notes. Material, grade, location, lot and quantity are not editable here, and stock limits are not editable at all from a balance: they belong to the grade.</w:t>
      </w:r>
    </w:p>
    <w:p>
      <w:pPr>
        <w:pStyle w:val="ListBullet"/>
        <w:spacing w:after="60"/>
      </w:pPr>
      <w:r>
        <w:rPr>
          <w:b/>
          <w:sz w:val="21"/>
        </w:rPr>
        <w:t>Archive</w:t>
      </w:r>
      <w:r>
        <w:rPr>
          <w:b w:val="0"/>
          <w:sz w:val="21"/>
        </w:rPr>
        <w:t xml:space="preserve"> — records are archived, never deleted, and only once empty, so no history is destroyed. Archived records can be reactivated; their IDs are never reused.</w:t>
      </w:r>
    </w:p>
    <w:p>
      <w:pPr>
        <w:pStyle w:val="ListBullet"/>
        <w:spacing w:after="60"/>
      </w:pPr>
      <w:r>
        <w:rPr>
          <w:b/>
          <w:sz w:val="21"/>
        </w:rPr>
        <w:t>Internal Lots</w:t>
      </w:r>
      <w:r>
        <w:rPr>
          <w:b w:val="0"/>
          <w:sz w:val="21"/>
        </w:rPr>
        <w:t xml:space="preserve"> tab — every lot with its purchase order, delivery, supplier, quantity, quality readings and expiry, and the full chain that created it.</w:t>
      </w:r>
    </w:p>
    <w:p>
      <w:pPr>
        <w:pStyle w:val="ListBullet"/>
        <w:spacing w:after="60"/>
      </w:pPr>
      <w:r>
        <w:rPr>
          <w:b/>
          <w:sz w:val="21"/>
        </w:rPr>
        <w:t>Transactions</w:t>
      </w:r>
      <w:r>
        <w:rPr>
          <w:b w:val="0"/>
          <w:sz w:val="21"/>
        </w:rPr>
        <w:t xml:space="preserve"> tab — the whole ledger with search and type filter, showing previous quantity, movement, new quantity and the references that explain each entry.</w:t>
      </w:r>
    </w:p>
    <w:p>
      <w:pPr>
        <w:pStyle w:val="ListBullet"/>
        <w:spacing w:after="60"/>
      </w:pPr>
      <w:r>
        <w:rPr>
          <w:b/>
          <w:sz w:val="21"/>
        </w:rPr>
        <w:t>Management</w:t>
      </w:r>
      <w:r>
        <w:rPr>
          <w:b w:val="0"/>
          <w:sz w:val="21"/>
        </w:rPr>
        <w:t xml:space="preserve"> tab — the management view, described in section 8.</w:t>
      </w:r>
    </w:p>
    <w:p>
      <w:pPr>
        <w:pStyle w:val="Heading2"/>
      </w:pPr>
      <w:r>
        <w:t>The ledger</w:t>
      </w:r>
    </w:p>
    <w:p>
      <w:pPr>
        <w:spacing w:after="120"/>
      </w:pPr>
      <w:r>
        <w:rPr>
          <w:i w:val="0"/>
          <w:sz w:val="21"/>
        </w:rPr>
        <w:t>Every quantity change is written as a transaction before the balance moves, and the balance then moves by that transaction's amount. Nothing overwrites a quantity. Six transaction types exist, one per application action:</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INCOMING  ·  MANUAL_ADJUSTMENT_IN  ·  MANUAL_ADJUSTMENT_OUT</w:t>
      </w:r>
      <w:r>
        <w:br/>
      </w:r>
      <w:r>
        <w:rPr>
          <w:rFonts w:ascii="Consolas" w:hAnsi="Consolas"/>
          <w:sz w:val="18"/>
        </w:rPr>
        <w:t>ISSUE  ·  CONSUMPTION  ·  RETURN</w:t>
      </w:r>
    </w:p>
    <w:p>
      <w:pPr>
        <w:spacing w:after="120"/>
      </w:pPr>
      <w:r>
        <w:rPr>
          <w:i w:val="0"/>
          <w:sz w:val="21"/>
        </w:rPr>
        <w:t>Transactions are numbered TX-00001; manual adjustments also carry ADJ-00001 and returns RET-00001. Each transaction keeps the references that explain it — PO, Incoming ID, Internal Lot, Issue ID, Consumption ID, Return ID, Adjustment ID, production reference, batch, reason.</w:t>
      </w:r>
    </w:p>
    <w:p>
      <w:pPr>
        <w:pStyle w:val="Heading1"/>
      </w:pPr>
      <w:r>
        <w:t>5. Incoming Materials</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QR SCAN or PO ENTRY  →  IDENTIFIED  →  WEIGHING  →  QUALITY  →  RECEIVED  →  INVENTORY</w:t>
      </w:r>
    </w:p>
    <w:p>
      <w:pPr>
        <w:pStyle w:val="ListBullet"/>
        <w:spacing w:after="60"/>
      </w:pPr>
      <w:r>
        <w:rPr>
          <w:b/>
          <w:sz w:val="21"/>
        </w:rPr>
        <w:t>Scan QR</w:t>
      </w:r>
      <w:r>
        <w:rPr>
          <w:b w:val="0"/>
          <w:sz w:val="21"/>
        </w:rPr>
        <w:t xml:space="preserve"> opens the device camera and reads the PO tag (berrima:po:PO-10250). Where there is no camera or access is refused, it says so plainly and offers an image upload and manual entry — scanning is never the only way in. Demo PO tags can be shown on screen for scanning.</w:t>
      </w:r>
    </w:p>
    <w:p>
      <w:pPr>
        <w:pStyle w:val="ListBullet"/>
        <w:spacing w:after="60"/>
      </w:pPr>
      <w:r>
        <w:rPr>
          <w:b/>
          <w:sz w:val="21"/>
        </w:rPr>
        <w:t>Enter PO Manually</w:t>
      </w:r>
      <w:r>
        <w:rPr>
          <w:b w:val="0"/>
          <w:sz w:val="21"/>
        </w:rPr>
        <w:t xml:space="preserve"> reaches the same record by the same route.</w:t>
      </w:r>
    </w:p>
    <w:p>
      <w:pPr>
        <w:pStyle w:val="ListBullet"/>
        <w:spacing w:after="60"/>
      </w:pPr>
      <w:r>
        <w:rPr>
          <w:b w:val="0"/>
          <w:sz w:val="21"/>
        </w:rPr>
        <w:t>Either way, the PO's details are loaded and not re-typed: supplier, material, material code, expected quantity, UOM, expected arrival. An unknown PO number is accepted and flagged as not in the PO list rather than blocking the gate.</w:t>
      </w:r>
    </w:p>
    <w:p>
      <w:pPr>
        <w:pStyle w:val="ListBullet"/>
        <w:spacing w:after="60"/>
      </w:pPr>
      <w:r>
        <w:rPr>
          <w:b w:val="0"/>
          <w:sz w:val="21"/>
        </w:rPr>
        <w:t>Receiving data captured at identification: Receiving Location (required, pre-selected from the PO), Vehicle/Delivery Reference, Batch/Lot and Source/Origin (all optional).</w:t>
      </w:r>
    </w:p>
    <w:p>
      <w:pPr>
        <w:pStyle w:val="ListBullet"/>
        <w:spacing w:after="60"/>
      </w:pPr>
      <w:r>
        <w:rPr>
          <w:b/>
          <w:sz w:val="21"/>
        </w:rPr>
        <w:t>Weighing</w:t>
      </w:r>
      <w:r>
        <w:rPr>
          <w:b w:val="0"/>
          <w:sz w:val="21"/>
        </w:rPr>
        <w:t xml:space="preserve"> takes gross and tare; net is derived, never typed.</w:t>
      </w:r>
    </w:p>
    <w:p>
      <w:pPr>
        <w:pStyle w:val="ListBullet"/>
        <w:spacing w:after="60"/>
      </w:pPr>
      <w:r>
        <w:rPr>
          <w:b/>
          <w:sz w:val="21"/>
        </w:rPr>
        <w:t>Quality</w:t>
      </w:r>
      <w:r>
        <w:rPr>
          <w:b w:val="0"/>
          <w:sz w:val="21"/>
        </w:rPr>
        <w:t xml:space="preserve"> is tested against </w:t>
      </w:r>
      <w:r>
        <w:rPr>
          <w:b/>
          <w:sz w:val="21"/>
        </w:rPr>
        <w:t>the grade's own parameters</w:t>
      </w:r>
      <w:r>
        <w:rPr>
          <w:b w:val="0"/>
          <w:sz w:val="21"/>
        </w:rPr>
        <w:t>. Each reading is judged in spec or out of spec against the registered minimum and maximum, and the count out of spec is stated. The inspector still records the PASS or FAIL, with notes. Where a grade has no parameters registered, quality stays PASS/FAIL with notes and nothing is invented. A FAIL holds the delivery at Quality — it cannot be received into inventory.</w:t>
      </w:r>
    </w:p>
    <w:p>
      <w:pPr>
        <w:pStyle w:val="ListBullet"/>
        <w:spacing w:after="60"/>
      </w:pPr>
      <w:r>
        <w:rPr>
          <w:b/>
          <w:sz w:val="21"/>
        </w:rPr>
        <w:t>Receipt</w:t>
      </w:r>
      <w:r>
        <w:rPr>
          <w:b w:val="0"/>
          <w:sz w:val="21"/>
        </w:rPr>
        <w:t xml:space="preserve"> pre-fills the received quantity from the net weight, shows the variance against the PO and previews the inventory impact. Releasing the delivery into stock </w:t>
      </w:r>
      <w:r>
        <w:rPr>
          <w:b/>
          <w:sz w:val="21"/>
        </w:rPr>
        <w:t>creates its Internal Lot</w:t>
      </w:r>
      <w:r>
        <w:rPr>
          <w:b w:val="0"/>
          <w:sz w:val="21"/>
        </w:rPr>
        <w:t xml:space="preserve"> and posts an INCOMING transaction carrying that lot. A refused posting leaves the delivery exactly where it was.</w:t>
      </w:r>
    </w:p>
    <w:p>
      <w:pPr>
        <w:pStyle w:val="ListBullet"/>
        <w:spacing w:after="60"/>
      </w:pPr>
      <w:r>
        <w:rPr>
          <w:b w:val="0"/>
          <w:sz w:val="21"/>
        </w:rPr>
        <w:t>A delivery can only be received into a balance of the same material and the same grade, so two specifications are never blended into a figure that no longer means anything.</w:t>
      </w:r>
    </w:p>
    <w:p>
      <w:pPr>
        <w:pStyle w:val="ListBullet"/>
        <w:spacing w:after="60"/>
      </w:pPr>
      <w:r>
        <w:rPr>
          <w:b w:val="0"/>
          <w:sz w:val="21"/>
        </w:rPr>
        <w:t>The record shows its whole journey and the chain PO → Incoming → Lot → Inventory +qty → Transaction, with a link that traces where that stock was later used.</w:t>
      </w:r>
    </w:p>
    <w:p>
      <w:pPr>
        <w:pStyle w:val="Heading1"/>
      </w:pPr>
      <w:r>
        <w:t>6. Issue &amp; Consumption</w:t>
      </w:r>
    </w:p>
    <w:p>
      <w:pPr>
        <w:spacing w:after="120"/>
      </w:pPr>
      <w:r>
        <w:rPr>
          <w:i w:val="0"/>
          <w:sz w:val="21"/>
        </w:rPr>
        <w:t>Issue and consumption are kept as separate events: material released from a location is not assumed to have been consumed.</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CHECK INVENTORY  →  CREATE ISSUE  →  (APPROVAL, if configured)  →  ISSUED</w:t>
      </w:r>
      <w:r>
        <w:br/>
      </w:r>
      <w:r>
        <w:rPr>
          <w:rFonts w:ascii="Consolas" w:hAnsi="Consolas"/>
          <w:sz w:val="18"/>
        </w:rPr>
        <w:t xml:space="preserve">     →  ACTUAL CONSUMPTION  →  CONSUMED  →  INVENTORY TRANSACTION  →  BALANCE</w:t>
      </w:r>
    </w:p>
    <w:p>
      <w:pPr>
        <w:pStyle w:val="ListBullet"/>
        <w:spacing w:after="60"/>
      </w:pPr>
      <w:r>
        <w:rPr>
          <w:b/>
          <w:sz w:val="21"/>
        </w:rPr>
        <w:t>Create Issue</w:t>
      </w:r>
      <w:r>
        <w:rPr>
          <w:b w:val="0"/>
          <w:sz w:val="21"/>
        </w:rPr>
        <w:t xml:space="preserve"> requires Material, Source Location (an inventory record), Quantity, UOM and Consuming Area. Production/Process Reference, Reason, Notes and the origin receipt are </w:t>
      </w:r>
      <w:r>
        <w:rPr>
          <w:b/>
          <w:sz w:val="21"/>
        </w:rPr>
        <w:t>optional</w:t>
      </w:r>
      <w:r>
        <w:rPr>
          <w:b w:val="0"/>
          <w:sz w:val="21"/>
        </w:rPr>
        <w:t>.</w:t>
      </w:r>
    </w:p>
    <w:p>
      <w:pPr>
        <w:pStyle w:val="ListBullet"/>
        <w:spacing w:after="60"/>
      </w:pPr>
      <w:r>
        <w:rPr>
          <w:b w:val="0"/>
          <w:sz w:val="21"/>
        </w:rPr>
        <w:t>The form checks stock before anything is created: on hand, committed to open issues, available to issue. A shortage is refused with the shortfall stated, and stock can never go negative.</w:t>
      </w:r>
    </w:p>
    <w:p>
      <w:pPr>
        <w:pStyle w:val="ListBullet"/>
        <w:spacing w:after="60"/>
      </w:pPr>
      <w:r>
        <w:rPr>
          <w:b w:val="0"/>
          <w:sz w:val="21"/>
        </w:rPr>
        <w:t>It shows the modelled material movement — for example PILE-RM-01 → Primary Crusher → Raw Mill — or says plainly that the plant model has no route for that pair.</w:t>
      </w:r>
    </w:p>
    <w:p>
      <w:pPr>
        <w:pStyle w:val="ListBullet"/>
        <w:spacing w:after="60"/>
      </w:pPr>
      <w:r>
        <w:rPr>
          <w:b/>
          <w:sz w:val="21"/>
        </w:rPr>
        <w:t>Record Consumption</w:t>
      </w:r>
      <w:r>
        <w:rPr>
          <w:b w:val="0"/>
          <w:sz w:val="21"/>
        </w:rPr>
        <w:t xml:space="preserve"> requires the Issue ID, the consumed quantity and the date/time (which cannot be in the future or before the issue). Material, source, issued quantity, UOM, consuming area, PO, Incoming ID and batch are auto-filled.</w:t>
      </w:r>
    </w:p>
    <w:p>
      <w:pPr>
        <w:pStyle w:val="ListBullet"/>
        <w:spacing w:after="60"/>
      </w:pPr>
      <w:r>
        <w:rPr>
          <w:b w:val="0"/>
          <w:sz w:val="21"/>
        </w:rPr>
        <w:t xml:space="preserve">The difference is preserved: issued 75 MT, consumed 70 MT, </w:t>
      </w:r>
      <w:r>
        <w:rPr>
          <w:b/>
          <w:sz w:val="21"/>
        </w:rPr>
        <w:t>5 MT not yet consumed</w:t>
      </w:r>
      <w:r>
        <w:rPr>
          <w:b w:val="0"/>
          <w:sz w:val="21"/>
        </w:rPr>
        <w:t xml:space="preserve"> — never silently treated as consumed.</w:t>
      </w:r>
    </w:p>
    <w:p>
      <w:pPr>
        <w:pStyle w:val="ListBullet"/>
        <w:spacing w:after="60"/>
      </w:pPr>
      <w:r>
        <w:rPr>
          <w:b w:val="0"/>
          <w:sz w:val="21"/>
        </w:rPr>
        <w:t>Consuming areas are the plant's own process units — Raw Mill, Kiln, Geocycle Co-processing, Cement Packing and Maintenance — not invented ones.</w:t>
      </w:r>
    </w:p>
    <w:p>
      <w:pPr>
        <w:pStyle w:val="Heading2"/>
      </w:pPr>
      <w:r>
        <w:t>Net consumption</w:t>
      </w:r>
    </w:p>
    <w:p>
      <w:pPr>
        <w:spacing w:after="120"/>
      </w:pPr>
      <w:r>
        <w:rPr>
          <w:i w:val="0"/>
          <w:sz w:val="21"/>
        </w:rPr>
        <w:t>What left the store is not what the plant used. Material issued but not needed comes back, and the two figures are kept apart:</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NET CONSUMPTION  =  GROSS OUTWARD  −  RETURNED</w:t>
      </w:r>
    </w:p>
    <w:p>
      <w:pPr>
        <w:pStyle w:val="ListBullet"/>
        <w:spacing w:after="60"/>
      </w:pPr>
      <w:r>
        <w:rPr>
          <w:b/>
          <w:sz w:val="21"/>
        </w:rPr>
        <w:t>Return Material</w:t>
      </w:r>
      <w:r>
        <w:rPr>
          <w:b w:val="0"/>
          <w:sz w:val="21"/>
        </w:rPr>
        <w:t xml:space="preserve"> posts the unused quantity back into the source balance as its own RETURN transaction. A return is never netted off silently, and it can never exceed what is still unaccounted for on the issue.</w:t>
      </w:r>
    </w:p>
    <w:p>
      <w:pPr>
        <w:pStyle w:val="ListBullet"/>
        <w:spacing w:after="60"/>
      </w:pPr>
      <w:r>
        <w:rPr>
          <w:b w:val="0"/>
          <w:sz w:val="21"/>
        </w:rPr>
        <w:t>The issue record shows requested, issued, gross consumed, returned and net consumed side by side.</w:t>
      </w:r>
    </w:p>
    <w:p>
      <w:pPr>
        <w:pStyle w:val="Heading2"/>
      </w:pPr>
      <w:r>
        <w:t>Consumption categories</w:t>
      </w:r>
    </w:p>
    <w:p>
      <w:pPr>
        <w:spacing w:after="120"/>
      </w:pPr>
      <w:r>
        <w:rPr>
          <w:i w:val="0"/>
          <w:sz w:val="21"/>
        </w:rPr>
        <w:t>Every consumption is classified, because “how much did we use” and “what did we use it for” are different questions:</w:t>
      </w:r>
    </w:p>
    <w:tbl>
      <w:tblPr>
        <w:tblStyle w:val="TableGrid"/>
        <w:tblW w:type="auto" w:w="0"/>
        <w:tblLook w:firstColumn="1" w:firstRow="1" w:lastColumn="0" w:lastRow="0" w:noHBand="0" w:noVBand="1" w:val="04A0"/>
      </w:tblPr>
      <w:tblGrid>
        <w:gridCol w:w="4320"/>
        <w:gridCol w:w="4320"/>
      </w:tblGrid>
      <w:tr>
        <w:tc>
          <w:tcPr>
            <w:tcW w:type="dxa" w:w="2736"/>
          </w:tcPr>
          <w:p>
            <w:pPr>
              <w:shd w:val="clear" w:fill="EEF3F8"/>
            </w:pPr>
            <w:r/>
            <w:r>
              <w:rPr>
                <w:b/>
                <w:sz w:val="19"/>
              </w:rPr>
              <w:t>Category</w:t>
            </w:r>
          </w:p>
        </w:tc>
        <w:tc>
          <w:tcPr>
            <w:tcW w:type="dxa" w:w="6624"/>
          </w:tcPr>
          <w:p>
            <w:pPr>
              <w:shd w:val="clear" w:fill="EEF3F8"/>
            </w:pPr>
            <w:r/>
            <w:r>
              <w:rPr>
                <w:b/>
                <w:sz w:val="19"/>
              </w:rPr>
              <w:t>Counted as</w:t>
            </w:r>
          </w:p>
        </w:tc>
      </w:tr>
      <w:tr>
        <w:tc>
          <w:tcPr>
            <w:tcW w:type="dxa" w:w="2736"/>
          </w:tcPr>
          <w:p>
            <w:r/>
            <w:r>
              <w:rPr>
                <w:b/>
                <w:sz w:val="19"/>
              </w:rPr>
              <w:t>Raw Material</w:t>
            </w:r>
          </w:p>
        </w:tc>
        <w:tc>
          <w:tcPr>
            <w:tcW w:type="dxa" w:w="6624"/>
          </w:tcPr>
          <w:p>
            <w:r/>
            <w:r>
              <w:rPr>
                <w:b w:val="0"/>
                <w:sz w:val="19"/>
              </w:rPr>
              <w:t>Production — consumed into the process</w:t>
            </w:r>
          </w:p>
        </w:tc>
      </w:tr>
      <w:tr>
        <w:tc>
          <w:tcPr>
            <w:tcW w:type="dxa" w:w="2736"/>
          </w:tcPr>
          <w:p>
            <w:r/>
            <w:r>
              <w:rPr>
                <w:b/>
                <w:sz w:val="19"/>
              </w:rPr>
              <w:t>Intermediate Material</w:t>
            </w:r>
          </w:p>
        </w:tc>
        <w:tc>
          <w:tcPr>
            <w:tcW w:type="dxa" w:w="6624"/>
          </w:tcPr>
          <w:p>
            <w:r/>
            <w:r>
              <w:rPr>
                <w:b w:val="0"/>
                <w:sz w:val="19"/>
              </w:rPr>
              <w:t>Production — part-processed material such as raw mix or clinker</w:t>
            </w:r>
          </w:p>
        </w:tc>
      </w:tr>
      <w:tr>
        <w:tc>
          <w:tcPr>
            <w:tcW w:type="dxa" w:w="2736"/>
          </w:tcPr>
          <w:p>
            <w:r/>
            <w:r>
              <w:rPr>
                <w:b/>
                <w:sz w:val="19"/>
              </w:rPr>
              <w:t>Finished Goods</w:t>
            </w:r>
          </w:p>
        </w:tc>
        <w:tc>
          <w:tcPr>
            <w:tcW w:type="dxa" w:w="6624"/>
          </w:tcPr>
          <w:p>
            <w:r/>
            <w:r>
              <w:rPr>
                <w:b w:val="0"/>
                <w:sz w:val="19"/>
              </w:rPr>
              <w:t>Production — drawn from finished product, for packing or despatch</w:t>
            </w:r>
          </w:p>
        </w:tc>
      </w:tr>
      <w:tr>
        <w:tc>
          <w:tcPr>
            <w:tcW w:type="dxa" w:w="2736"/>
          </w:tcPr>
          <w:p>
            <w:r/>
            <w:r>
              <w:rPr>
                <w:b/>
                <w:sz w:val="19"/>
              </w:rPr>
              <w:t>Spare / Maintenance</w:t>
            </w:r>
          </w:p>
        </w:tc>
        <w:tc>
          <w:tcPr>
            <w:tcW w:type="dxa" w:w="6624"/>
          </w:tcPr>
          <w:p>
            <w:r/>
            <w:r>
              <w:rPr>
                <w:b w:val="0"/>
                <w:sz w:val="19"/>
              </w:rPr>
              <w:t>Production — consumed on maintenance work, costed to a plant asset</w:t>
            </w:r>
          </w:p>
        </w:tc>
      </w:tr>
      <w:tr>
        <w:tc>
          <w:tcPr>
            <w:tcW w:type="dxa" w:w="2736"/>
          </w:tcPr>
          <w:p>
            <w:r/>
            <w:r>
              <w:rPr>
                <w:b/>
                <w:sz w:val="19"/>
              </w:rPr>
              <w:t>Expired</w:t>
            </w:r>
          </w:p>
        </w:tc>
        <w:tc>
          <w:tcPr>
            <w:tcW w:type="dxa" w:w="6624"/>
          </w:tcPr>
          <w:p>
            <w:r/>
            <w:r>
              <w:rPr>
                <w:b w:val="0"/>
                <w:sz w:val="19"/>
              </w:rPr>
              <w:t>Loss — written off because the material passed its expiry date</w:t>
            </w:r>
          </w:p>
        </w:tc>
      </w:tr>
      <w:tr>
        <w:tc>
          <w:tcPr>
            <w:tcW w:type="dxa" w:w="2736"/>
          </w:tcPr>
          <w:p>
            <w:r/>
            <w:r>
              <w:rPr>
                <w:b/>
                <w:sz w:val="19"/>
              </w:rPr>
              <w:t>Wasted</w:t>
            </w:r>
          </w:p>
        </w:tc>
        <w:tc>
          <w:tcPr>
            <w:tcW w:type="dxa" w:w="6624"/>
          </w:tcPr>
          <w:p>
            <w:r/>
            <w:r>
              <w:rPr>
                <w:b w:val="0"/>
                <w:sz w:val="19"/>
              </w:rPr>
              <w:t>Loss — spillage, contamination or damage, recorded as such</w:t>
            </w:r>
          </w:p>
        </w:tc>
      </w:tr>
      <w:tr>
        <w:tc>
          <w:tcPr>
            <w:tcW w:type="dxa" w:w="2736"/>
          </w:tcPr>
          <w:p>
            <w:r/>
            <w:r>
              <w:rPr>
                <w:b/>
                <w:sz w:val="19"/>
              </w:rPr>
              <w:t>Unaccounted</w:t>
            </w:r>
          </w:p>
        </w:tc>
        <w:tc>
          <w:tcPr>
            <w:tcW w:type="dxa" w:w="6624"/>
          </w:tcPr>
          <w:p>
            <w:r/>
            <w:r>
              <w:rPr>
                <w:b w:val="0"/>
                <w:sz w:val="19"/>
              </w:rPr>
              <w:t>Loss — a reconciliation difference with no identified cause</w:t>
            </w:r>
          </w:p>
        </w:tc>
      </w:tr>
    </w:tbl>
    <w:p>
      <w:pPr>
        <w:spacing w:after="0"/>
      </w:pPr>
    </w:p>
    <w:p>
      <w:pPr>
        <w:spacing w:after="120"/>
      </w:pPr>
      <w:r>
        <w:rPr>
          <w:i w:val="0"/>
          <w:sz w:val="21"/>
        </w:rPr>
        <w:t>The category is suggested from the material's group and can always be changed by the operator. Losses are never counted as production.</w:t>
      </w:r>
    </w:p>
    <w:p>
      <w:pPr>
        <w:pStyle w:val="Heading2"/>
      </w:pPr>
      <w:r>
        <w:t>Spares and bad-actor assets</w:t>
      </w:r>
    </w:p>
    <w:p>
      <w:pPr>
        <w:pStyle w:val="ListBullet"/>
        <w:spacing w:after="60"/>
      </w:pPr>
      <w:r>
        <w:rPr>
          <w:b w:val="0"/>
          <w:sz w:val="21"/>
        </w:rPr>
        <w:t xml:space="preserve">A spare or maintenance draw must name the </w:t>
      </w:r>
      <w:r>
        <w:rPr>
          <w:b/>
          <w:sz w:val="21"/>
        </w:rPr>
        <w:t>plant asset</w:t>
      </w:r>
      <w:r>
        <w:rPr>
          <w:b w:val="0"/>
          <w:sz w:val="21"/>
        </w:rPr>
        <w:t xml:space="preserve"> it is consumed against. Without it the cost has nowhere to land, so the form requires it and the system refuses the draw — repeat consumers surface instead of disappearing into a general overhead.</w:t>
      </w:r>
    </w:p>
    <w:p>
      <w:pPr>
        <w:pStyle w:val="ListBullet"/>
        <w:spacing w:after="60"/>
      </w:pPr>
      <w:r>
        <w:rPr>
          <w:b w:val="0"/>
          <w:sz w:val="21"/>
        </w:rPr>
        <w:t>The asset list is the plant equipment the twin already models, so the cost lands on the same asset the user can click on the map.</w:t>
      </w:r>
    </w:p>
    <w:p>
      <w:pPr>
        <w:pStyle w:val="Heading1"/>
      </w:pPr>
      <w:r>
        <w:t>7. End-to-end traceability</w:t>
      </w:r>
    </w:p>
    <w:p>
      <w:pPr>
        <w:spacing w:after="120"/>
      </w:pPr>
      <w:r>
        <w:rPr>
          <w:i w:val="0"/>
          <w:sz w:val="21"/>
        </w:rPr>
        <w:t>The chain is complete and can be walked from either end. Every link is real: a link that was never recorded is shown as Not linked, and something the plant does not track is shown as Not recorded. Nothing is inferred into a link.</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PO-10250  →  IN-00047  →  QUALITY  →  LOT-00016  →  RM-AF-006 (Alternate Fuel, PILE-RM-06)</w:t>
      </w:r>
      <w:r>
        <w:br/>
      </w:r>
      <w:r>
        <w:rPr>
          <w:rFonts w:ascii="Consolas" w:hAnsi="Consolas"/>
          <w:sz w:val="18"/>
        </w:rPr>
        <w:t xml:space="preserve">        →  ISS-00027  →  CON-00058  →  TX-00045  →  3,280 MT · CRITICAL</w:t>
      </w:r>
    </w:p>
    <w:p>
      <w:pPr>
        <w:pStyle w:val="ListBullet"/>
        <w:spacing w:after="60"/>
      </w:pPr>
      <w:r>
        <w:rPr>
          <w:b/>
          <w:sz w:val="21"/>
        </w:rPr>
        <w:t>Backward</w:t>
      </w:r>
      <w:r>
        <w:rPr>
          <w:b w:val="0"/>
          <w:sz w:val="21"/>
        </w:rPr>
        <w:t xml:space="preserve"> — from a Consumption ID, Issue ID, transaction or production reference, back through inventory to the receipt and the PO.</w:t>
      </w:r>
    </w:p>
    <w:p>
      <w:pPr>
        <w:pStyle w:val="ListBullet"/>
        <w:spacing w:after="60"/>
      </w:pPr>
      <w:r>
        <w:rPr>
          <w:b/>
          <w:sz w:val="21"/>
        </w:rPr>
        <w:t>Forward</w:t>
      </w:r>
      <w:r>
        <w:rPr>
          <w:b w:val="0"/>
          <w:sz w:val="21"/>
        </w:rPr>
        <w:t xml:space="preserve"> — from a PO or Incoming ID to the issues and consumption that drew on it.</w:t>
      </w:r>
    </w:p>
    <w:p>
      <w:pPr>
        <w:pStyle w:val="ListBullet"/>
        <w:spacing w:after="60"/>
      </w:pPr>
      <w:r>
        <w:rPr>
          <w:b/>
          <w:sz w:val="21"/>
        </w:rPr>
        <w:t>Both at once</w:t>
      </w:r>
      <w:r>
        <w:rPr>
          <w:b w:val="0"/>
          <w:sz w:val="21"/>
        </w:rPr>
        <w:t xml:space="preserve"> — from an Inventory ID: where the stock came from (receipts, adjustments in) and where it went (issues, consumption, adjustments out).</w:t>
      </w:r>
    </w:p>
    <w:p>
      <w:pPr>
        <w:pStyle w:val="ListBullet"/>
        <w:spacing w:after="60"/>
      </w:pPr>
      <w:r>
        <w:rPr>
          <w:b/>
          <w:sz w:val="21"/>
        </w:rPr>
        <w:t>By lot</w:t>
      </w:r>
      <w:r>
        <w:rPr>
          <w:b w:val="0"/>
          <w:sz w:val="21"/>
        </w:rPr>
        <w:t xml:space="preserve"> — an Internal Lot ID resolves to the delivery that created it and then forward to everywhere that lot was used.</w:t>
      </w:r>
    </w:p>
    <w:p>
      <w:pPr>
        <w:pStyle w:val="ListBullet"/>
        <w:spacing w:after="60"/>
      </w:pPr>
      <w:r>
        <w:rPr>
          <w:b w:val="0"/>
          <w:sz w:val="21"/>
        </w:rPr>
        <w:t>Any transaction ID resolves to whatever explains it.</w:t>
      </w:r>
    </w:p>
    <w:p>
      <w:pPr>
        <w:pStyle w:val="ListBullet"/>
        <w:spacing w:after="60"/>
      </w:pPr>
      <w:r>
        <w:rPr>
          <w:b w:val="0"/>
          <w:sz w:val="21"/>
        </w:rPr>
        <w:t>The modules cross-link: Inventory and Incoming both open the Traceability view directly for the record in hand.</w:t>
      </w:r>
    </w:p>
    <w:p>
      <w:pPr>
        <w:spacing w:before="80" w:after="160"/>
        <w:shd w:val="clear" w:fill="FFF8E8"/>
        <w:pBdr>
          <w:top w:val="single" w:sz="6" w:space="6" w:color="E6D3A3"/>
          <w:left w:val="single" w:sz="6" w:space="6" w:color="E6D3A3"/>
          <w:bottom w:val="single" w:sz="6" w:space="6" w:color="E6D3A3"/>
          <w:right w:val="single" w:sz="6" w:space="6" w:color="E6D3A3"/>
        </w:pBdr>
      </w:pPr>
      <w:r>
        <w:rPr>
          <w:b/>
          <w:sz w:val="20"/>
        </w:rPr>
        <w:t xml:space="preserve">An honest limitation, by design.  </w:t>
      </w:r>
      <w:r>
        <w:rPr>
          <w:sz w:val="20"/>
        </w:rPr>
        <w:t>Stockpiles blend deliveries and are not lot-tracked. An issue is linked to a specific receipt only when the operator records that origin; otherwise the receipts into that inventory record are listed as possible origins and labelled as such.</w:t>
      </w:r>
    </w:p>
    <w:p>
      <w:pPr>
        <w:pStyle w:val="Heading1"/>
      </w:pPr>
      <w:r>
        <w:t>8. Management view</w:t>
      </w:r>
    </w:p>
    <w:p>
      <w:pPr>
        <w:spacing w:after="120"/>
      </w:pPr>
      <w:r>
        <w:rPr>
          <w:i w:val="0"/>
          <w:sz w:val="21"/>
        </w:rPr>
        <w:t>One tab inside Inventory answers the questions a plant manager actually asks. Every figure is derived from the same records the operational screens use — nothing is stored twice, and a figure with no basis is shown as having none rather than filled in.</w:t>
      </w:r>
    </w:p>
    <w:tbl>
      <w:tblPr>
        <w:tblStyle w:val="TableGrid"/>
        <w:tblW w:type="auto" w:w="0"/>
        <w:tblLook w:firstColumn="1" w:firstRow="1" w:lastColumn="0" w:lastRow="0" w:noHBand="0" w:noVBand="1" w:val="04A0"/>
      </w:tblPr>
      <w:tblGrid>
        <w:gridCol w:w="4320"/>
        <w:gridCol w:w="4320"/>
      </w:tblGrid>
      <w:tr>
        <w:tc>
          <w:tcPr>
            <w:tcW w:type="dxa" w:w="2736"/>
          </w:tcPr>
          <w:p>
            <w:pPr>
              <w:shd w:val="clear" w:fill="EEF3F8"/>
            </w:pPr>
            <w:r/>
            <w:r>
              <w:rPr>
                <w:b/>
                <w:sz w:val="19"/>
              </w:rPr>
              <w:t>Question</w:t>
            </w:r>
          </w:p>
        </w:tc>
        <w:tc>
          <w:tcPr>
            <w:tcW w:type="dxa" w:w="6624"/>
          </w:tcPr>
          <w:p>
            <w:pPr>
              <w:shd w:val="clear" w:fill="EEF3F8"/>
            </w:pPr>
            <w:r/>
            <w:r>
              <w:rPr>
                <w:b/>
                <w:sz w:val="19"/>
              </w:rPr>
              <w:t>How it is answered</w:t>
            </w:r>
          </w:p>
        </w:tc>
      </w:tr>
      <w:tr>
        <w:tc>
          <w:tcPr>
            <w:tcW w:type="dxa" w:w="2736"/>
          </w:tcPr>
          <w:p>
            <w:r/>
            <w:r>
              <w:rPr>
                <w:b/>
                <w:sz w:val="19"/>
              </w:rPr>
              <w:t>What is the inventory worth?</w:t>
            </w:r>
          </w:p>
        </w:tc>
        <w:tc>
          <w:tcPr>
            <w:tcW w:type="dxa" w:w="6624"/>
          </w:tcPr>
          <w:p>
            <w:r/>
            <w:r>
              <w:rPr>
                <w:b w:val="0"/>
                <w:sz w:val="19"/>
              </w:rPr>
              <w:t>Quantity × the material's standard cost. Materials without a cost are counted as unvalued and said so, not guessed.</w:t>
            </w:r>
          </w:p>
        </w:tc>
      </w:tr>
      <w:tr>
        <w:tc>
          <w:tcPr>
            <w:tcW w:type="dxa" w:w="2736"/>
          </w:tcPr>
          <w:p>
            <w:r/>
            <w:r>
              <w:rPr>
                <w:b/>
                <w:sz w:val="19"/>
              </w:rPr>
              <w:t>What is critical?</w:t>
            </w:r>
          </w:p>
        </w:tc>
        <w:tc>
          <w:tcPr>
            <w:tcW w:type="dxa" w:w="6624"/>
          </w:tcPr>
          <w:p>
            <w:r/>
            <w:r>
              <w:rPr>
                <w:b w:val="0"/>
                <w:sz w:val="19"/>
              </w:rPr>
              <w:t>Every balance at or below its grade minimum, with days of cover at the observed consumption rate.</w:t>
            </w:r>
          </w:p>
        </w:tc>
      </w:tr>
      <w:tr>
        <w:tc>
          <w:tcPr>
            <w:tcW w:type="dxa" w:w="2736"/>
          </w:tcPr>
          <w:p>
            <w:r/>
            <w:r>
              <w:rPr>
                <w:b/>
                <w:sz w:val="19"/>
              </w:rPr>
              <w:t>Can we run the plan?</w:t>
            </w:r>
          </w:p>
        </w:tc>
        <w:tc>
          <w:tcPr>
            <w:tcW w:type="dxa" w:w="6624"/>
          </w:tcPr>
          <w:p>
            <w:r/>
            <w:r>
              <w:rPr>
                <w:b w:val="0"/>
                <w:sz w:val="19"/>
              </w:rPr>
              <w:t>Production plan quantity × bill of materials against stock on hand, per material, with the shortfall and the coverage of the tightest material.</w:t>
            </w:r>
          </w:p>
        </w:tc>
      </w:tr>
      <w:tr>
        <w:tc>
          <w:tcPr>
            <w:tcW w:type="dxa" w:w="2736"/>
          </w:tcPr>
          <w:p>
            <w:r/>
            <w:r>
              <w:rPr>
                <w:b/>
                <w:sz w:val="19"/>
              </w:rPr>
              <w:t>What is about to expire?</w:t>
            </w:r>
          </w:p>
        </w:tc>
        <w:tc>
          <w:tcPr>
            <w:tcW w:type="dxa" w:w="6624"/>
          </w:tcPr>
          <w:p>
            <w:r/>
            <w:r>
              <w:rPr>
                <w:b w:val="0"/>
                <w:sz w:val="19"/>
              </w:rPr>
              <w:t>Stock and lots that carry an expiry date, soonest first, with days remaining or days overdue.</w:t>
            </w:r>
          </w:p>
        </w:tc>
      </w:tr>
      <w:tr>
        <w:tc>
          <w:tcPr>
            <w:tcW w:type="dxa" w:w="2736"/>
          </w:tcPr>
          <w:p>
            <w:r/>
            <w:r>
              <w:rPr>
                <w:b/>
                <w:sz w:val="19"/>
              </w:rPr>
              <w:t>What are we consuming?</w:t>
            </w:r>
          </w:p>
        </w:tc>
        <w:tc>
          <w:tcPr>
            <w:tcW w:type="dxa" w:w="6624"/>
          </w:tcPr>
          <w:p>
            <w:r/>
            <w:r>
              <w:rPr>
                <w:b w:val="0"/>
                <w:sz w:val="19"/>
              </w:rPr>
              <w:t>Net consumption by category over the last seven days, production separated from loss.</w:t>
            </w:r>
          </w:p>
        </w:tc>
      </w:tr>
      <w:tr>
        <w:tc>
          <w:tcPr>
            <w:tcW w:type="dxa" w:w="2736"/>
          </w:tcPr>
          <w:p>
            <w:r/>
            <w:r>
              <w:rPr>
                <w:b/>
                <w:sz w:val="19"/>
              </w:rPr>
              <w:t>How full is the plant?</w:t>
            </w:r>
          </w:p>
        </w:tc>
        <w:tc>
          <w:tcPr>
            <w:tcW w:type="dxa" w:w="6624"/>
          </w:tcPr>
          <w:p>
            <w:r/>
            <w:r>
              <w:rPr>
                <w:b w:val="0"/>
                <w:sz w:val="19"/>
              </w:rPr>
              <w:t>Stock on hand against each location's registered capacity.</w:t>
            </w:r>
          </w:p>
        </w:tc>
      </w:tr>
    </w:tbl>
    <w:p>
      <w:pPr>
        <w:spacing w:after="0"/>
      </w:pPr>
    </w:p>
    <w:p>
      <w:pPr>
        <w:pStyle w:val="Heading2"/>
      </w:pPr>
      <w:r>
        <w:t>Days of inventory</w:t>
      </w:r>
    </w:p>
    <w:p>
      <w:pPr>
        <w:spacing w:before="80" w:after="160"/>
        <w:ind w:left="173"/>
        <w:shd w:val="clear" w:fill="F1F5F9"/>
        <w:pBdr>
          <w:top w:val="single" w:sz="6" w:space="6" w:color="C9D4DE"/>
          <w:left w:val="single" w:sz="6" w:space="6" w:color="C9D4DE"/>
          <w:bottom w:val="single" w:sz="6" w:space="6" w:color="C9D4DE"/>
          <w:right w:val="single" w:sz="6" w:space="6" w:color="C9D4DE"/>
        </w:pBdr>
      </w:pPr>
      <w:r>
        <w:rPr>
          <w:rFonts w:ascii="Consolas" w:hAnsi="Consolas"/>
          <w:sz w:val="18"/>
        </w:rPr>
        <w:t>days of cover  =  quantity  ÷  (consumed in window  ÷  window days)</w:t>
      </w:r>
    </w:p>
    <w:p>
      <w:pPr>
        <w:spacing w:after="120"/>
      </w:pPr>
      <w:r>
        <w:rPr>
          <w:i w:val="0"/>
          <w:sz w:val="21"/>
        </w:rPr>
        <w:t>Where nothing has been consumed there is no rate, so the figure reads No consumption rather than an invented number.</w:t>
      </w:r>
    </w:p>
    <w:p>
      <w:pPr>
        <w:spacing w:before="80" w:after="160"/>
        <w:shd w:val="clear" w:fill="FFF8E8"/>
        <w:pBdr>
          <w:top w:val="single" w:sz="6" w:space="6" w:color="E6D3A3"/>
          <w:left w:val="single" w:sz="6" w:space="6" w:color="E6D3A3"/>
          <w:bottom w:val="single" w:sz="6" w:space="6" w:color="E6D3A3"/>
          <w:right w:val="single" w:sz="6" w:space="6" w:color="E6D3A3"/>
        </w:pBdr>
      </w:pPr>
      <w:r>
        <w:rPr>
          <w:b/>
          <w:sz w:val="20"/>
        </w:rPr>
        <w:t xml:space="preserve">Plans and recipes are configured demo data.  </w:t>
      </w:r>
      <w:r>
        <w:rPr>
          <w:sz w:val="20"/>
        </w:rPr>
        <w:t>Boral has supplied neither a production plan nor a bill of materials. A cement recipe taken from a textbook and presented as Berrima's would be a fabricated fact, so the plans and recipes are declared as configuration. The arithmetic is real; the inputs are labelled.</w:t>
      </w:r>
    </w:p>
    <w:p>
      <w:pPr>
        <w:pStyle w:val="Heading1"/>
      </w:pPr>
      <w:r>
        <w:t>9. Rules the plant can change</w:t>
      </w:r>
    </w:p>
    <w:p>
      <w:pPr>
        <w:spacing w:after="120"/>
      </w:pPr>
      <w:r>
        <w:rPr>
          <w:i w:val="0"/>
          <w:sz w:val="21"/>
        </w:rPr>
        <w:t>Where the specification left a decision to Berrima's process, it is configuration (src/config/issue-process.ts), not an assumption baked into the workflow. Each record also captures the settings in force when it was created, so changing a setting never rewrites history.</w:t>
      </w:r>
    </w:p>
    <w:tbl>
      <w:tblPr>
        <w:tblStyle w:val="TableGrid"/>
        <w:tblW w:type="auto" w:w="0"/>
        <w:tblLook w:firstColumn="1" w:firstRow="1" w:lastColumn="0" w:lastRow="0" w:noHBand="0" w:noVBand="1" w:val="04A0"/>
      </w:tblPr>
      <w:tblGrid>
        <w:gridCol w:w="2880"/>
        <w:gridCol w:w="2880"/>
        <w:gridCol w:w="2880"/>
      </w:tblGrid>
      <w:tr>
        <w:tc>
          <w:tcPr>
            <w:tcW w:type="dxa" w:w="2736"/>
          </w:tcPr>
          <w:p>
            <w:pPr>
              <w:shd w:val="clear" w:fill="EEF3F8"/>
            </w:pPr>
            <w:r/>
            <w:r>
              <w:rPr>
                <w:b/>
                <w:sz w:val="19"/>
              </w:rPr>
              <w:t>Setting</w:t>
            </w:r>
          </w:p>
        </w:tc>
        <w:tc>
          <w:tcPr>
            <w:tcW w:type="dxa" w:w="2016"/>
          </w:tcPr>
          <w:p>
            <w:pPr>
              <w:shd w:val="clear" w:fill="EEF3F8"/>
            </w:pPr>
            <w:r/>
            <w:r>
              <w:rPr>
                <w:b/>
                <w:sz w:val="19"/>
              </w:rPr>
              <w:t>Current</w:t>
            </w:r>
          </w:p>
        </w:tc>
        <w:tc>
          <w:tcPr>
            <w:tcW w:type="dxa" w:w="4608"/>
          </w:tcPr>
          <w:p>
            <w:pPr>
              <w:shd w:val="clear" w:fill="EEF3F8"/>
            </w:pPr>
            <w:r/>
            <w:r>
              <w:rPr>
                <w:b/>
                <w:sz w:val="19"/>
              </w:rPr>
              <w:t>Notes</w:t>
            </w:r>
          </w:p>
        </w:tc>
      </w:tr>
      <w:tr>
        <w:tc>
          <w:tcPr>
            <w:tcW w:type="dxa" w:w="2736"/>
          </w:tcPr>
          <w:p>
            <w:r/>
            <w:r>
              <w:rPr>
                <w:b w:val="0"/>
                <w:sz w:val="19"/>
              </w:rPr>
              <w:t>Stock-posting point</w:t>
            </w:r>
          </w:p>
        </w:tc>
        <w:tc>
          <w:tcPr>
            <w:tcW w:type="dxa" w:w="2016"/>
          </w:tcPr>
          <w:p>
            <w:r/>
            <w:r>
              <w:rPr>
                <w:b w:val="0"/>
                <w:sz w:val="19"/>
              </w:rPr>
              <w:t>At consumption</w:t>
            </w:r>
          </w:p>
        </w:tc>
        <w:tc>
          <w:tcPr>
            <w:tcW w:type="dxa" w:w="4608"/>
          </w:tcPr>
          <w:p>
            <w:r/>
            <w:r>
              <w:rPr>
                <w:b w:val="0"/>
                <w:sz w:val="19"/>
              </w:rPr>
              <w:t>Posting at issue is fully supported and tested — the alternative was run end to end.</w:t>
            </w:r>
          </w:p>
        </w:tc>
      </w:tr>
      <w:tr>
        <w:tc>
          <w:tcPr>
            <w:tcW w:type="dxa" w:w="2736"/>
          </w:tcPr>
          <w:p>
            <w:r/>
            <w:r>
              <w:rPr>
                <w:b w:val="0"/>
                <w:sz w:val="19"/>
              </w:rPr>
              <w:t>Approval before issue</w:t>
            </w:r>
          </w:p>
        </w:tc>
        <w:tc>
          <w:tcPr>
            <w:tcW w:type="dxa" w:w="2016"/>
          </w:tcPr>
          <w:p>
            <w:r/>
            <w:r>
              <w:rPr>
                <w:b w:val="0"/>
                <w:sz w:val="19"/>
              </w:rPr>
              <w:t>Not required</w:t>
            </w:r>
          </w:p>
        </w:tc>
        <w:tc>
          <w:tcPr>
            <w:tcW w:type="dxa" w:w="4608"/>
          </w:tcPr>
          <w:p>
            <w:r/>
            <w:r>
              <w:rPr>
                <w:b w:val="0"/>
                <w:sz w:val="19"/>
              </w:rPr>
              <w:t>When enabled the flow becomes Requested → Approved → Issued.</w:t>
            </w:r>
          </w:p>
        </w:tc>
      </w:tr>
      <w:tr>
        <w:tc>
          <w:tcPr>
            <w:tcW w:type="dxa" w:w="2736"/>
          </w:tcPr>
          <w:p>
            <w:r/>
            <w:r>
              <w:rPr>
                <w:b w:val="0"/>
                <w:sz w:val="19"/>
              </w:rPr>
              <w:t>Over-consumption</w:t>
            </w:r>
          </w:p>
        </w:tc>
        <w:tc>
          <w:tcPr>
            <w:tcW w:type="dxa" w:w="2016"/>
          </w:tcPr>
          <w:p>
            <w:r/>
            <w:r>
              <w:rPr>
                <w:b w:val="0"/>
                <w:sz w:val="19"/>
              </w:rPr>
              <w:t>Refused</w:t>
            </w:r>
          </w:p>
        </w:tc>
        <w:tc>
          <w:tcPr>
            <w:tcW w:type="dxa" w:w="4608"/>
          </w:tcPr>
          <w:p>
            <w:r/>
            <w:r>
              <w:rPr>
                <w:b w:val="0"/>
                <w:sz w:val="19"/>
              </w:rPr>
              <w:t>Consuming more than was issued is blocked unless a rule permits it.</w:t>
            </w:r>
          </w:p>
        </w:tc>
      </w:tr>
      <w:tr>
        <w:tc>
          <w:tcPr>
            <w:tcW w:type="dxa" w:w="2736"/>
          </w:tcPr>
          <w:p>
            <w:r/>
            <w:r>
              <w:rPr>
                <w:b w:val="0"/>
                <w:sz w:val="19"/>
              </w:rPr>
              <w:t>Shift recording</w:t>
            </w:r>
          </w:p>
        </w:tc>
        <w:tc>
          <w:tcPr>
            <w:tcW w:type="dxa" w:w="2016"/>
          </w:tcPr>
          <w:p>
            <w:r/>
            <w:r>
              <w:rPr>
                <w:b w:val="0"/>
                <w:sz w:val="19"/>
              </w:rPr>
              <w:t>Not configured</w:t>
            </w:r>
          </w:p>
        </w:tc>
        <w:tc>
          <w:tcPr>
            <w:tcW w:type="dxa" w:w="4608"/>
          </w:tcPr>
          <w:p>
            <w:r/>
            <w:r>
              <w:rPr>
                <w:b w:val="0"/>
                <w:sz w:val="19"/>
              </w:rPr>
              <w:t>The application has no shift structure, so none was invented.</w:t>
            </w:r>
          </w:p>
        </w:tc>
      </w:tr>
      <w:tr>
        <w:tc>
          <w:tcPr>
            <w:tcW w:type="dxa" w:w="2736"/>
          </w:tcPr>
          <w:p>
            <w:r/>
            <w:r>
              <w:rPr>
                <w:b w:val="0"/>
                <w:sz w:val="19"/>
              </w:rPr>
              <w:t>Quality parameters</w:t>
            </w:r>
          </w:p>
        </w:tc>
        <w:tc>
          <w:tcPr>
            <w:tcW w:type="dxa" w:w="2016"/>
          </w:tcPr>
          <w:p>
            <w:r/>
            <w:r>
              <w:rPr>
                <w:b w:val="0"/>
                <w:sz w:val="19"/>
              </w:rPr>
              <w:t>Registered per grade</w:t>
            </w:r>
          </w:p>
        </w:tc>
        <w:tc>
          <w:tcPr>
            <w:tcW w:type="dxa" w:w="4608"/>
          </w:tcPr>
          <w:p>
            <w:r/>
            <w:r>
              <w:rPr>
                <w:b w:val="0"/>
                <w:sz w:val="19"/>
              </w:rPr>
              <w:t>Each grade carries its own; a delivery is judged against them. A grade with none stays PASS/FAIL with notes.</w:t>
            </w:r>
          </w:p>
        </w:tc>
      </w:tr>
      <w:tr>
        <w:tc>
          <w:tcPr>
            <w:tcW w:type="dxa" w:w="2736"/>
          </w:tcPr>
          <w:p>
            <w:r/>
            <w:r>
              <w:rPr>
                <w:b w:val="0"/>
                <w:sz w:val="19"/>
              </w:rPr>
              <w:t>Returns</w:t>
            </w:r>
          </w:p>
        </w:tc>
        <w:tc>
          <w:tcPr>
            <w:tcW w:type="dxa" w:w="2016"/>
          </w:tcPr>
          <w:p>
            <w:r/>
            <w:r>
              <w:rPr>
                <w:b w:val="0"/>
                <w:sz w:val="19"/>
              </w:rPr>
              <w:t>Allowed while unaccounted</w:t>
            </w:r>
          </w:p>
        </w:tc>
        <w:tc>
          <w:tcPr>
            <w:tcW w:type="dxa" w:w="4608"/>
          </w:tcPr>
          <w:p>
            <w:r/>
            <w:r>
              <w:rPr>
                <w:b w:val="0"/>
                <w:sz w:val="19"/>
              </w:rPr>
              <w:t>A return posts back as its own transaction and can never exceed the outstanding quantity.</w:t>
            </w:r>
          </w:p>
        </w:tc>
      </w:tr>
      <w:tr>
        <w:tc>
          <w:tcPr>
            <w:tcW w:type="dxa" w:w="2736"/>
          </w:tcPr>
          <w:p>
            <w:r/>
            <w:r>
              <w:rPr>
                <w:b w:val="0"/>
                <w:sz w:val="19"/>
              </w:rPr>
              <w:t>Spare costing</w:t>
            </w:r>
          </w:p>
        </w:tc>
        <w:tc>
          <w:tcPr>
            <w:tcW w:type="dxa" w:w="2016"/>
          </w:tcPr>
          <w:p>
            <w:r/>
            <w:r>
              <w:rPr>
                <w:b w:val="0"/>
                <w:sz w:val="19"/>
              </w:rPr>
              <w:t>Asset required</w:t>
            </w:r>
          </w:p>
        </w:tc>
        <w:tc>
          <w:tcPr>
            <w:tcW w:type="dxa" w:w="4608"/>
          </w:tcPr>
          <w:p>
            <w:r/>
            <w:r>
              <w:rPr>
                <w:b w:val="0"/>
                <w:sz w:val="19"/>
              </w:rPr>
              <w:t>A maintenance draw must name the plant asset it is consumed against.</w:t>
            </w:r>
          </w:p>
        </w:tc>
      </w:tr>
    </w:tbl>
    <w:p>
      <w:pPr>
        <w:spacing w:after="0"/>
      </w:pPr>
    </w:p>
    <w:p>
      <w:pPr>
        <w:pStyle w:val="Heading1"/>
      </w:pPr>
      <w:r>
        <w:t>10. Data honesty</w:t>
      </w:r>
    </w:p>
    <w:p>
      <w:pPr>
        <w:pStyle w:val="ListBullet"/>
        <w:spacing w:after="60"/>
      </w:pPr>
      <w:r>
        <w:rPr>
          <w:b w:val="0"/>
          <w:sz w:val="21"/>
        </w:rPr>
        <w:t xml:space="preserve">Every quantity is </w:t>
      </w:r>
      <w:r>
        <w:rPr>
          <w:b/>
          <w:sz w:val="21"/>
        </w:rPr>
        <w:t>Demo / Simulated</w:t>
      </w:r>
      <w:r>
        <w:rPr>
          <w:b w:val="0"/>
          <w:sz w:val="21"/>
        </w:rPr>
        <w:t xml:space="preserve"> and labelled as such: Boral has supplied no stock figures. There is no second source of truth, and connecting the real inventory system replaces the seed without touching the workflow.</w:t>
      </w:r>
    </w:p>
    <w:p>
      <w:pPr>
        <w:pStyle w:val="ListBullet"/>
        <w:spacing w:after="60"/>
      </w:pPr>
      <w:r>
        <w:rPr>
          <w:b w:val="0"/>
          <w:sz w:val="21"/>
        </w:rPr>
        <w:t xml:space="preserve">Asset positions are read from satellite imagery and shown as </w:t>
      </w:r>
      <w:r>
        <w:rPr>
          <w:b/>
          <w:sz w:val="21"/>
        </w:rPr>
        <w:t>Approximate</w:t>
      </w:r>
      <w:r>
        <w:rPr>
          <w:b w:val="0"/>
          <w:sz w:val="21"/>
        </w:rPr>
        <w:t>. Nothing is marked verified, because no survey or client coordinates exist yet.</w:t>
      </w:r>
    </w:p>
    <w:p>
      <w:pPr>
        <w:pStyle w:val="ListBullet"/>
        <w:spacing w:after="60"/>
      </w:pPr>
      <w:r>
        <w:rPr>
          <w:b w:val="0"/>
          <w:sz w:val="21"/>
        </w:rPr>
        <w:t>Cement Silos 1–3 are demo objects, stated as configuration rather than Boral fact.</w:t>
      </w:r>
    </w:p>
    <w:p>
      <w:pPr>
        <w:pStyle w:val="ListBullet"/>
        <w:spacing w:after="60"/>
      </w:pPr>
      <w:r>
        <w:rPr>
          <w:b w:val="0"/>
          <w:sz w:val="21"/>
        </w:rPr>
        <w:t>Berrima's single kiln (No. 6) is represented as one kiln. No fictitious equipment has been added.</w:t>
      </w:r>
    </w:p>
    <w:p>
      <w:pPr>
        <w:pStyle w:val="ListBullet"/>
        <w:spacing w:after="60"/>
      </w:pPr>
      <w:r>
        <w:rPr>
          <w:b w:val="0"/>
          <w:sz w:val="21"/>
        </w:rPr>
        <w:t xml:space="preserve">The seeded history is </w:t>
      </w:r>
      <w:r>
        <w:rPr>
          <w:b/>
          <w:sz w:val="21"/>
        </w:rPr>
        <w:t>composed, not typed in</w:t>
      </w:r>
      <w:r>
        <w:rPr>
          <w:b w:val="0"/>
          <w:sz w:val="21"/>
        </w:rPr>
        <w:t>: opening balances plus every seeded receipt, issue and consumption replay through the ledger to today's figures. A seeded balance therefore traces exactly like a live one.</w:t>
      </w:r>
    </w:p>
    <w:p>
      <w:pPr>
        <w:pStyle w:val="ListBullet"/>
        <w:spacing w:after="60"/>
      </w:pPr>
      <w:r>
        <w:rPr>
          <w:b w:val="0"/>
          <w:sz w:val="21"/>
        </w:rPr>
        <w:t>Demo content: 11 materials, 11 grades, 16 locations, 13 inventory records, 43 ledger transactions, 16 internal lots, 34 deliveries (16 received), 24 issues (15 consumed), 40 purchase orders, 24 plant assets.</w:t>
      </w:r>
    </w:p>
    <w:p>
      <w:pPr>
        <w:pStyle w:val="ListBullet"/>
        <w:spacing w:after="60"/>
      </w:pPr>
      <w:r>
        <w:rPr>
          <w:b/>
          <w:sz w:val="21"/>
        </w:rPr>
        <w:t>Grades, stock levels and quality specifications are configured demo data.</w:t>
      </w:r>
      <w:r>
        <w:rPr>
          <w:b w:val="0"/>
          <w:sz w:val="21"/>
        </w:rPr>
        <w:t xml:space="preserve"> Boral has supplied no material master, so registering the real masters replaces the seed without touching the workflow.</w:t>
      </w:r>
    </w:p>
    <w:p>
      <w:pPr>
        <w:pStyle w:val="ListBullet"/>
        <w:spacing w:after="60"/>
      </w:pPr>
      <w:r>
        <w:rPr>
          <w:b/>
          <w:sz w:val="21"/>
        </w:rPr>
        <w:t>Production plans and bills of materials are declared as configuration</w:t>
      </w:r>
      <w:r>
        <w:rPr>
          <w:b w:val="0"/>
          <w:sz w:val="21"/>
        </w:rPr>
        <w:t>, not presented as Berrima's recipes.</w:t>
      </w:r>
    </w:p>
    <w:p>
      <w:pPr>
        <w:pStyle w:val="ListBullet"/>
        <w:spacing w:after="60"/>
      </w:pPr>
      <w:r>
        <w:rPr>
          <w:b/>
          <w:sz w:val="21"/>
        </w:rPr>
        <w:t>A stockpile balance is not tagged with a single lot.</w:t>
      </w:r>
      <w:r>
        <w:rPr>
          <w:b w:val="0"/>
          <w:sz w:val="21"/>
        </w:rPr>
        <w:t xml:space="preserve"> Piles blend deliveries; claiming one lot for a blended pile would be false, so the lot stays on the transactions that moved it.</w:t>
      </w:r>
    </w:p>
    <w:p>
      <w:pPr>
        <w:spacing w:before="80" w:after="160"/>
        <w:shd w:val="clear" w:fill="FFF8E8"/>
        <w:pBdr>
          <w:top w:val="single" w:sz="6" w:space="6" w:color="E6D3A3"/>
          <w:left w:val="single" w:sz="6" w:space="6" w:color="E6D3A3"/>
          <w:bottom w:val="single" w:sz="6" w:space="6" w:color="E6D3A3"/>
          <w:right w:val="single" w:sz="6" w:space="6" w:color="E6D3A3"/>
        </w:pBdr>
      </w:pPr>
      <w:r>
        <w:rPr>
          <w:b/>
          <w:sz w:val="20"/>
        </w:rPr>
        <w:t xml:space="preserve">Removed during this work:  </w:t>
      </w:r>
      <w:r>
        <w:rPr>
          <w:sz w:val="20"/>
        </w:rPr>
        <w:t>the demo's live feed used to nudge stock quantities every few seconds. That produced inventory movement with no transaction behind it, so it was taken out — there is now no unexplained change to any balance.</w:t>
      </w:r>
    </w:p>
    <w:p>
      <w:pPr>
        <w:pStyle w:val="Heading1"/>
      </w:pPr>
      <w:r>
        <w:t>11. Interface and accessibility</w:t>
      </w:r>
    </w:p>
    <w:p>
      <w:pPr>
        <w:pStyle w:val="ListBullet"/>
        <w:spacing w:after="60"/>
      </w:pPr>
      <w:r>
        <w:rPr>
          <w:b w:val="0"/>
          <w:sz w:val="21"/>
        </w:rPr>
        <w:t>Full light and dark themes. Text contrast was audited automatically on every screen and dialog in both themes and meets the WCAG AA minimum.</w:t>
      </w:r>
    </w:p>
    <w:p>
      <w:pPr>
        <w:pStyle w:val="ListBullet"/>
        <w:spacing w:after="60"/>
      </w:pPr>
      <w:r>
        <w:rPr>
          <w:b w:val="0"/>
          <w:sz w:val="21"/>
        </w:rPr>
        <w:t>Status is never colour alone — always colour plus a dot or icon plus the word.</w:t>
      </w:r>
    </w:p>
    <w:p>
      <w:pPr>
        <w:pStyle w:val="ListBullet"/>
        <w:spacing w:after="60"/>
      </w:pPr>
      <w:r>
        <w:rPr>
          <w:b w:val="0"/>
          <w:sz w:val="21"/>
        </w:rPr>
        <w:t xml:space="preserve">Required fields carry </w:t>
      </w:r>
      <w:r>
        <w:rPr>
          <w:b/>
          <w:sz w:val="21"/>
        </w:rPr>
        <w:t>*</w:t>
      </w:r>
      <w:r>
        <w:rPr>
          <w:b w:val="0"/>
          <w:sz w:val="21"/>
        </w:rPr>
        <w:t>; optional fields do not. Anything the system already knows is shown, not asked for.</w:t>
      </w:r>
    </w:p>
    <w:p>
      <w:pPr>
        <w:pStyle w:val="ListBullet"/>
        <w:spacing w:after="60"/>
      </w:pPr>
      <w:r>
        <w:rPr>
          <w:b w:val="0"/>
          <w:sz w:val="21"/>
        </w:rPr>
        <w:t>Operational actions happen in dialogs, so the user is never navigated away from the worklist.</w:t>
      </w:r>
    </w:p>
    <w:p>
      <w:pPr>
        <w:pStyle w:val="ListBullet"/>
        <w:spacing w:after="60"/>
      </w:pPr>
      <w:r>
        <w:rPr>
          <w:b w:val="0"/>
          <w:sz w:val="21"/>
        </w:rPr>
        <w:t>The header holds its layout from 1280 px to 1920 px: the site card never wraps into the page, and tab labels collapse to icons before anything overflows.</w:t>
      </w:r>
    </w:p>
    <w:p>
      <w:pPr>
        <w:pStyle w:val="Heading1"/>
      </w:pPr>
      <w:r>
        <w:t>12. Technology and delivery</w:t>
      </w:r>
    </w:p>
    <w:tbl>
      <w:tblPr>
        <w:tblStyle w:val="TableGrid"/>
        <w:tblW w:type="auto" w:w="0"/>
        <w:tblLook w:firstColumn="1" w:firstRow="1" w:lastColumn="0" w:lastRow="0" w:noHBand="0" w:noVBand="1" w:val="04A0"/>
      </w:tblPr>
      <w:tblGrid>
        <w:gridCol w:w="4320"/>
        <w:gridCol w:w="4320"/>
      </w:tblGrid>
      <w:tr>
        <w:tc>
          <w:tcPr>
            <w:tcW w:type="dxa" w:w="2160"/>
          </w:tcPr>
          <w:p>
            <w:pPr>
              <w:shd w:val="clear" w:fill="EEF3F8"/>
            </w:pPr>
            <w:r/>
            <w:r>
              <w:rPr>
                <w:b/>
                <w:sz w:val="19"/>
              </w:rPr>
              <w:t>Area</w:t>
            </w:r>
          </w:p>
        </w:tc>
        <w:tc>
          <w:tcPr>
            <w:tcW w:type="dxa" w:w="7200"/>
          </w:tcPr>
          <w:p>
            <w:pPr>
              <w:shd w:val="clear" w:fill="EEF3F8"/>
            </w:pPr>
            <w:r/>
            <w:r>
              <w:rPr>
                <w:b/>
                <w:sz w:val="19"/>
              </w:rPr>
              <w:t>Choice</w:t>
            </w:r>
          </w:p>
        </w:tc>
      </w:tr>
      <w:tr>
        <w:tc>
          <w:tcPr>
            <w:tcW w:type="dxa" w:w="2160"/>
          </w:tcPr>
          <w:p>
            <w:r/>
            <w:r>
              <w:rPr>
                <w:b w:val="0"/>
                <w:sz w:val="19"/>
              </w:rPr>
              <w:t>Application</w:t>
            </w:r>
          </w:p>
        </w:tc>
        <w:tc>
          <w:tcPr>
            <w:tcW w:type="dxa" w:w="7200"/>
          </w:tcPr>
          <w:p>
            <w:r/>
            <w:r>
              <w:rPr>
                <w:b w:val="0"/>
                <w:sz w:val="19"/>
              </w:rPr>
              <w:t>Next.js 16 (App Router, static export), React 19, TypeScript, Tailwind CSS v4</w:t>
            </w:r>
          </w:p>
        </w:tc>
      </w:tr>
      <w:tr>
        <w:tc>
          <w:tcPr>
            <w:tcW w:type="dxa" w:w="2160"/>
          </w:tcPr>
          <w:p>
            <w:r/>
            <w:r>
              <w:rPr>
                <w:b w:val="0"/>
                <w:sz w:val="19"/>
              </w:rPr>
              <w:t>Map</w:t>
            </w:r>
          </w:p>
        </w:tc>
        <w:tc>
          <w:tcPr>
            <w:tcW w:type="dxa" w:w="7200"/>
          </w:tcPr>
          <w:p>
            <w:r/>
            <w:r>
              <w:rPr>
                <w:b w:val="0"/>
                <w:sz w:val="19"/>
              </w:rPr>
              <w:t>Leaflet with Esri ArcGIS World Imagery, live tiles, no API key, attribution preserved; provider abstraction ready for Google Maps Platform</w:t>
            </w:r>
          </w:p>
        </w:tc>
      </w:tr>
      <w:tr>
        <w:tc>
          <w:tcPr>
            <w:tcW w:type="dxa" w:w="2160"/>
          </w:tcPr>
          <w:p>
            <w:r/>
            <w:r>
              <w:rPr>
                <w:b w:val="0"/>
                <w:sz w:val="19"/>
              </w:rPr>
              <w:t>3D</w:t>
            </w:r>
          </w:p>
        </w:tc>
        <w:tc>
          <w:tcPr>
            <w:tcW w:type="dxa" w:w="7200"/>
          </w:tcPr>
          <w:p>
            <w:r/>
            <w:r>
              <w:rPr>
                <w:b w:val="0"/>
                <w:sz w:val="19"/>
              </w:rPr>
              <w:t>Three.js with React Three Fiber and drei</w:t>
            </w:r>
          </w:p>
        </w:tc>
      </w:tr>
      <w:tr>
        <w:tc>
          <w:tcPr>
            <w:tcW w:type="dxa" w:w="2160"/>
          </w:tcPr>
          <w:p>
            <w:r/>
            <w:r>
              <w:rPr>
                <w:b w:val="0"/>
                <w:sz w:val="19"/>
              </w:rPr>
              <w:t>QR</w:t>
            </w:r>
          </w:p>
        </w:tc>
        <w:tc>
          <w:tcPr>
            <w:tcW w:type="dxa" w:w="7200"/>
          </w:tcPr>
          <w:p>
            <w:r/>
            <w:r>
              <w:rPr>
                <w:b w:val="0"/>
                <w:sz w:val="19"/>
              </w:rPr>
              <w:t>html5-qrcode for camera scanning and image decoding; qrcode for generating PO tags</w:t>
            </w:r>
          </w:p>
        </w:tc>
      </w:tr>
      <w:tr>
        <w:tc>
          <w:tcPr>
            <w:tcW w:type="dxa" w:w="2160"/>
          </w:tcPr>
          <w:p>
            <w:r/>
            <w:r>
              <w:rPr>
                <w:b w:val="0"/>
                <w:sz w:val="19"/>
              </w:rPr>
              <w:t>Site centre</w:t>
            </w:r>
          </w:p>
        </w:tc>
        <w:tc>
          <w:tcPr>
            <w:tcW w:type="dxa" w:w="7200"/>
          </w:tcPr>
          <w:p>
            <w:r/>
            <w:r>
              <w:rPr>
                <w:b w:val="0"/>
                <w:sz w:val="19"/>
              </w:rPr>
              <w:t>−34.5099, 150.3365 (the works, not Berrima township)</w:t>
            </w:r>
          </w:p>
        </w:tc>
      </w:tr>
      <w:tr>
        <w:tc>
          <w:tcPr>
            <w:tcW w:type="dxa" w:w="2160"/>
          </w:tcPr>
          <w:p>
            <w:r/>
            <w:r>
              <w:rPr>
                <w:b w:val="0"/>
                <w:sz w:val="19"/>
              </w:rPr>
              <w:t>Delivery</w:t>
            </w:r>
          </w:p>
        </w:tc>
        <w:tc>
          <w:tcPr>
            <w:tcW w:type="dxa" w:w="7200"/>
          </w:tcPr>
          <w:p>
            <w:r/>
            <w:r>
              <w:rPr>
                <w:b w:val="0"/>
                <w:sz w:val="19"/>
              </w:rPr>
              <w:t>Static export served on port 3999, published at berimatwin.iocompute.ai</w:t>
            </w:r>
          </w:p>
        </w:tc>
      </w:tr>
    </w:tbl>
    <w:p>
      <w:pPr>
        <w:spacing w:after="0"/>
      </w:pPr>
    </w:p>
    <w:p>
      <w:pPr>
        <w:pStyle w:val="Heading1"/>
      </w:pPr>
      <w:r>
        <w:t>13. Verification</w:t>
      </w:r>
    </w:p>
    <w:p>
      <w:pPr>
        <w:pStyle w:val="ListBullet"/>
        <w:spacing w:after="60"/>
      </w:pPr>
      <w:r>
        <w:rPr>
          <w:b/>
          <w:sz w:val="21"/>
        </w:rPr>
        <w:t>164 automated unit tests</w:t>
      </w:r>
      <w:r>
        <w:rPr>
          <w:b w:val="0"/>
          <w:sz w:val="21"/>
        </w:rPr>
        <w:t xml:space="preserve"> across 7 files, all passing: stock-health rules, inventory validation, ledger behaviour, seeded-history consistency (opening balance plus movements equals every balance, and no balance ever dips below zero), master-data integrity and registration rules, dynamic quality parameters, internal lots and expiry, consumption categories and net consumption, production readiness, location utilisation, issue and consumption rules, traceability in both directions, map label placement and the plant asset model.</w:t>
      </w:r>
    </w:p>
    <w:p>
      <w:pPr>
        <w:pStyle w:val="ListBullet"/>
        <w:spacing w:after="60"/>
      </w:pPr>
      <w:r>
        <w:rPr>
          <w:b/>
          <w:sz w:val="21"/>
        </w:rPr>
        <w:t>A scripted end-to-end journey in a real browser</w:t>
      </w:r>
      <w:r>
        <w:rPr>
          <w:b w:val="0"/>
          <w:sz w:val="21"/>
        </w:rPr>
        <w:t>, in light and dark: the inventory table and its two statuses, creating a record, adding and removing stock, the archive guard, the ledger, scanning a QR tag through to a posted receipt, a failed quality hold, creating and issuing material, recording consumption, and tracing the result in both directions.</w:t>
      </w:r>
    </w:p>
    <w:p>
      <w:pPr>
        <w:pStyle w:val="ListBullet"/>
        <w:spacing w:after="60"/>
      </w:pPr>
      <w:r>
        <w:rPr>
          <w:b w:val="0"/>
          <w:sz w:val="21"/>
        </w:rPr>
        <w:t>The journey confirms the numbers end to end — for example issue 75 MT, consume 70 MT, inventory falls by exactly 70 MT with a matching CONSUMPTION transaction, and 5 MT remains traceable as not yet consumed.</w:t>
      </w:r>
    </w:p>
    <w:p>
      <w:pPr>
        <w:pStyle w:val="ListBullet"/>
        <w:spacing w:after="60"/>
      </w:pPr>
      <w:r>
        <w:rPr>
          <w:b/>
          <w:sz w:val="21"/>
        </w:rPr>
        <w:t>A scripted run over the master data</w:t>
      </w:r>
      <w:r>
        <w:rPr>
          <w:b w:val="0"/>
          <w:sz w:val="21"/>
        </w:rPr>
        <w:t>, in light and dark: registering a material and a grade, adding a quality parameter the application has never seen, the refusal of a contradictory specification, the two location types, the lot chain from purchase order to inventory, and every panel of the management view.</w:t>
      </w:r>
    </w:p>
    <w:p>
      <w:pPr>
        <w:pStyle w:val="ListBullet"/>
        <w:spacing w:after="60"/>
      </w:pPr>
      <w:r>
        <w:rPr>
          <w:b/>
          <w:sz w:val="21"/>
        </w:rPr>
        <w:t>A scripted run over spares and returns</w:t>
      </w:r>
      <w:r>
        <w:rPr>
          <w:b w:val="0"/>
          <w:sz w:val="21"/>
        </w:rPr>
        <w:t>: a spare draw refused without a plant asset and accepted with one, the consumption category defaulting to Spare, stock falling only at consumption, a return refused when larger than the outstanding quantity, and the accepted return appearing in the ledger as a positive RETURN movement.</w:t>
      </w:r>
    </w:p>
    <w:p>
      <w:pPr>
        <w:pStyle w:val="Heading1"/>
      </w:pPr>
      <w:r>
        <w:t>14. Open items</w:t>
      </w:r>
    </w:p>
    <w:p>
      <w:pPr>
        <w:pStyle w:val="ListBullet"/>
        <w:spacing w:after="60"/>
      </w:pPr>
      <w:r>
        <w:rPr>
          <w:b/>
          <w:sz w:val="21"/>
        </w:rPr>
        <w:t>Not yet committed or pushed.</w:t>
      </w:r>
      <w:r>
        <w:rPr>
          <w:b w:val="0"/>
          <w:sz w:val="21"/>
        </w:rPr>
        <w:t xml:space="preserve"> The work is on the running site but not in GitHub; the token previously shared should be treated as revoked, so a fresh credential is needed to push.</w:t>
      </w:r>
    </w:p>
    <w:p>
      <w:pPr>
        <w:pStyle w:val="ListBullet"/>
        <w:spacing w:after="60"/>
      </w:pPr>
      <w:r>
        <w:rPr>
          <w:b/>
          <w:sz w:val="21"/>
        </w:rPr>
        <w:t>Integration API not connected.</w:t>
      </w:r>
      <w:r>
        <w:rPr>
          <w:b w:val="0"/>
          <w:sz w:val="21"/>
        </w:rPr>
        <w:t xml:space="preserve"> All inventory is demo data until the real inventory system is wired to the provider seam.</w:t>
      </w:r>
    </w:p>
    <w:p>
      <w:pPr>
        <w:pStyle w:val="ListBullet"/>
        <w:spacing w:after="60"/>
      </w:pPr>
      <w:r>
        <w:rPr>
          <w:b/>
          <w:sz w:val="21"/>
        </w:rPr>
        <w:t>Positions need validation.</w:t>
      </w:r>
      <w:r>
        <w:rPr>
          <w:b w:val="0"/>
          <w:sz w:val="21"/>
        </w:rPr>
        <w:t xml:space="preserve"> Every asset position, pile outline, capacity and ID should be confirmed against plant records. Cement Mill is placed from the client's annotated site image; Geocycle is deliberately not placed on the map because its location is unverified.</w:t>
      </w:r>
    </w:p>
    <w:p>
      <w:pPr>
        <w:pStyle w:val="ListBullet"/>
        <w:spacing w:after="60"/>
      </w:pPr>
      <w:r>
        <w:rPr>
          <w:b/>
          <w:sz w:val="21"/>
        </w:rPr>
        <w:t>Assets not modelled:</w:t>
      </w:r>
      <w:r>
        <w:rPr>
          <w:b w:val="0"/>
          <w:sz w:val="21"/>
        </w:rPr>
        <w:t xml:space="preserve"> Coal Mill, Ball Mill, Slag Mill and Pump House are not in the application; each needs an approximate location before it can be added.</w:t>
      </w:r>
    </w:p>
    <w:p>
      <w:pPr>
        <w:pStyle w:val="ListBullet"/>
        <w:spacing w:after="60"/>
      </w:pPr>
      <w:r>
        <w:rPr>
          <w:b/>
          <w:sz w:val="21"/>
        </w:rPr>
        <w:t>Master data needs the plant's own figures.</w:t>
      </w:r>
      <w:r>
        <w:rPr>
          <w:b w:val="0"/>
          <w:sz w:val="21"/>
        </w:rPr>
        <w:t xml:space="preserve"> Every grade's minimum, target and maximum stock, every quality parameter and limit, every location capacity and every standard cost is configured demo data awaiting Berrima's real values.</w:t>
      </w:r>
    </w:p>
    <w:p>
      <w:pPr>
        <w:pStyle w:val="ListBullet"/>
        <w:spacing w:after="60"/>
      </w:pPr>
      <w:r>
        <w:rPr>
          <w:b/>
          <w:sz w:val="21"/>
        </w:rPr>
        <w:t>Production plan and bills of materials</w:t>
      </w:r>
      <w:r>
        <w:rPr>
          <w:b w:val="0"/>
          <w:sz w:val="21"/>
        </w:rPr>
        <w:t xml:space="preserve"> should be supplied or connected before readiness figures are relied on.</w:t>
      </w:r>
    </w:p>
    <w:p>
      <w:pPr>
        <w:pStyle w:val="ListBullet"/>
        <w:spacing w:after="60"/>
      </w:pPr>
      <w:r>
        <w:rPr>
          <w:b/>
          <w:sz w:val="21"/>
        </w:rPr>
        <w:t>Decisions to confirm:</w:t>
      </w:r>
      <w:r>
        <w:rPr>
          <w:b w:val="0"/>
          <w:sz w:val="21"/>
        </w:rPr>
        <w:t xml:space="preserve"> the stock-posting point, whether issues require approval, and whether shifts are recorded.</w:t>
      </w:r>
    </w:p>
    <w:p>
      <w:pPr>
        <w:pStyle w:val="ListBullet"/>
        <w:spacing w:after="60"/>
      </w:pPr>
      <w:r>
        <w:rPr>
          <w:b w:val="0"/>
          <w:sz w:val="21"/>
        </w:rPr>
        <w:t>QR camera scanning needs an HTTPS page and camera permission; image upload and manual entry cover every other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507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F2A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