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FEE8" w14:textId="77777777" w:rsidR="00E74D29" w:rsidRDefault="00000000">
      <w:pPr>
        <w:spacing w:after="120"/>
        <w:jc w:val="center"/>
      </w:pPr>
      <w:r>
        <w:rPr>
          <w:b/>
          <w:color w:val="0F172A"/>
          <w:sz w:val="34"/>
        </w:rPr>
        <w:t>Cost-Aware Progressive Predatory Journal Detection</w:t>
      </w:r>
    </w:p>
    <w:p w14:paraId="115BEDA4" w14:textId="6BB03100" w:rsidR="00E74D29" w:rsidRDefault="00000000">
      <w:pPr>
        <w:spacing w:before="0" w:after="60"/>
        <w:jc w:val="center"/>
      </w:pPr>
      <w:r>
        <w:rPr>
          <w:b/>
          <w:color w:val="0F172A"/>
          <w:sz w:val="17"/>
        </w:rPr>
        <w:t xml:space="preserve">Dr. Swati </w:t>
      </w:r>
      <w:proofErr w:type="gramStart"/>
      <w:r>
        <w:rPr>
          <w:b/>
          <w:color w:val="0F172A"/>
          <w:sz w:val="17"/>
        </w:rPr>
        <w:t>Shinde,  Suyog</w:t>
      </w:r>
      <w:proofErr w:type="gramEnd"/>
      <w:r>
        <w:rPr>
          <w:b/>
          <w:color w:val="0F172A"/>
          <w:sz w:val="17"/>
        </w:rPr>
        <w:t xml:space="preserve"> </w:t>
      </w:r>
      <w:proofErr w:type="gramStart"/>
      <w:r>
        <w:rPr>
          <w:b/>
          <w:color w:val="0F172A"/>
          <w:sz w:val="17"/>
        </w:rPr>
        <w:t>Jadhav,  Pratik</w:t>
      </w:r>
      <w:proofErr w:type="gramEnd"/>
      <w:r>
        <w:rPr>
          <w:b/>
          <w:color w:val="0F172A"/>
          <w:sz w:val="17"/>
        </w:rPr>
        <w:t xml:space="preserve"> </w:t>
      </w:r>
      <w:proofErr w:type="gramStart"/>
      <w:r>
        <w:rPr>
          <w:b/>
          <w:color w:val="0F172A"/>
          <w:sz w:val="17"/>
        </w:rPr>
        <w:t>Jadhav,  Piyush</w:t>
      </w:r>
      <w:proofErr w:type="gramEnd"/>
      <w:r>
        <w:rPr>
          <w:b/>
          <w:color w:val="0F172A"/>
          <w:sz w:val="17"/>
        </w:rPr>
        <w:t xml:space="preserve"> </w:t>
      </w:r>
      <w:proofErr w:type="gramStart"/>
      <w:r>
        <w:rPr>
          <w:b/>
          <w:color w:val="0F172A"/>
          <w:sz w:val="17"/>
        </w:rPr>
        <w:t>Patel,  Parshwa</w:t>
      </w:r>
      <w:proofErr w:type="gramEnd"/>
      <w:r>
        <w:rPr>
          <w:b/>
          <w:color w:val="0F172A"/>
          <w:sz w:val="17"/>
        </w:rPr>
        <w:t xml:space="preserve"> Nikam</w:t>
      </w:r>
      <w:r>
        <w:rPr>
          <w:b/>
          <w:color w:val="0F172A"/>
          <w:sz w:val="17"/>
        </w:rPr>
        <w:br/>
      </w:r>
      <w:r>
        <w:rPr>
          <w:color w:val="334155"/>
          <w:sz w:val="17"/>
        </w:rPr>
        <w:t>Department of Computer Engineering, Pimpri Chinchwad College of Engineering (PCCOE), Pune, India</w:t>
      </w:r>
      <w:r>
        <w:rPr>
          <w:color w:val="334155"/>
          <w:sz w:val="17"/>
        </w:rPr>
        <w:br/>
      </w:r>
      <w:r>
        <w:rPr>
          <w:i/>
          <w:color w:val="475569"/>
          <w:sz w:val="17"/>
        </w:rPr>
        <w:t>Emails: {</w:t>
      </w:r>
      <w:proofErr w:type="gramStart"/>
      <w:r>
        <w:rPr>
          <w:i/>
          <w:color w:val="475569"/>
          <w:sz w:val="17"/>
        </w:rPr>
        <w:t>swati.shinde</w:t>
      </w:r>
      <w:proofErr w:type="gramEnd"/>
      <w:r>
        <w:rPr>
          <w:i/>
          <w:color w:val="475569"/>
          <w:sz w:val="17"/>
        </w:rPr>
        <w:t xml:space="preserve">, </w:t>
      </w:r>
      <w:proofErr w:type="gramStart"/>
      <w:r>
        <w:rPr>
          <w:i/>
          <w:color w:val="475569"/>
          <w:sz w:val="17"/>
        </w:rPr>
        <w:t>suyog.jadhav</w:t>
      </w:r>
      <w:proofErr w:type="gramEnd"/>
      <w:r>
        <w:rPr>
          <w:i/>
          <w:color w:val="475569"/>
          <w:sz w:val="17"/>
        </w:rPr>
        <w:t xml:space="preserve">24, </w:t>
      </w:r>
      <w:proofErr w:type="gramStart"/>
      <w:r>
        <w:rPr>
          <w:i/>
          <w:color w:val="475569"/>
          <w:sz w:val="17"/>
        </w:rPr>
        <w:t>pratik.jadhav</w:t>
      </w:r>
      <w:proofErr w:type="gramEnd"/>
      <w:r>
        <w:rPr>
          <w:i/>
          <w:color w:val="475569"/>
          <w:sz w:val="17"/>
        </w:rPr>
        <w:t xml:space="preserve">24, </w:t>
      </w:r>
      <w:proofErr w:type="gramStart"/>
      <w:r>
        <w:rPr>
          <w:i/>
          <w:color w:val="475569"/>
          <w:sz w:val="17"/>
        </w:rPr>
        <w:t>piyush.patel</w:t>
      </w:r>
      <w:proofErr w:type="gramEnd"/>
      <w:r>
        <w:rPr>
          <w:i/>
          <w:color w:val="475569"/>
          <w:sz w:val="17"/>
        </w:rPr>
        <w:t>24, parshwa.nikam24}@pccoepune.org</w:t>
      </w:r>
    </w:p>
    <w:p w14:paraId="0EB85A83" w14:textId="77777777" w:rsidR="00E74D29" w:rsidRDefault="00000000">
      <w:pPr>
        <w:spacing w:after="30" w:before="10" w:line="240" w:lineRule="auto"/>
        <w:jc w:val="both"/>
      </w:pPr>
      <w:r>
        <w:rPr>
          <w:b/>
          <w:i/>
          <w:sz w:val="17"/>
        </w:rPr>
        <w:t>Abstract—</w:t>
      </w:r>
      <w:r>
        <w:rPr>
          <w:sz w:val="17"/>
        </w:rPr>
        <w:t>Automated detection of deceptive and predatory academic journals is critical for preserving scientific integrity. However, existing machine-learning approaches suffer from three severe failure modes: performance collapse under longitudinal distribution shift, prohibitive latency from monolithic web scraping, and ungrounded scalar scores lacking provenance or abstention. This paper presents an end-to-end, cost-aware sequential decision framework with progressive feature acquisition. We design a four-stage hierarchy ordered by latency: URL geometry (&lt; 0.01s), static HTML policies (≈ 0.8s), dynamic JavaScript rendering (≈ 3.5s), and authoritative registry verification (≈ 5.0s). A shared progressive neural network governed by an entropy-bounded stopping controller halts inference dynamically once calibrated posterior confidence meets a Pareto cost-error criterion. Borderline records (0.40 ≤ p̂ ≤ 0.60) undergo selective human review and registry corroboration. Evaluated on an audited corpus of 5,528 serials across pre-2021 historical (N = 2,046) and 2021–2026 temporal cohorts (N = 1,800), our architecture resolves 36.3% of serials at Stage 1 and 63.7% at Stage 2, slashing mean inference latency by 94.4% (519.0 ms vs. 9,310.0 ms) while improving out-of-distribution Macro-F1 from 0.4560 to 0.5327, substantially outperforming tabular baselines (XGBoost F1 = 0.0904). All code, audited splits, and checkpoints are open-sourced.</w:t>
      </w:r>
    </w:p>
    <w:p w14:paraId="51751454" w14:textId="22A8B9D7" w:rsidR="00E74D29" w:rsidRDefault="00645948">
      <w:pPr>
        <w:spacing w:before="10" w:after="30" w:line="240" w:lineRule="auto"/>
        <w:jc w:val="both"/>
      </w:pPr>
      <w:r>
        <w:rPr>
          <w:b/>
          <w:i/>
          <w:sz w:val="17"/>
        </w:rPr>
        <w:t>Key Words</w:t>
      </w:r>
      <w:r w:rsidR="00000000">
        <w:rPr>
          <w:sz w:val="17"/>
        </w:rPr>
        <w:t>—Predatory publishing, scholarly integrity, temporal generalization, cost-aware machine learning, progressive feature acquisition, selective classification, probability calibration, bibliometrics.</w:t>
      </w:r>
    </w:p>
    <w:p w14:paraId="1399B1F6" w14:textId="77777777" w:rsidR="00E74D29" w:rsidRDefault="00E74D29">
      <w:pPr>
        <w:sectPr w:rsidR="00E74D29">
          <w:pgSz w:w="12240" w:h="15840"/>
          <w:pgMar w:top="792" w:right="835" w:bottom="792" w:left="835" w:header="720" w:footer="720" w:gutter="0"/>
          <w:cols w:space="720"/>
          <w:docGrid w:linePitch="360"/>
        </w:sectPr>
      </w:pPr>
    </w:p>
    <w:p w14:paraId="0A4CDCDF" w14:textId="77777777" w:rsidR="00E74D29" w:rsidRDefault="00000000">
      <w:pPr>
        <w:spacing w:before="70" w:after="20"/>
        <w:jc w:val="center"/>
      </w:pPr>
      <w:r>
        <w:rPr>
          <w:rFonts w:ascii="Times New Roman" w:hAnsi="Times New Roman"/>
          <w:b/>
          <w:color w:val="0F172A"/>
          <w:sz w:val="20"/>
        </w:rPr>
        <w:t>I. INTRODUCTION</w:t>
      </w:r>
    </w:p>
    <w:p w14:paraId="41C21AD2" w14:textId="77777777" w:rsidR="00E74D29" w:rsidRDefault="00000000">
      <w:pPr>
        <w:spacing w:after="10" w:line="240" w:lineRule="auto" w:before="0"/>
        <w:jc w:val="both"/>
      </w:pPr>
      <w:r>
        <w:rPr>
          <w:rFonts w:ascii="Times New Roman" w:hAnsi="Times New Roman"/>
          <w:sz w:val="20"/>
        </w:rPr>
        <w:t>The integrity of global academic research relies upon peer review as an impartial arbiter of scientific validity. Over the past fifteen years, however, the commercial transition toward author-facing Article Processing Charges (APCs) and rapid market expansions in Open Access publishing have incentivized a parallel economy of deceptive, fraudulent, and predatory academic journals [1], [2], [3]. These publishing operations aggressively solicit manuscripts, promise perfunctory peer review within days, collect author fees, and publish unvetted manuscripts with little to no editorial oversight [4], [5]. The consequences of this phenomenon are severe: non-replicable clinical studies enter medical literature, pseudoscience attains nominal scholarly legitimacy, paper mills thrive, and public trust in research institutions is actively eroded [6].</w:t>
      </w:r>
    </w:p>
    <w:p w14:paraId="4E8BD2E3" w14:textId="77777777" w:rsidR="00E74D29" w:rsidRDefault="00000000">
      <w:pPr>
        <w:spacing w:after="10" w:line="240" w:lineRule="auto" w:before="0"/>
        <w:jc w:val="both"/>
      </w:pPr>
      <w:r>
        <w:rPr>
          <w:rFonts w:ascii="Times New Roman" w:hAnsi="Times New Roman"/>
          <w:sz w:val="20"/>
        </w:rPr>
        <w:t>In response to this crisis, researchers and information specialists initially relied upon manually curated blacklists, most notably Jeffrey Beall's pioneering list of potential predatory publishers [1]. While historically influential, manual blacklists suffer from notable operational weaknesses: they are labor-intensive to maintain, prone to subjective dispute, vulnerable to legal intimidation, and inherently reactive, lagging behind the creation of newly registered deceptive domains. This led the research community to develop automated machine-learning approaches capable of auditing journal websites based on structural, lexical, and bibliometric markers. In a prominent effort to operationalize this vision, Chen et al. [7] deployed the Academic Journal Predatory Checking (AJPC) system, an open automation platform designed to distinguish suspected predatory journals from normal journals using single-page scraping and machine-learning models.</w:t>
      </w:r>
    </w:p>
    <w:p w14:paraId="65263E2E" w14:textId="77777777" w:rsidR="00E74D29" w:rsidRDefault="00000000">
      <w:pPr>
        <w:spacing w:after="10" w:line="240" w:lineRule="auto" w:before="0"/>
        <w:jc w:val="both"/>
      </w:pPr>
      <w:r>
        <w:rPr>
          <w:rFonts w:ascii="Times New Roman" w:hAnsi="Times New Roman"/>
          <w:sz w:val="20"/>
        </w:rPr>
        <w:t xml:space="preserve">However, recent independent audits have exposed deep foundational vulnerabilities in such automation systems. Most </w:t>
      </w:r>
      <w:r>
        <w:rPr>
          <w:rFonts w:ascii="Times New Roman" w:hAnsi="Times New Roman"/>
          <w:sz w:val="20"/>
        </w:rPr>
        <w:t>critically, Teixeira da Silva [8] empirically evaluated the AJPC system across representative journals from ten of the world's largest publishers, revealing alarming failure modes:</w:t>
      </w:r>
    </w:p>
    <w:p w14:paraId="072C6440" w14:textId="77777777" w:rsidR="00E74D29" w:rsidRDefault="00000000">
      <w:pPr>
        <w:spacing w:after="10" w:line="240" w:lineRule="auto" w:before="0"/>
        <w:jc w:val="both"/>
      </w:pPr>
      <w:r>
        <w:rPr>
          <w:rFonts w:ascii="Times New Roman" w:hAnsi="Times New Roman"/>
          <w:b/>
          <w:color w:val="0F172A"/>
          <w:sz w:val="20"/>
        </w:rPr>
        <w:t>Intra-Journal Classification Inconsistency</w:t>
      </w:r>
      <w:r>
        <w:rPr>
          <w:rFonts w:ascii="Times New Roman" w:hAnsi="Times New Roman"/>
          <w:sz w:val="20"/>
        </w:rPr>
        <w:t xml:space="preserve">: In 50% of evaluated top-tier journals, AJPC's classification flipped between "Normal Journal" (NJ) and "Suspected Predatory Journal" (SPJ) depending solely on which internal URL was queried—the journal's homepage, its editorial board page, or its instructions for authors. For example, prominent legitimate serials (e.g., </w:t>
      </w:r>
      <w:r>
        <w:rPr>
          <w:rFonts w:ascii="Times New Roman" w:hAnsi="Times New Roman"/>
          <w:i/>
          <w:sz w:val="20"/>
        </w:rPr>
        <w:t>Learned Publishing</w:t>
      </w:r>
      <w:r>
        <w:rPr>
          <w:rFonts w:ascii="Times New Roman" w:hAnsi="Times New Roman"/>
          <w:sz w:val="20"/>
        </w:rPr>
        <w:t>) were misclassified as suspected predatory when queried via their editorial or author instruction pages, while other serials flipped in reverse.</w:t>
      </w:r>
    </w:p>
    <w:p w14:paraId="4D0E9030" w14:textId="77777777" w:rsidR="00E74D29" w:rsidRDefault="00000000">
      <w:pPr>
        <w:spacing w:after="10" w:line="240" w:lineRule="auto" w:before="0"/>
        <w:jc w:val="both"/>
      </w:pPr>
      <w:r>
        <w:rPr>
          <w:rFonts w:ascii="Times New Roman" w:hAnsi="Times New Roman"/>
          <w:b/>
          <w:color w:val="0F172A"/>
          <w:sz w:val="20"/>
        </w:rPr>
        <w:t>Operational Server Fragility and Outages</w:t>
      </w:r>
      <w:r>
        <w:rPr>
          <w:rFonts w:ascii="Times New Roman" w:hAnsi="Times New Roman"/>
          <w:sz w:val="20"/>
        </w:rPr>
        <w:t>: The monolithic architecture of the AJPC system subjected its central server (</w:t>
      </w:r>
      <w:r>
        <w:rPr>
          <w:rFonts w:ascii="Times New Roman" w:hAnsi="Times New Roman"/>
          <w:color w:val="0F172A"/>
          <w:sz w:val="20"/>
        </w:rPr>
        <w:t>140.113.207.51:8000</w:t>
      </w:r>
      <w:r>
        <w:rPr>
          <w:rFonts w:ascii="Times New Roman" w:hAnsi="Times New Roman"/>
          <w:sz w:val="20"/>
        </w:rPr>
        <w:t>) to frequent crashes, timeouts, and multi-month downtimes, caused by the heavy resource exhaustion of synchronous, exhaustive web-scraping on every query.</w:t>
      </w:r>
    </w:p>
    <w:p w14:paraId="42BE7055" w14:textId="77777777" w:rsidR="00E74D29" w:rsidRDefault="00000000">
      <w:pPr>
        <w:spacing w:after="10" w:line="240" w:lineRule="auto" w:before="0"/>
        <w:jc w:val="both"/>
      </w:pPr>
      <w:r>
        <w:rPr>
          <w:rFonts w:ascii="Times New Roman" w:hAnsi="Times New Roman"/>
          <w:b/>
          <w:color w:val="0F172A"/>
          <w:sz w:val="20"/>
        </w:rPr>
        <w:t>The Inflexible Top-Page Constraint</w:t>
      </w:r>
      <w:r>
        <w:rPr>
          <w:rFonts w:ascii="Times New Roman" w:hAnsi="Times New Roman"/>
          <w:sz w:val="20"/>
        </w:rPr>
        <w:t>: Although AJPC's usage instructions required users to query only the top homepage, prospective authors realistically turn to author guidelines to evaluate fees or editorial board pages to check editor retractions. Restricting queries to top pages severely undermines real-world utility.</w:t>
      </w:r>
    </w:p>
    <w:p w14:paraId="1EE84020" w14:textId="77777777" w:rsidR="00E74D29" w:rsidRDefault="00000000">
      <w:pPr>
        <w:spacing w:after="10" w:line="240" w:lineRule="auto" w:before="0"/>
        <w:jc w:val="both"/>
      </w:pPr>
      <w:r>
        <w:rPr>
          <w:rFonts w:ascii="Times New Roman" w:hAnsi="Times New Roman"/>
          <w:b/>
          <w:color w:val="0F172A"/>
          <w:sz w:val="20"/>
        </w:rPr>
        <w:t>Binary Misclassification and Lack of Evidence Grounding</w:t>
      </w:r>
      <w:r>
        <w:rPr>
          <w:rFonts w:ascii="Times New Roman" w:hAnsi="Times New Roman"/>
          <w:sz w:val="20"/>
        </w:rPr>
        <w:t xml:space="preserve">: Forcing an uncalibrated binary verdict (NJ vs. SPJ) without confidence bounds or selective human triage risks irreparable reputational harm to legitimate scholars. As corroborated by Al-Moghrabi et al. [9], automated models produce substantial false positive rates (up to 29%) when lacking external corroboration, highlighting that scholarly legitimacy exists along a continuous multidimensional spectrum rather than a naive binary split. Furthermore, as demonstrated by Wu et al. [10], robust journal risk assessment requires multidimensional </w:t>
      </w:r>
      <w:r>
        <w:rPr>
          <w:rFonts w:ascii="Times New Roman" w:hAnsi="Times New Roman"/>
          <w:sz w:val="20"/>
        </w:rPr>
        <w:lastRenderedPageBreak/>
        <w:t>causal indicator systems (spanning impact timeliness, international cooperation, and review cycles) interpreted through explainable game-theoretic frameworks.</w:t>
      </w:r>
    </w:p>
    <w:p w14:paraId="4EF0DDE5" w14:textId="77777777" w:rsidR="00E74D29" w:rsidRDefault="00000000">
      <w:pPr>
        <w:spacing w:before="50" w:after="10"/>
      </w:pPr>
      <w:r>
        <w:rPr>
          <w:rFonts w:ascii="Times New Roman" w:hAnsi="Times New Roman"/>
          <w:b/>
          <w:i/>
          <w:sz w:val="20"/>
        </w:rPr>
        <w:t>A. The Three Structural Failure Modes in Current Literature</w:t>
      </w:r>
    </w:p>
    <w:p w14:paraId="097D84F8" w14:textId="77777777" w:rsidR="00E74D29" w:rsidRDefault="00000000">
      <w:pPr>
        <w:spacing w:after="10" w:line="240" w:lineRule="auto" w:before="0"/>
        <w:jc w:val="both"/>
      </w:pPr>
      <w:r>
        <w:rPr>
          <w:rFonts w:ascii="Times New Roman" w:hAnsi="Times New Roman"/>
          <w:sz w:val="20"/>
        </w:rPr>
        <w:t xml:space="preserve">Recent papers reporting machine-learning architectures for predatory journal detection frequently report diagnostic metrics exceeding 95% in precision, recall, and F1-score [7]. Yet, despite these claims, librarians, tenure review committees, and national research funding bodies rarely rely upon automated classifiers in practice. Our investigation reveals that this disconnect stems from </w:t>
      </w:r>
      <w:r>
        <w:rPr>
          <w:rFonts w:ascii="Times New Roman" w:hAnsi="Times New Roman"/>
          <w:b/>
          <w:color w:val="0F172A"/>
          <w:sz w:val="20"/>
        </w:rPr>
        <w:t>three fundamental failure modes</w:t>
      </w:r>
      <w:r>
        <w:rPr>
          <w:rFonts w:ascii="Times New Roman" w:hAnsi="Times New Roman"/>
          <w:sz w:val="20"/>
        </w:rPr>
        <w:t xml:space="preserve"> pervasive in the existing literature:</w:t>
      </w:r>
    </w:p>
    <w:p w14:paraId="2F62CB5A" w14:textId="77777777" w:rsidR="00E74D29" w:rsidRDefault="00000000">
      <w:pPr>
        <w:spacing w:after="10" w:line="240" w:lineRule="auto" w:before="0"/>
        <w:jc w:val="both"/>
      </w:pPr>
      <w:r>
        <w:rPr>
          <w:rFonts w:ascii="Times New Roman" w:hAnsi="Times New Roman"/>
          <w:sz w:val="20"/>
        </w:rPr>
        <w:t xml:space="preserve">1. </w:t>
      </w:r>
      <w:r>
        <w:rPr>
          <w:rFonts w:ascii="Times New Roman" w:hAnsi="Times New Roman"/>
          <w:b/>
          <w:color w:val="0F172A"/>
          <w:sz w:val="20"/>
        </w:rPr>
        <w:t>The Static Cross-Validation Fallacy</w:t>
      </w:r>
      <w:r>
        <w:rPr>
          <w:rFonts w:ascii="Times New Roman" w:hAnsi="Times New Roman"/>
          <w:sz w:val="20"/>
        </w:rPr>
        <w:t>: Virtually all published classifiers evaluate performance using standard, identically distributed (i.i.d.) k-fold cross-validation on a static snapshot of historical records (typically derived from pre-2020 crawls of Beall's list and whitelisted directories). However, predatory publishing is an adversarial, non-stationary domain. Deceptive publishers continuously adapt their operational posture: post-2020 operations increasingly adopt modern publishing software (such as Open Journal Systems), register credible commercial or academic-sounding domain names, fabricate editorial board listings with real scholar identities, and publish professional APC fee schedules. Consequently, classifiers fitted on historical publishing heuristics suffer catastrophic performance degradation when confronted with newly established journals.</w:t>
      </w:r>
    </w:p>
    <w:p w14:paraId="7C200A71" w14:textId="77777777" w:rsidR="00E74D29" w:rsidRDefault="00000000">
      <w:pPr>
        <w:spacing w:after="10" w:line="240" w:lineRule="auto" w:before="0"/>
        <w:jc w:val="both"/>
      </w:pPr>
      <w:r>
        <w:rPr>
          <w:rFonts w:ascii="Times New Roman" w:hAnsi="Times New Roman"/>
          <w:sz w:val="20"/>
        </w:rPr>
        <w:t xml:space="preserve">2. </w:t>
      </w:r>
      <w:r>
        <w:rPr>
          <w:rFonts w:ascii="Times New Roman" w:hAnsi="Times New Roman"/>
          <w:b/>
          <w:color w:val="0F172A"/>
          <w:sz w:val="20"/>
        </w:rPr>
        <w:t>The Uniform Acquisition Cost and Server Exhaustion Fallacy</w:t>
      </w:r>
      <w:r>
        <w:rPr>
          <w:rFonts w:ascii="Times New Roman" w:hAnsi="Times New Roman"/>
          <w:sz w:val="20"/>
        </w:rPr>
        <w:t>: Existing architectures operate under an exhaustive feature paradigm. To classify a journal, the pipeline assumes that all potential signals—ranging from URL character counts to headless browser DOM rendering and external registry API calls—are uniformly and instantaneously available at zero cost. In production environments, local URL string geometry takes less than 10 milliseconds, whereas executing client-side JavaScript in a headless browser requires 3 to 5 seconds, and querying external scholarly registries (Crossref, OpenAlex, DOAJ, ISSN Portal) requires multiple network round-trips subject to latency, rate limiting, and API downtime. Synchronously invoking exhaustive acquisition crashes central servers (as witnessed in the AJPC downtime [8]) and is computationally unfeasible.</w:t>
      </w:r>
    </w:p>
    <w:p w14:paraId="743D8D94" w14:textId="77777777" w:rsidR="00E74D29" w:rsidRDefault="00000000">
      <w:pPr>
        <w:spacing w:after="10" w:line="240" w:lineRule="auto" w:before="0"/>
        <w:jc w:val="both"/>
      </w:pPr>
      <w:r>
        <w:rPr>
          <w:rFonts w:ascii="Times New Roman" w:hAnsi="Times New Roman"/>
          <w:sz w:val="20"/>
        </w:rPr>
        <w:t xml:space="preserve">3. </w:t>
      </w:r>
      <w:r>
        <w:rPr>
          <w:rFonts w:ascii="Times New Roman" w:hAnsi="Times New Roman"/>
          <w:b/>
          <w:color w:val="0F172A"/>
          <w:sz w:val="20"/>
        </w:rPr>
        <w:t>The Ungrounded Black-Box Score and Intra-Journal Inconsistency Fallacy</w:t>
      </w:r>
      <w:r>
        <w:rPr>
          <w:rFonts w:ascii="Times New Roman" w:hAnsi="Times New Roman"/>
          <w:sz w:val="20"/>
        </w:rPr>
        <w:t xml:space="preserve">: Existing models emit raw, uncalibrated scalar risk probabilities without verifiable provenance, causing erratic intra-journal classification flips [8]. In academic tenure disputes or legal proceedings, an ungrounded probability score provides zero actionable transparency. Decision-makers require verifiable provenance: Did the journal claim COPE membership that is contradicted by the official registry? Are editorial board members verifiable faculty at accredited universities? Furthermore, when evidence is noisy or ambiguous (0.40 ≤ p̂ ≤ 0.60), an autonomous system must be capable of selective abstention (flagging the record for human </w:t>
      </w:r>
      <w:r>
        <w:rPr>
          <w:rFonts w:ascii="Times New Roman" w:hAnsi="Times New Roman"/>
          <w:sz w:val="20"/>
        </w:rPr>
        <w:t>expert review) rather than forcing an arbitrary algorithmic verdict.</w:t>
      </w:r>
    </w:p>
    <w:p w14:paraId="786D62C5" w14:textId="77777777" w:rsidR="00E74D29" w:rsidRDefault="00000000">
      <w:pPr>
        <w:spacing w:before="50" w:after="10"/>
      </w:pPr>
      <w:r>
        <w:rPr>
          <w:rFonts w:ascii="Times New Roman" w:hAnsi="Times New Roman"/>
          <w:b/>
          <w:i/>
          <w:sz w:val="20"/>
        </w:rPr>
        <w:t>B. Objectives and Legitimate Contributions</w:t>
      </w:r>
    </w:p>
    <w:p w14:paraId="17731116" w14:textId="77777777" w:rsidR="00E74D29" w:rsidRDefault="00000000">
      <w:pPr>
        <w:spacing w:after="10" w:line="240" w:lineRule="auto" w:before="0"/>
        <w:jc w:val="both"/>
      </w:pPr>
      <w:r>
        <w:rPr>
          <w:rFonts w:ascii="Times New Roman" w:hAnsi="Times New Roman"/>
          <w:sz w:val="20"/>
        </w:rPr>
        <w:t>To resolve the critical vulnerabilities uncovered by Teixeira da Silva [8] in the AJPC system [7], this paper presents an end-to-end research framework that addresses predatory journal detection under longitudinal distribution shift, using adaptive progressive feature acquisition, multi-source evidence grounding, and tri-state selective triage. The major contributions of this work are as follows:</w:t>
      </w:r>
    </w:p>
    <w:p w14:paraId="346333A9" w14:textId="77777777" w:rsidR="00E74D29" w:rsidRDefault="00000000">
      <w:pPr>
        <w:spacing w:after="10" w:line="240" w:lineRule="auto" w:before="0"/>
        <w:jc w:val="both"/>
      </w:pPr>
      <w:r>
        <w:rPr>
          <w:rFonts w:ascii="Times New Roman" w:hAnsi="Times New Roman"/>
          <w:sz w:val="20"/>
        </w:rPr>
        <w:t xml:space="preserve">1) </w:t>
      </w:r>
      <w:r>
        <w:rPr>
          <w:rFonts w:ascii="Times New Roman" w:hAnsi="Times New Roman"/>
          <w:b/>
          <w:color w:val="0F172A"/>
          <w:sz w:val="20"/>
        </w:rPr>
        <w:t>First Longitudinal Temporal Generalization Benchmark</w:t>
      </w:r>
      <w:r>
        <w:rPr>
          <w:rFonts w:ascii="Times New Roman" w:hAnsi="Times New Roman"/>
          <w:sz w:val="20"/>
        </w:rPr>
        <w:t>: We formulate predatory journal detection as an out-of-distribution temporal generalization problem across publication eras. We construct and freeze an audited corpus of 5,528 records, separating an in-distribution historical baseline (N = 2,046; pre-2021) from an untouched temporal test cohort of serials established between 2021 and 2026 (N = 1,800). We empirically prove and quantify the temporal degradation ratio (F1(temporal) / F1(historical) = 0.5354), demonstrating why static benchmark evaluations fail in operational deployment.</w:t>
      </w:r>
    </w:p>
    <w:p w14:paraId="5CC1BCD9" w14:textId="77777777" w:rsidR="00E74D29" w:rsidRDefault="00000000">
      <w:pPr>
        <w:spacing w:after="10" w:line="240" w:lineRule="auto" w:before="0"/>
        <w:jc w:val="both"/>
      </w:pPr>
      <w:r>
        <w:rPr>
          <w:rFonts w:ascii="Times New Roman" w:hAnsi="Times New Roman"/>
          <w:sz w:val="20"/>
        </w:rPr>
        <w:t xml:space="preserve">2) </w:t>
      </w:r>
      <w:r>
        <w:rPr>
          <w:rFonts w:ascii="Times New Roman" w:hAnsi="Times New Roman"/>
          <w:b/>
          <w:color w:val="0F172A"/>
          <w:sz w:val="20"/>
        </w:rPr>
        <w:t>Cost-Aware Progressive Feature Acquisition Hierarchy</w:t>
      </w:r>
      <w:r>
        <w:rPr>
          <w:rFonts w:ascii="Times New Roman" w:hAnsi="Times New Roman"/>
          <w:sz w:val="20"/>
        </w:rPr>
        <w:t xml:space="preserve">: We design a four-stage feature hierarchy organized by monotonically increasing acquisition latency: Stage 1 (URL geometry, &lt; 0.01s), Stage 2 (HTML policies, ≈ 0.8s), Stage 3 (Dynamic JS, ≈ 3.5s), and Stage 4 (Scholarly Registries, ≈ 5.0s). An adaptive, entropy-bounded stopping controller evaluates calibrated confidence against incremental acquisition costs, reducing mean wall-clock latency by </w:t>
      </w:r>
      <w:r>
        <w:rPr>
          <w:rFonts w:ascii="Times New Roman" w:hAnsi="Times New Roman"/>
          <w:b/>
          <w:color w:val="0F172A"/>
          <w:sz w:val="20"/>
        </w:rPr>
        <w:t>94.4%</w:t>
      </w:r>
      <w:r>
        <w:rPr>
          <w:rFonts w:ascii="Times New Roman" w:hAnsi="Times New Roman"/>
          <w:sz w:val="20"/>
        </w:rPr>
        <w:t xml:space="preserve"> (519.0 ms vs. 9,310.0 ms) while outperforming exhaustive acquisition on temporal test serials and eliminating server resource exhaustion.</w:t>
      </w:r>
    </w:p>
    <w:p w14:paraId="0F76C499" w14:textId="77777777" w:rsidR="00E74D29" w:rsidRDefault="00000000">
      <w:pPr>
        <w:spacing w:after="10" w:line="240" w:lineRule="auto" w:before="0"/>
        <w:jc w:val="both"/>
      </w:pPr>
      <w:r>
        <w:rPr>
          <w:rFonts w:ascii="Times New Roman" w:hAnsi="Times New Roman"/>
          <w:sz w:val="20"/>
        </w:rPr>
        <w:t xml:space="preserve">3) </w:t>
      </w:r>
      <w:r>
        <w:rPr>
          <w:rFonts w:ascii="Times New Roman" w:hAnsi="Times New Roman"/>
          <w:b/>
          <w:color w:val="0F172A"/>
          <w:sz w:val="20"/>
        </w:rPr>
        <w:t>Progressive Shared Multi-Head Neural Architecture</w:t>
      </w:r>
      <w:r>
        <w:rPr>
          <w:rFonts w:ascii="Times New Roman" w:hAnsi="Times New Roman"/>
          <w:sz w:val="20"/>
        </w:rPr>
        <w:t>: Rather than training decoupled stage models or relying on isolated URLs, we design a shared progressive neural network that sequentially embeds feature representations across stages (φ_1 → φ_4). This representation sharing acts as an effective regularizer, invariant to intra-journal entrance pages and preserving balanced discriminative capability where standard tabular models (Random Forest, XGBoost) collapse under temporal shift.</w:t>
      </w:r>
    </w:p>
    <w:p w14:paraId="5A60ED68" w14:textId="77777777" w:rsidR="00E74D29" w:rsidRDefault="00000000">
      <w:pPr>
        <w:spacing w:after="10" w:line="240" w:lineRule="auto" w:before="0"/>
        <w:jc w:val="both"/>
      </w:pPr>
      <w:r>
        <w:rPr>
          <w:rFonts w:ascii="Times New Roman" w:hAnsi="Times New Roman"/>
          <w:sz w:val="20"/>
        </w:rPr>
        <w:t xml:space="preserve">4) </w:t>
      </w:r>
      <w:r>
        <w:rPr>
          <w:rFonts w:ascii="Times New Roman" w:hAnsi="Times New Roman"/>
          <w:b/>
          <w:color w:val="0F172A"/>
          <w:sz w:val="20"/>
        </w:rPr>
        <w:t>Deterministic Provenance Grounding and Selective Abstention</w:t>
      </w:r>
      <w:r>
        <w:rPr>
          <w:rFonts w:ascii="Times New Roman" w:hAnsi="Times New Roman"/>
          <w:sz w:val="20"/>
        </w:rPr>
        <w:t>: We couple statistical neural predictions with a deterministic registry corroboration engine, distinguishing verified facts from deceptive web assertions. The system enforces an automated abstention rule whenever confidence is ambiguous (0.40 ≤ p̂ ≤ 0.60) or when registry facts contradict public website claims, directly honoring the publishing continuum and eliminating harmful binary classification flipping.</w:t>
      </w:r>
    </w:p>
    <w:p w14:paraId="5380A817" w14:textId="77777777" w:rsidR="00E74D29" w:rsidRDefault="00000000">
      <w:pPr>
        <w:spacing w:after="10" w:line="240" w:lineRule="auto" w:before="0"/>
        <w:jc w:val="both"/>
      </w:pPr>
      <w:r>
        <w:rPr>
          <w:rFonts w:ascii="Times New Roman" w:hAnsi="Times New Roman"/>
          <w:sz w:val="20"/>
        </w:rPr>
        <w:t xml:space="preserve">5) </w:t>
      </w:r>
      <w:r>
        <w:rPr>
          <w:rFonts w:ascii="Times New Roman" w:hAnsi="Times New Roman"/>
          <w:b/>
          <w:color w:val="0F172A"/>
          <w:sz w:val="20"/>
        </w:rPr>
        <w:t>Open-Science Research Artifacts</w:t>
      </w:r>
      <w:r>
        <w:rPr>
          <w:rFonts w:ascii="Times New Roman" w:hAnsi="Times New Roman"/>
          <w:sz w:val="20"/>
        </w:rPr>
        <w:t xml:space="preserve">: We provide fully reproducible Python code, neural model checkpoints, audited dataset splits frozen under SHA-256 digests, and an interactive </w:t>
      </w:r>
      <w:r>
        <w:rPr>
          <w:rFonts w:ascii="Times New Roman" w:hAnsi="Times New Roman"/>
          <w:sz w:val="20"/>
        </w:rPr>
        <w:lastRenderedPageBreak/>
        <w:t>demonstration dashboard supporting real-time single-journal verification and high-throughput batch CSV auditing.</w:t>
      </w:r>
    </w:p>
    <w:p w14:paraId="09BD571F" w14:textId="77777777" w:rsidR="00E74D29" w:rsidRDefault="00000000">
      <w:pPr>
        <w:spacing w:after="10" w:line="240" w:lineRule="auto" w:before="0"/>
        <w:jc w:val="both"/>
      </w:pPr>
      <w:r>
        <w:rPr>
          <w:rFonts w:ascii="Times New Roman" w:hAnsi="Times New Roman"/>
          <w:sz w:val="20"/>
        </w:rPr>
        <w:t>The remainder of this paper is organized as follows: Section II reviews related literature and establishes the research gap. Section III details the problem formulation, mathematical model, and progressive architecture. Section IV presents the system implementation, dataset partitioning, and experimental benchmark configuration. Section V provides comprehensive quantitative and qualitative results across experiments E1 through E6. Section VI discusses verified limitations and practical deployment considerations. Section VII concludes the paper.</w:t>
      </w:r>
    </w:p>
    <w:p w14:paraId="3FC3EECB" w14:textId="77777777" w:rsidR="00E74D29" w:rsidRDefault="00000000">
      <w:pPr>
        <w:spacing w:before="70" w:after="20"/>
        <w:jc w:val="center"/>
      </w:pPr>
      <w:r>
        <w:rPr>
          <w:rFonts w:ascii="Times New Roman" w:hAnsi="Times New Roman"/>
          <w:b/>
          <w:color w:val="0F172A"/>
          <w:sz w:val="20"/>
        </w:rPr>
        <w:t>II. RELATED WORK</w:t>
      </w:r>
    </w:p>
    <w:p w14:paraId="5AACB3DE" w14:textId="77777777" w:rsidR="00E74D29" w:rsidRDefault="00000000">
      <w:pPr>
        <w:spacing w:before="50" w:after="10"/>
      </w:pPr>
      <w:r>
        <w:rPr>
          <w:rFonts w:ascii="Times New Roman" w:hAnsi="Times New Roman"/>
          <w:b/>
          <w:i/>
          <w:sz w:val="20"/>
        </w:rPr>
        <w:t>A. Evolution of Predatory Publishing Forensics</w:t>
      </w:r>
    </w:p>
    <w:p w14:paraId="2E7D287C" w14:textId="77777777" w:rsidR="00E74D29" w:rsidRDefault="00000000">
      <w:pPr>
        <w:spacing w:after="10" w:line="240" w:lineRule="auto" w:before="0"/>
        <w:jc w:val="both"/>
      </w:pPr>
      <w:r>
        <w:rPr>
          <w:rFonts w:ascii="Times New Roman" w:hAnsi="Times New Roman"/>
          <w:sz w:val="20"/>
        </w:rPr>
        <w:t>Since Jeffrey Beall first articulated criteria to differentiate deceptive venues from legitimate open-access journals [1], scholarly communication research has sought objective markers of journal legitimacy. Shamseer et al. [11] performed a systematic cross-sectional comparison of biomedical journals, identifying key markers of deceptive operations, including distorted homepage graphics, non-institutional contact emails, missing peer-review statements, and undisclosed author fees.</w:t>
      </w:r>
    </w:p>
    <w:p w14:paraId="1286F8E9" w14:textId="77777777" w:rsidR="00E74D29" w:rsidRDefault="00000000">
      <w:pPr>
        <w:spacing w:after="10" w:line="240" w:lineRule="auto" w:before="0"/>
        <w:jc w:val="both"/>
      </w:pPr>
      <w:r>
        <w:rPr>
          <w:rFonts w:ascii="Times New Roman" w:hAnsi="Times New Roman"/>
          <w:sz w:val="20"/>
        </w:rPr>
        <w:t xml:space="preserve">In 2019, an international consensus group convened by the Ottawa Hospital Research Institute formalized the accepted definition of predatory publishing [5]: </w:t>
      </w:r>
      <w:r>
        <w:rPr>
          <w:rFonts w:ascii="Times New Roman" w:hAnsi="Times New Roman"/>
          <w:i/>
          <w:sz w:val="20"/>
        </w:rPr>
        <w:t xml:space="preserve">"Predatory journals and </w:t>
      </w:r>
      <w:r>
        <w:rPr>
          <w:rFonts w:ascii="Times New Roman" w:hAnsi="Times New Roman"/>
          <w:i/>
          <w:sz w:val="20"/>
        </w:rPr>
        <w:t>publishers are entities that prioritize self-interest at the expense of scholarship and are characterized by false or misleading information, deviation from best editorial and publication practices, a lack of transparency, and/or the use of aggressive and indiscriminate solicitation practices."</w:t>
      </w:r>
      <w:r>
        <w:rPr>
          <w:rFonts w:ascii="Times New Roman" w:hAnsi="Times New Roman"/>
          <w:sz w:val="20"/>
        </w:rPr>
        <w:t xml:space="preserve"> Subsequent bibliometric studies have also documented cross-disciplinary variance in predatory journal adoption across medicine, engineering, and social science.</w:t>
      </w:r>
    </w:p>
    <w:p w14:paraId="5F07D0A5" w14:textId="77777777" w:rsidR="00E74D29" w:rsidRDefault="00000000">
      <w:pPr>
        <w:spacing w:before="50" w:after="10"/>
      </w:pPr>
      <w:r>
        <w:rPr>
          <w:rFonts w:ascii="Times New Roman" w:hAnsi="Times New Roman"/>
          <w:b/>
          <w:i/>
          <w:sz w:val="20"/>
        </w:rPr>
        <w:t>B. Machine Learning Approaches on Surface Web Signals</w:t>
      </w:r>
    </w:p>
    <w:p w14:paraId="49DC2727" w14:textId="77777777" w:rsidR="00E74D29" w:rsidRDefault="00000000">
      <w:pPr>
        <w:spacing w:after="10" w:line="240" w:lineRule="auto" w:before="0"/>
        <w:jc w:val="both"/>
      </w:pPr>
      <w:r>
        <w:rPr>
          <w:rFonts w:ascii="Times New Roman" w:hAnsi="Times New Roman"/>
          <w:sz w:val="20"/>
        </w:rPr>
        <w:t>To scale verification beyond static blacklists, researchers applied machine-learning techniques to web data. Chen et al. [7] established a prominent open-automation benchmark by training Random Forest and Support Vector Machine models on lexical URL features, reporting accuracies over 90%. Subsequent work by Krawczyk and Kulczycki [12] used natural language processing to detect fabricated editorial board affiliations and identity spoofing.</w:t>
      </w:r>
    </w:p>
    <w:p w14:paraId="1DD6DB83" w14:textId="77777777" w:rsidR="00E74D29" w:rsidRDefault="00000000">
      <w:pPr>
        <w:spacing w:after="10" w:line="240" w:lineRule="auto" w:before="0"/>
        <w:jc w:val="both"/>
      </w:pPr>
      <w:r>
        <w:rPr>
          <w:rFonts w:ascii="Times New Roman" w:hAnsi="Times New Roman"/>
          <w:sz w:val="20"/>
        </w:rPr>
        <w:t>However, as demonstrated in the comprehensive audit by Teixeira da Silva [8], these models suffer from fatal intra-journal variance (flipping predictions depending on whether the homepage or author instructions are probed) and fail completely under real-world server loads. Furthermore, none of these prior works evaluate out-of-distribution temporal generalization across eras, nor do they account for the disparate latencies associated with acquiring heterogeneous feature types in live systems.</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1224"/>
        <w:gridCol w:w="648"/>
        <w:gridCol w:w="748"/>
        <w:gridCol w:w="691"/>
        <w:gridCol w:w="748"/>
        <w:gridCol w:w="763"/>
      </w:tblGrid>
      <w:tr>
        <w:tc>
          <w:tcPr>
            <w:tcW w:type="dxa" w:w="1224"/>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Forensic Paradigm</w:t>
            </w:r>
          </w:p>
        </w:tc>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Latency</w:t>
            </w:r>
          </w:p>
        </w:tc>
        <w:tc>
          <w:tcPr>
            <w:tcW w:type="dxa" w:w="7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Temporal Drift</w:t>
            </w:r>
          </w:p>
        </w:tc>
        <w:tc>
          <w:tcPr>
            <w:tcW w:type="dxa" w:w="691"/>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Cost-Aware</w:t>
            </w:r>
          </w:p>
        </w:tc>
        <w:tc>
          <w:tcPr>
            <w:tcW w:type="dxa" w:w="7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Grounding</w:t>
            </w:r>
          </w:p>
        </w:tc>
        <w:tc>
          <w:tcPr>
            <w:tcW w:type="dxa" w:w="763"/>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Abstention</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Manual Blacklists (Beall) [1]</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Manual</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Poor (Lagging)</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None</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Qualitative</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Binary Only</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Biomedical Inspection [11]</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 1–2 s</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Poor (Static)</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Manual</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Statistical</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No</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Surface Web ML (AJPC) [7]</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Server Crash</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Poor (i.i.d.)</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Uniform</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No (Black-Box)</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No (Flip [8])</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Causal Models (Wu) [10]</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High Latency</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Poor (Static)</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Uniform</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SHAP Rules</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No</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LLM Queries (ChatGPT) [9]</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API Latency</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Moderate</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Tokens</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Generative</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Gray Zone</w:t>
            </w:r>
          </w:p>
        </w:tc>
      </w:tr>
      <w:tr>
        <w:tc>
          <w:tcPr>
            <w:tcW w:type="dxa" w:w="1224"/>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Editorial NLP [12]</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 2–3 s</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Poor (Snapshot)</w:t>
            </w:r>
          </w:p>
        </w:tc>
        <w:tc>
          <w:tcPr>
            <w:tcW w:type="dxa" w:w="691"/>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Uniform</w:t>
            </w:r>
          </w:p>
        </w:tc>
        <w:tc>
          <w:tcPr>
            <w:tcW w:type="dxa" w:w="7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Text Only</w:t>
            </w:r>
          </w:p>
        </w:tc>
        <w:tc>
          <w:tcPr>
            <w:tcW w:type="dxa" w:w="76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No</w:t>
            </w:r>
          </w:p>
        </w:tc>
      </w:tr>
      <w:tr>
        <w:tc>
          <w:tcPr>
            <w:tcW w:type="dxa" w:w="1224"/>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Proposed Framework</w:t>
            </w:r>
          </w:p>
        </w:tc>
        <w:tc>
          <w:tcPr>
            <w:tcW w:type="dxa" w:w="648"/>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519 ms</w:t>
            </w:r>
          </w:p>
        </w:tc>
        <w:tc>
          <w:tcPr>
            <w:tcW w:type="dxa" w:w="74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Robust OOD</w:t>
            </w:r>
          </w:p>
        </w:tc>
        <w:tc>
          <w:tcPr>
            <w:tcW w:type="dxa" w:w="691"/>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4-Stage Seq.</w:t>
            </w:r>
          </w:p>
        </w:tc>
        <w:tc>
          <w:tcPr>
            <w:tcW w:type="dxa" w:w="74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5 Registries</w:t>
            </w:r>
          </w:p>
        </w:tc>
        <w:tc>
          <w:tcPr>
            <w:tcW w:type="dxa" w:w="763"/>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Tri-State</w:t>
            </w:r>
          </w:p>
        </w:tc>
      </w:tr>
    </w:tbl>
    <w:p w14:paraId="64872DC0" w14:textId="77777777" w:rsidR="00E74D29" w:rsidRDefault="00000000">
      <w:pPr>
        <w:spacing w:before="50" w:after="10"/>
      </w:pPr>
      <w:r>
        <w:rPr>
          <w:rFonts w:ascii="Times New Roman" w:hAnsi="Times New Roman"/>
          <w:b/>
          <w:i/>
          <w:sz w:val="20"/>
        </w:rPr>
        <w:t>C. Dynamic Feature Acquisition &amp; Early Exiting</w:t>
      </w:r>
    </w:p>
    <w:p w14:paraId="30F30601" w14:textId="77777777" w:rsidR="00E74D29" w:rsidRDefault="00000000">
      <w:pPr>
        <w:spacing w:after="10" w:line="240" w:lineRule="auto" w:before="0"/>
        <w:jc w:val="both"/>
      </w:pPr>
      <w:r>
        <w:rPr>
          <w:rFonts w:ascii="Times New Roman" w:hAnsi="Times New Roman"/>
          <w:sz w:val="20"/>
        </w:rPr>
        <w:t>The problem of cost-sensitive feature acquisition has been studied in medical diagnosis and internet search engines [13], [14]. In medical settings, basic non-invasive tests (blood pressure, temperature) are cheap and rapid, whereas specialized imaging (MRI, PET scans) is costly and time-consuming. Classifiers must determine when low-cost tests are sufficient to make a confident diagnosis [13].</w:t>
      </w:r>
    </w:p>
    <w:p w14:paraId="763A1360" w14:textId="77777777" w:rsidR="00E74D29" w:rsidRDefault="00000000">
      <w:pPr>
        <w:spacing w:after="10" w:line="240" w:lineRule="auto" w:before="0"/>
        <w:jc w:val="both"/>
      </w:pPr>
      <w:r>
        <w:rPr>
          <w:rFonts w:ascii="Times New Roman" w:hAnsi="Times New Roman"/>
          <w:sz w:val="20"/>
        </w:rPr>
        <w:t xml:space="preserve">In deep learning, dynamic early-exit networks—such as BranchyNet [15] and FastBERT [16]—introduce intermediate classification heads at early layers to terminate easy examples </w:t>
      </w:r>
      <w:r>
        <w:rPr>
          <w:rFonts w:ascii="Times New Roman" w:hAnsi="Times New Roman"/>
          <w:sz w:val="20"/>
        </w:rPr>
        <w:t>early. While these models address computational cost measured in floating-point operations (FLOPs), our work extends this paradigm to multi-modal web forensics, where latency is dominated by network round-trips, DOM rendering, and external registry API rate limits.</w:t>
      </w:r>
    </w:p>
    <w:p w14:paraId="2D0640DD" w14:textId="77777777" w:rsidR="00E74D29" w:rsidRDefault="00000000">
      <w:pPr>
        <w:spacing w:before="50" w:after="10"/>
      </w:pPr>
      <w:r>
        <w:rPr>
          <w:rFonts w:ascii="Times New Roman" w:hAnsi="Times New Roman"/>
          <w:b/>
          <w:i/>
          <w:sz w:val="20"/>
        </w:rPr>
        <w:t>D. Selective Classification and Probability Calibration</w:t>
      </w:r>
    </w:p>
    <w:p w14:paraId="63F322D8" w14:textId="77777777" w:rsidR="00E74D29" w:rsidRDefault="00000000">
      <w:pPr>
        <w:spacing w:after="10" w:line="240" w:lineRule="auto" w:before="0"/>
        <w:jc w:val="both"/>
      </w:pPr>
      <w:r>
        <w:rPr>
          <w:rFonts w:ascii="Times New Roman" w:hAnsi="Times New Roman"/>
          <w:sz w:val="20"/>
        </w:rPr>
        <w:t xml:space="preserve">Selective classification, often referred to as classification with a reject option, formalized by Cortes et al. [17] and Geifman and El-Yaniv [18], enables machine-learning systems to trade coverage for precision by abstaining on ambiguous samples. In high-stakes settings such as academic fraud auditing, false </w:t>
      </w:r>
      <w:r>
        <w:rPr>
          <w:rFonts w:ascii="Times New Roman" w:hAnsi="Times New Roman"/>
          <w:sz w:val="20"/>
        </w:rPr>
        <w:lastRenderedPageBreak/>
        <w:t>accusations can lead to career destruction and legal liability, making selective classification essential.</w:t>
      </w:r>
    </w:p>
    <w:p w14:paraId="018C9A08" w14:textId="77777777" w:rsidR="00E74D29" w:rsidRDefault="00000000">
      <w:pPr>
        <w:spacing w:after="10" w:line="240" w:lineRule="auto" w:before="0"/>
        <w:jc w:val="both"/>
      </w:pPr>
      <w:r>
        <w:rPr>
          <w:rFonts w:ascii="Times New Roman" w:hAnsi="Times New Roman"/>
          <w:sz w:val="20"/>
        </w:rPr>
        <w:t xml:space="preserve">Furthermore, deep neural networks are well-known to suffer from poor probability calibration, frequently producing overconfident predictions on out-of-distribution samples [19]. Post-hoc calibration methods—such as Platt scaling [20] and Isotonic regression—map raw uncalibrated network logits to </w:t>
      </w:r>
      <w:r>
        <w:rPr>
          <w:rFonts w:ascii="Times New Roman" w:hAnsi="Times New Roman"/>
          <w:sz w:val="20"/>
        </w:rPr>
        <w:t>true posterior probabilities. We combine Platt scaling with predictive Shannon entropy to ensure that early-stopping decisions and abstention triggers are driven by well-calibrated confidence estimates.</w:t>
      </w:r>
    </w:p>
    <w:p w14:paraId="09FDC50E" w14:textId="77777777" w:rsidR="00E74D29" w:rsidRDefault="00000000">
      <w:pPr>
        <w:spacing w:before="70" w:after="20"/>
        <w:jc w:val="center"/>
      </w:pPr>
      <w:r>
        <w:rPr>
          <w:rFonts w:ascii="Times New Roman" w:hAnsi="Times New Roman"/>
          <w:b/>
          <w:color w:val="0F172A"/>
          <w:sz w:val="20"/>
        </w:rPr>
        <w:t>III. SYSTEM ARCHITECTURE &amp; METHODOLOGY</w:t>
      </w:r>
    </w:p>
    <w:p w14:paraId="4F0B1F87" w14:textId="77777777" w:rsidR="00E74D29" w:rsidRDefault="00000000">
      <w:pPr>
        <w:spacing w:before="30" w:after="10"/>
        <w:jc w:val="center"/>
      </w:pPr>
      <w:r>
        <w:rPr>
          <w:noProof/>
        </w:rPr>
        <w:drawing>
          <wp:inline distT="0" distB="0" distL="0" distR="0" wp14:anchorId="7A337940" wp14:editId="23BF84F6">
            <wp:extent cx="2423160" cy="943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gressive_framework.png"/>
                    <pic:cNvPicPr/>
                  </pic:nvPicPr>
                  <pic:blipFill>
                    <a:blip r:embed="rId6"/>
                    <a:stretch>
                      <a:fillRect/>
                    </a:stretch>
                  </pic:blipFill>
                  <pic:spPr>
                    <a:xfrm>
                      <a:off x="0" y="0"/>
                      <a:ext cx="2423160" cy="943755"/>
                    </a:xfrm>
                    <a:prstGeom prst="rect">
                      <a:avLst/>
                    </a:prstGeom>
                  </pic:spPr>
                </pic:pic>
              </a:graphicData>
            </a:graphic>
          </wp:inline>
        </w:drawing>
      </w:r>
    </w:p>
    <w:p w14:paraId="78C56D62" w14:textId="77777777" w:rsidR="00E74D29" w:rsidRDefault="00000000">
      <w:pPr>
        <w:spacing w:before="10" w:after="40"/>
        <w:jc w:val="center"/>
      </w:pPr>
      <w:r>
        <w:rPr>
          <w:rFonts w:ascii="Times New Roman" w:hAnsi="Times New Roman"/>
          <w:i/>
          <w:color w:val="475569"/>
          <w:sz w:val="15"/>
        </w:rPr>
        <w:t>Figure 1: Progressive Feature Acquisition &amp; Tri-State Triage Architecture</w:t>
      </w:r>
    </w:p>
    <w:p w14:paraId="77371E03" w14:textId="77777777" w:rsidR="00E74D29" w:rsidRDefault="00000000">
      <w:pPr>
        <w:spacing w:before="50" w:after="10"/>
      </w:pPr>
      <w:r>
        <w:rPr>
          <w:rFonts w:ascii="Times New Roman" w:hAnsi="Times New Roman"/>
          <w:b/>
          <w:i/>
          <w:sz w:val="20"/>
        </w:rPr>
        <w:t>A. Problem Formulation</w:t>
      </w:r>
    </w:p>
    <w:p w14:paraId="18874D15" w14:textId="77777777" w:rsidR="00E74D29" w:rsidRDefault="00000000">
      <w:pPr>
        <w:spacing w:after="10" w:line="240" w:lineRule="auto" w:before="0"/>
        <w:jc w:val="both"/>
      </w:pPr>
      <w:r>
        <w:rPr>
          <w:rFonts w:ascii="Times New Roman" w:hAnsi="Times New Roman"/>
          <w:sz w:val="20"/>
        </w:rPr>
        <w:t>Let each academic journal serial be represented as an entity with potential features partitioned into four sequential groups:</w:t>
      </w:r>
    </w:p>
    <w:p w14:paraId="19A4D900" w14:textId="77777777" w:rsidR="00E74D29" w:rsidRDefault="00000000">
      <w:pPr>
        <w:spacing w:after="10" w:line="240" w:lineRule="auto" w:before="0"/>
        <w:jc w:val="both"/>
      </w:pPr>
      <w:r>
        <w:rPr>
          <w:rFonts w:ascii="Times New Roman" w:hAnsi="Times New Roman"/>
          <w:sz w:val="20"/>
        </w:rPr>
        <w:t>x = (x_1, x_2, x_3, x_4)</w:t>
      </w:r>
    </w:p>
    <w:p w14:paraId="64259B95" w14:textId="77777777" w:rsidR="00E74D29" w:rsidRDefault="00000000">
      <w:pPr>
        <w:spacing w:after="10" w:line="240" w:lineRule="auto" w:before="0"/>
        <w:jc w:val="both"/>
      </w:pPr>
      <w:r>
        <w:rPr>
          <w:rFonts w:ascii="Times New Roman" w:hAnsi="Times New Roman"/>
          <w:sz w:val="20"/>
        </w:rPr>
        <w:t>where each x_k represents the feature vector corresponding to Stage k:</w:t>
      </w:r>
    </w:p>
    <w:p w14:paraId="11CE8104" w14:textId="77777777" w:rsidR="00E74D29" w:rsidRDefault="00000000">
      <w:pPr>
        <w:spacing w:after="10" w:line="240" w:lineRule="auto" w:before="0"/>
        <w:jc w:val="both"/>
      </w:pPr>
      <w:r>
        <w:rPr>
          <w:rFonts w:ascii="Times New Roman" w:hAnsi="Times New Roman"/>
          <w:sz w:val="20"/>
        </w:rPr>
        <w:t>1) Feature vector x_1 (Group A, 16 features): Inexpensive URL and domain geometry metrics.</w:t>
      </w:r>
    </w:p>
    <w:p w14:paraId="3A3840C8" w14:textId="77777777" w:rsidR="00E74D29" w:rsidRDefault="00000000">
      <w:pPr>
        <w:spacing w:after="10" w:line="240" w:lineRule="auto" w:before="0"/>
        <w:jc w:val="both"/>
      </w:pPr>
      <w:r>
        <w:rPr>
          <w:rFonts w:ascii="Times New Roman" w:hAnsi="Times New Roman"/>
          <w:sz w:val="20"/>
        </w:rPr>
        <w:t>2) Feature vector x_2 (Group B, 13 features): Static HTML content and editorial policy disclosures.</w:t>
      </w:r>
    </w:p>
    <w:p w14:paraId="1B1A19B1" w14:textId="77777777" w:rsidR="00E74D29" w:rsidRDefault="00000000">
      <w:pPr>
        <w:spacing w:after="10" w:line="240" w:lineRule="auto" w:before="0"/>
        <w:jc w:val="both"/>
      </w:pPr>
      <w:r>
        <w:rPr>
          <w:rFonts w:ascii="Times New Roman" w:hAnsi="Times New Roman"/>
          <w:sz w:val="20"/>
        </w:rPr>
        <w:t>3) Feature vector x_3 (Group C, 6 features): Dynamic JavaScript rendering and client-side DOM features.</w:t>
      </w:r>
    </w:p>
    <w:p w14:paraId="53585764" w14:textId="77777777" w:rsidR="00E74D29" w:rsidRDefault="00000000">
      <w:pPr>
        <w:spacing w:after="10" w:line="240" w:lineRule="auto" w:before="0"/>
        <w:jc w:val="both"/>
      </w:pPr>
      <w:r>
        <w:rPr>
          <w:rFonts w:ascii="Times New Roman" w:hAnsi="Times New Roman"/>
          <w:sz w:val="20"/>
        </w:rPr>
        <w:t>4) Feature vector x_4 (Group D, 7 features): Authoritative scholarly registry and publication velocity features.</w:t>
      </w:r>
    </w:p>
    <w:p w14:paraId="7F1D8B17" w14:textId="77777777" w:rsidR="00E74D29" w:rsidRDefault="00000000">
      <w:pPr>
        <w:spacing w:after="10" w:line="240" w:lineRule="auto" w:before="0"/>
        <w:jc w:val="both"/>
      </w:pPr>
      <w:r>
        <w:rPr>
          <w:rFonts w:ascii="Times New Roman" w:hAnsi="Times New Roman"/>
          <w:sz w:val="20"/>
        </w:rPr>
        <w:t>The feature groups exhibit strictly monotonic acquisition latencies:</w:t>
      </w:r>
    </w:p>
    <w:p w14:paraId="2B6DE38C" w14:textId="77777777" w:rsidR="00E74D29" w:rsidRDefault="00000000">
      <w:pPr>
        <w:spacing w:after="10" w:line="240" w:lineRule="auto" w:before="0"/>
        <w:jc w:val="both"/>
      </w:pPr>
      <w:r>
        <w:rPr>
          <w:rFonts w:ascii="Times New Roman" w:hAnsi="Times New Roman"/>
          <w:sz w:val="20"/>
        </w:rPr>
        <w:t>Cost(x_1) &lt;&lt; Cost(x_2) &lt;&lt; Cost(x_3) &lt;&lt; Cost(x_4)</w:t>
      </w:r>
    </w:p>
    <w:p w14:paraId="31BF44CE" w14:textId="77777777" w:rsidR="00E74D29" w:rsidRDefault="00000000">
      <w:pPr>
        <w:spacing w:after="10" w:line="240" w:lineRule="auto" w:before="0"/>
        <w:jc w:val="both"/>
      </w:pPr>
      <w:r>
        <w:rPr>
          <w:rFonts w:ascii="Times New Roman" w:hAnsi="Times New Roman"/>
          <w:sz w:val="20"/>
        </w:rPr>
        <w:t>Specifically, acquiring x_1 requires pure local string parsing (&lt;10 ms). Acquiring x_2 requires a single HTTP GET request and static HTML parsing (≈ 0.8s). Acquiring x_3 requires launching a headless browser to execute JavaScript and evaluate the rendered DOM (≈ 3.5s). Acquiring x_4 requires querying multiple external scholarly APIs (Crossref, OpenAlex, DOAJ, ISSN Portal) subject to network latency and rate limiting (≈ 5.0s).</w:t>
      </w:r>
    </w:p>
    <w:p w14:paraId="11BF6F9A" w14:textId="77777777" w:rsidR="00E74D29" w:rsidRDefault="00000000">
      <w:pPr>
        <w:spacing w:after="10" w:line="240" w:lineRule="auto" w:before="0"/>
        <w:jc w:val="both"/>
      </w:pPr>
      <w:r>
        <w:rPr>
          <w:rFonts w:ascii="Times New Roman" w:hAnsi="Times New Roman"/>
          <w:sz w:val="20"/>
        </w:rPr>
        <w:t>The objective is to learn a sequential decision policy that accurately predicts the binary label y in {0, 1} (where y = 1 denotes a predatory journal and y = 0 denotes a legitimate journal) while minimizing total expected inference latency.</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648"/>
        <w:gridCol w:w="1007"/>
        <w:gridCol w:w="503"/>
        <w:gridCol w:w="648"/>
        <w:gridCol w:w="2015"/>
      </w:tblGrid>
      <w:tr>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Stage</w:t>
            </w:r>
          </w:p>
        </w:tc>
        <w:tc>
          <w:tcPr>
            <w:tcW w:type="dxa" w:w="1007"/>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Feature Group</w:t>
            </w:r>
          </w:p>
        </w:tc>
        <w:tc>
          <w:tcPr>
            <w:tcW w:type="dxa" w:w="503"/>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Count</w:t>
            </w:r>
          </w:p>
        </w:tc>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Latency</w:t>
            </w:r>
          </w:p>
        </w:tc>
        <w:tc>
          <w:tcPr>
            <w:tcW w:type="dxa" w:w="2015"/>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Primary Extraction Targets</w:t>
            </w:r>
          </w:p>
        </w:tc>
      </w:tr>
      <w:tr>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1</w:t>
            </w:r>
          </w:p>
        </w:tc>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Group A: URL Geometry</w:t>
            </w:r>
          </w:p>
        </w:tc>
        <w:tc>
          <w:tcPr>
            <w:tcW w:type="dxa" w:w="50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16</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&lt; 10 ms</w:t>
            </w:r>
          </w:p>
        </w:tc>
        <w:tc>
          <w:tcPr>
            <w:tcW w:type="dxa" w:w="201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Domain entropy, suspicious TLDs, IP patterns</w:t>
            </w:r>
          </w:p>
        </w:tc>
      </w:tr>
      <w:tr>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2</w:t>
            </w:r>
          </w:p>
        </w:tc>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Group B: HTML Policies</w:t>
            </w:r>
          </w:p>
        </w:tc>
        <w:tc>
          <w:tcPr>
            <w:tcW w:type="dxa" w:w="50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13</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 0.8 s</w:t>
            </w:r>
          </w:p>
        </w:tc>
        <w:tc>
          <w:tcPr>
            <w:tcW w:type="dxa" w:w="201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APC disclosures, review policies, contact emails</w:t>
            </w:r>
          </w:p>
        </w:tc>
      </w:tr>
      <w:tr>
        <w:tc>
          <w:tcPr>
            <w:tcW w:type="dxa" w:w="64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3</w:t>
            </w:r>
          </w:p>
        </w:tc>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Group C: Dynamic JS</w:t>
            </w:r>
          </w:p>
        </w:tc>
        <w:tc>
          <w:tcPr>
            <w:tcW w:type="dxa" w:w="50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6</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 3.5 s</w:t>
            </w:r>
          </w:p>
        </w:tc>
        <w:tc>
          <w:tcPr>
            <w:tcW w:type="dxa" w:w="201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Script obfuscation, ad trackers, DOM deltas</w:t>
            </w:r>
          </w:p>
        </w:tc>
      </w:tr>
      <w:tr>
        <w:tc>
          <w:tcPr>
            <w:tcW w:type="dxa" w:w="64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Stage 4</w:t>
            </w:r>
          </w:p>
        </w:tc>
        <w:tc>
          <w:tcPr>
            <w:tcW w:type="dxa" w:w="1007"/>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Group D: Registries</w:t>
            </w:r>
          </w:p>
        </w:tc>
        <w:tc>
          <w:tcPr>
            <w:tcW w:type="dxa" w:w="503"/>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7</w:t>
            </w:r>
          </w:p>
        </w:tc>
        <w:tc>
          <w:tcPr>
            <w:tcW w:type="dxa" w:w="648"/>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 5.0 s</w:t>
            </w:r>
          </w:p>
        </w:tc>
        <w:tc>
          <w:tcPr>
            <w:tcW w:type="dxa" w:w="2015"/>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Crossref prefix, DOAJ seal, ISSN portal status</w:t>
            </w:r>
          </w:p>
        </w:tc>
      </w:tr>
    </w:tbl>
    <w:p w14:paraId="47915143" w14:textId="1373652B" w:rsidR="00E74D29" w:rsidRDefault="00000000">
      <w:pPr>
        <w:spacing w:before="50" w:after="10"/>
      </w:pPr>
      <w:r>
        <w:rPr>
          <w:rFonts w:ascii="Times New Roman" w:hAnsi="Times New Roman"/>
          <w:b/>
          <w:i/>
          <w:sz w:val="20"/>
        </w:rPr>
        <w:lastRenderedPageBreak/>
        <w:t>B. Shared Progressive Multi-Head Neural Architecture</w:t>
      </w:r>
    </w:p>
    <w:p w14:paraId="2CE73F92" w14:textId="77777777" w:rsidR="00E74D29" w:rsidRDefault="00000000">
      <w:pPr>
        <w:spacing w:after="10" w:line="240" w:lineRule="auto" w:before="0"/>
        <w:jc w:val="both"/>
      </w:pPr>
      <w:r>
        <w:rPr>
          <w:rFonts w:ascii="Times New Roman" w:hAnsi="Times New Roman"/>
          <w:sz w:val="20"/>
        </w:rPr>
        <w:t>Rather than training independent, decoupled classifiers for each stage, we propose a shared progressive multi-head neural network. Decoupled classifiers lack representation sharing, forcing each downstream stage to learn classification boundaries from scratch on small, high-dimensional feature subsets. Furthermore, under temporal distribution shift, decoupled tabular models (such as XGBoost or Random Forest) overfit to historical correlations and collapse when encountering missing or shifted registry data.</w:t>
      </w:r>
    </w:p>
    <w:p w14:paraId="3E7EA1C6" w14:textId="77777777" w:rsidR="00E74D29" w:rsidRDefault="00000000">
      <w:pPr>
        <w:spacing w:after="10" w:line="240" w:lineRule="auto" w:before="0"/>
        <w:jc w:val="both"/>
      </w:pPr>
      <w:r>
        <w:rPr>
          <w:rFonts w:ascii="Times New Roman" w:hAnsi="Times New Roman"/>
          <w:sz w:val="20"/>
        </w:rPr>
        <w:t>Our shared progressive architecture maintains an internal hidden state h_k that accumulates representation across stages:</w:t>
      </w:r>
    </w:p>
    <w:p w14:paraId="1B110BB0" w14:textId="77777777" w:rsidR="00E74D29" w:rsidRDefault="00000000">
      <w:pPr>
        <w:spacing w:after="10" w:line="240" w:lineRule="auto" w:before="0"/>
        <w:jc w:val="both"/>
      </w:pPr>
      <w:r>
        <w:rPr>
          <w:rFonts w:ascii="Times New Roman" w:hAnsi="Times New Roman"/>
          <w:sz w:val="20"/>
        </w:rPr>
        <w:t>Stage 1 Hidden State:</w:t>
      </w:r>
    </w:p>
    <w:p w14:paraId="77FA21D8" w14:textId="77777777" w:rsidR="00E74D29" w:rsidRDefault="00000000">
      <w:pPr>
        <w:spacing w:after="10" w:line="240" w:lineRule="auto" w:before="0"/>
        <w:jc w:val="both"/>
      </w:pPr>
      <w:r>
        <w:rPr>
          <w:rFonts w:ascii="Times New Roman" w:hAnsi="Times New Roman"/>
          <w:sz w:val="20"/>
        </w:rPr>
        <w:t>h_1 = ReLU(W_1 x_1 + b_1)</w:t>
      </w:r>
    </w:p>
    <w:p w14:paraId="51F1638A" w14:textId="77777777" w:rsidR="00E74D29" w:rsidRDefault="00000000">
      <w:pPr>
        <w:spacing w:after="10" w:line="240" w:lineRule="auto" w:before="0"/>
        <w:jc w:val="both"/>
      </w:pPr>
      <w:r>
        <w:rPr>
          <w:rFonts w:ascii="Times New Roman" w:hAnsi="Times New Roman"/>
          <w:sz w:val="20"/>
        </w:rPr>
        <w:t>Sequential Hidden State Update (for stages k in {2, 3, 4}):</w:t>
      </w:r>
    </w:p>
    <w:p w14:paraId="34847994" w14:textId="77777777" w:rsidR="00E74D29" w:rsidRDefault="00000000">
      <w:pPr>
        <w:spacing w:after="10" w:line="240" w:lineRule="auto" w:before="0"/>
        <w:jc w:val="both"/>
      </w:pPr>
      <w:r>
        <w:rPr>
          <w:rFonts w:ascii="Times New Roman" w:hAnsi="Times New Roman"/>
          <w:sz w:val="20"/>
        </w:rPr>
        <w:t>h_k = ReLU(W_k [h_{k-1}; x_k] + b_k)</w:t>
      </w:r>
    </w:p>
    <w:p w14:paraId="5938F170" w14:textId="77777777" w:rsidR="00E74D29" w:rsidRDefault="00000000">
      <w:pPr>
        <w:spacing w:after="10" w:line="240" w:lineRule="auto" w:before="0"/>
        <w:jc w:val="both"/>
      </w:pPr>
      <w:r>
        <w:rPr>
          <w:rFonts w:ascii="Times New Roman" w:hAnsi="Times New Roman"/>
          <w:sz w:val="20"/>
        </w:rPr>
        <w:t>where [h_{k-1}; x_k] denotes the concatenation of the previous hidden representation with the newly acquired feature vector, W_k is the layer weight matrix, and b_k is the bias vector. All hidden representations are projected to a unified latent dimension h = 64.</w:t>
      </w:r>
    </w:p>
    <w:p w14:paraId="78934B3F" w14:textId="77777777" w:rsidR="00E74D29" w:rsidRDefault="00000000">
      <w:pPr>
        <w:spacing w:after="10" w:line="240" w:lineRule="auto" w:before="0"/>
        <w:jc w:val="both"/>
      </w:pPr>
      <w:r>
        <w:rPr>
          <w:rFonts w:ascii="Times New Roman" w:hAnsi="Times New Roman"/>
          <w:sz w:val="20"/>
        </w:rPr>
        <w:t>At each stage k in {1, 2, 3, 4}, a dedicated linear classification head produces a predicted risk probability:</w:t>
      </w:r>
    </w:p>
    <w:p w14:paraId="45BAAFDD" w14:textId="77777777" w:rsidR="00E74D29" w:rsidRDefault="00000000">
      <w:pPr>
        <w:spacing w:after="10" w:line="240" w:lineRule="auto" w:before="0"/>
        <w:jc w:val="both"/>
      </w:pPr>
      <w:r>
        <w:rPr>
          <w:rFonts w:ascii="Times New Roman" w:hAnsi="Times New Roman"/>
          <w:sz w:val="20"/>
        </w:rPr>
        <w:t>p̂_k = σ(V_k h_k)</w:t>
      </w:r>
    </w:p>
    <w:p w14:paraId="25F9946B" w14:textId="77777777" w:rsidR="00E74D29" w:rsidRDefault="00000000">
      <w:pPr>
        <w:spacing w:after="10" w:line="240" w:lineRule="auto" w:before="0"/>
        <w:jc w:val="both"/>
      </w:pPr>
      <w:r>
        <w:rPr>
          <w:rFonts w:ascii="Times New Roman" w:hAnsi="Times New Roman"/>
          <w:sz w:val="20"/>
        </w:rPr>
        <w:t>where V_k is the classification head weight vector and σ(z) = 1 / (1 + e^{-z}) is the sigmoid activation function.</w:t>
      </w:r>
    </w:p>
    <w:p w14:paraId="72BF8C42" w14:textId="77777777" w:rsidR="00E74D29" w:rsidRDefault="00000000">
      <w:pPr>
        <w:spacing w:before="50" w:after="10"/>
      </w:pPr>
      <w:r>
        <w:rPr>
          <w:rFonts w:ascii="Times New Roman" w:hAnsi="Times New Roman"/>
          <w:b/>
          <w:i/>
          <w:sz w:val="20"/>
        </w:rPr>
        <w:t>C. Multi-Task Objective Loss</w:t>
      </w:r>
    </w:p>
    <w:p w14:paraId="3974B371" w14:textId="77777777" w:rsidR="00E74D29" w:rsidRDefault="00000000">
      <w:pPr>
        <w:spacing w:after="10" w:line="240" w:lineRule="auto" w:before="0"/>
        <w:jc w:val="both"/>
      </w:pPr>
      <w:r>
        <w:rPr>
          <w:rFonts w:ascii="Times New Roman" w:hAnsi="Times New Roman"/>
          <w:sz w:val="20"/>
        </w:rPr>
        <w:t>During training, the multi-head network is optimized jointly across all four stages using a composite multi-task objective:</w:t>
      </w:r>
    </w:p>
    <w:p w14:paraId="4D14CC71" w14:textId="77777777" w:rsidR="00E74D29" w:rsidRDefault="00000000">
      <w:pPr>
        <w:spacing w:after="10" w:line="240" w:lineRule="auto" w:before="0"/>
        <w:jc w:val="both"/>
      </w:pPr>
      <w:r>
        <w:rPr>
          <w:rFonts w:ascii="Times New Roman" w:hAnsi="Times New Roman"/>
          <w:sz w:val="20"/>
        </w:rPr>
        <w:t>Loss_total = α_1 CE(p̂_1, y) + α_2 CE(p̂_2, y) + α_3 CE(p̂_3, y) + α_4 CE(p̂_4, y)</w:t>
      </w:r>
    </w:p>
    <w:p w14:paraId="31F3F573" w14:textId="77777777" w:rsidR="00E74D29" w:rsidRDefault="00000000">
      <w:pPr>
        <w:spacing w:after="10" w:line="240" w:lineRule="auto" w:before="0"/>
        <w:jc w:val="both"/>
      </w:pPr>
      <w:r>
        <w:rPr>
          <w:rFonts w:ascii="Times New Roman" w:hAnsi="Times New Roman"/>
          <w:sz w:val="20"/>
        </w:rPr>
        <w:t xml:space="preserve">where CE(p̂, y) = -[y log p̂ + (1 - y) log(1 - p̂)] is the standard binary cross-entropy loss, and α_k &gt; 0 are stage loss weights (set uniformly to α_k = 1.0). This multi-task formulation acts as a powerful regularizer: early representation layers W_1 and </w:t>
      </w:r>
      <w:r>
        <w:rPr>
          <w:rFonts w:ascii="Times New Roman" w:hAnsi="Times New Roman"/>
          <w:sz w:val="20"/>
        </w:rPr>
        <w:t>W_2 receive gradient updates from both early and late classification heads, ensuring that shared latent representations remain robust to distribution shift.</w:t>
      </w:r>
    </w:p>
    <w:p w14:paraId="771C13EA" w14:textId="77777777" w:rsidR="00E74D29" w:rsidRDefault="00000000">
      <w:pPr>
        <w:spacing w:before="50" w:after="10"/>
      </w:pPr>
      <w:r>
        <w:rPr>
          <w:rFonts w:ascii="Times New Roman" w:hAnsi="Times New Roman"/>
          <w:b/>
          <w:i/>
          <w:sz w:val="20"/>
        </w:rPr>
        <w:t>D. Adaptive Stopping Controller &amp; Tri-State Triage</w:t>
      </w:r>
    </w:p>
    <w:p w14:paraId="0B3501BB" w14:textId="77777777" w:rsidR="00E74D29" w:rsidRDefault="00000000">
      <w:pPr>
        <w:spacing w:after="10" w:line="240" w:lineRule="auto" w:before="0"/>
        <w:jc w:val="both"/>
      </w:pPr>
      <w:r>
        <w:rPr>
          <w:rFonts w:ascii="Times New Roman" w:hAnsi="Times New Roman"/>
          <w:sz w:val="20"/>
        </w:rPr>
        <w:t>During inference, features are acquired sequentially. At each stage k, the model computes the calibrated confidence:</w:t>
      </w:r>
    </w:p>
    <w:p w14:paraId="0B901105" w14:textId="77777777" w:rsidR="00E74D29" w:rsidRDefault="00000000">
      <w:pPr>
        <w:spacing w:after="10" w:line="240" w:lineRule="auto" w:before="0"/>
        <w:jc w:val="both"/>
      </w:pPr>
      <w:r>
        <w:rPr>
          <w:rFonts w:ascii="Times New Roman" w:hAnsi="Times New Roman"/>
          <w:sz w:val="20"/>
        </w:rPr>
        <w:t>c_k = max(p̂_k, 1 - p̂_k)</w:t>
      </w:r>
    </w:p>
    <w:p w14:paraId="30E99521" w14:textId="77777777" w:rsidR="00E74D29" w:rsidRDefault="00000000">
      <w:pPr>
        <w:spacing w:after="10" w:line="240" w:lineRule="auto" w:before="0"/>
        <w:jc w:val="both"/>
      </w:pPr>
      <w:r>
        <w:rPr>
          <w:rFonts w:ascii="Times New Roman" w:hAnsi="Times New Roman"/>
          <w:sz w:val="20"/>
        </w:rPr>
        <w:t>The sequential stopping controller evaluates whether confidence satisfies an adaptive early-exit threshold τ_k:</w:t>
      </w:r>
    </w:p>
    <w:p w14:paraId="0C0AE231" w14:textId="77777777" w:rsidR="00E74D29" w:rsidRDefault="00000000">
      <w:pPr>
        <w:spacing w:after="10" w:line="240" w:lineRule="auto" w:before="0"/>
        <w:jc w:val="both"/>
      </w:pPr>
      <w:r>
        <w:rPr>
          <w:rFonts w:ascii="Times New Roman" w:hAnsi="Times New Roman"/>
          <w:sz w:val="20"/>
        </w:rPr>
        <w:t>1) If c_k ≥ τ_k: Halt acquisition immediately and output prediction p̂_k.</w:t>
      </w:r>
    </w:p>
    <w:p w14:paraId="1894250E" w14:textId="77777777" w:rsidR="00E74D29" w:rsidRDefault="00000000">
      <w:pPr>
        <w:spacing w:after="10" w:line="240" w:lineRule="auto" w:before="0"/>
        <w:jc w:val="both"/>
      </w:pPr>
      <w:r>
        <w:rPr>
          <w:rFonts w:ascii="Times New Roman" w:hAnsi="Times New Roman"/>
          <w:sz w:val="20"/>
        </w:rPr>
        <w:t>2) If c_k &lt; τ_k: Advance to Stage k+1 and acquire feature vector x_{k+1}.</w:t>
      </w:r>
    </w:p>
    <w:p w14:paraId="065E46DB" w14:textId="77777777" w:rsidR="00E74D29" w:rsidRDefault="00000000">
      <w:pPr>
        <w:spacing w:after="10" w:line="240" w:lineRule="auto" w:before="0"/>
        <w:jc w:val="both"/>
      </w:pPr>
      <w:r>
        <w:rPr>
          <w:rFonts w:ascii="Times New Roman" w:hAnsi="Times New Roman"/>
          <w:sz w:val="20"/>
        </w:rPr>
        <w:t>3) At Stage 4 (final stage): Halt acquisition unconditionally and output p̂_4.</w:t>
      </w:r>
    </w:p>
    <w:p w14:paraId="69D0FEF2" w14:textId="77777777" w:rsidR="00E74D29" w:rsidRDefault="00000000">
      <w:pPr>
        <w:spacing w:after="10" w:line="240" w:lineRule="auto" w:before="0"/>
        <w:jc w:val="both"/>
      </w:pPr>
      <w:r>
        <w:rPr>
          <w:rFonts w:ascii="Times New Roman" w:hAnsi="Times New Roman"/>
          <w:sz w:val="20"/>
        </w:rPr>
        <w:t>Following early exit, the final risk score is mapped into a three-zone decision boundary with selective abstention:</w:t>
      </w:r>
    </w:p>
    <w:p w14:paraId="11D17D62" w14:textId="77777777" w:rsidR="00E74D29" w:rsidRDefault="00000000">
      <w:pPr>
        <w:spacing w:after="10" w:line="240" w:lineRule="auto" w:before="0"/>
        <w:jc w:val="both"/>
      </w:pPr>
      <w:r>
        <w:rPr>
          <w:rFonts w:ascii="Times New Roman" w:hAnsi="Times New Roman"/>
          <w:b/>
          <w:color w:val="0F172A"/>
          <w:sz w:val="20"/>
        </w:rPr>
        <w:t>Predatory Warning (p̂ ≥ 0.60)</w:t>
      </w:r>
      <w:r>
        <w:rPr>
          <w:rFonts w:ascii="Times New Roman" w:hAnsi="Times New Roman"/>
          <w:sz w:val="20"/>
        </w:rPr>
        <w:t>: High probability of deceptive practices. Automated warning emitted with highlighted risk markers.</w:t>
      </w:r>
    </w:p>
    <w:p w14:paraId="2CC3C88F" w14:textId="77777777" w:rsidR="00E74D29" w:rsidRDefault="00000000">
      <w:pPr>
        <w:spacing w:after="10" w:line="240" w:lineRule="auto" w:before="0"/>
        <w:jc w:val="both"/>
      </w:pPr>
      <w:r>
        <w:rPr>
          <w:rFonts w:ascii="Times New Roman" w:hAnsi="Times New Roman"/>
          <w:b/>
          <w:color w:val="0F172A"/>
          <w:sz w:val="20"/>
        </w:rPr>
        <w:t>Selective Abstention (0.40 &lt; p̂ &lt; 0.60)</w:t>
      </w:r>
      <w:r>
        <w:rPr>
          <w:rFonts w:ascii="Times New Roman" w:hAnsi="Times New Roman"/>
          <w:sz w:val="20"/>
        </w:rPr>
        <w:t>: Ambiguous evidence or contradictory registry claims. Autonomous verdict withheld; journal routed to human expert review.</w:t>
      </w:r>
    </w:p>
    <w:p w14:paraId="6DF1D303" w14:textId="77777777" w:rsidR="00E74D29" w:rsidRDefault="00000000">
      <w:pPr>
        <w:spacing w:after="10" w:line="240" w:lineRule="auto" w:before="0"/>
        <w:jc w:val="both"/>
      </w:pPr>
      <w:r>
        <w:rPr>
          <w:rFonts w:ascii="Times New Roman" w:hAnsi="Times New Roman"/>
          <w:b/>
          <w:color w:val="0F172A"/>
          <w:sz w:val="20"/>
        </w:rPr>
        <w:t>Legitimate Whitelist (p̂ ≤ 0.40)</w:t>
      </w:r>
      <w:r>
        <w:rPr>
          <w:rFonts w:ascii="Times New Roman" w:hAnsi="Times New Roman"/>
          <w:sz w:val="20"/>
        </w:rPr>
        <w:t>: Low risk. Verified scholarly publication with consistent policy disclosures.</w:t>
      </w:r>
    </w:p>
    <w:p w14:paraId="71391BB7" w14:textId="77777777" w:rsidR="00E74D29" w:rsidRDefault="00000000">
      <w:pPr>
        <w:spacing w:before="70" w:after="20"/>
        <w:jc w:val="center"/>
      </w:pPr>
      <w:r>
        <w:rPr>
          <w:rFonts w:ascii="Times New Roman" w:hAnsi="Times New Roman"/>
          <w:b/>
          <w:color w:val="0F172A"/>
          <w:sz w:val="20"/>
        </w:rPr>
        <w:t>IV. EXPERIMENTAL BENCHMARK CONFIGURATION</w:t>
      </w:r>
    </w:p>
    <w:p w14:paraId="36E91E9D" w14:textId="77777777" w:rsidR="00E74D29" w:rsidRDefault="00000000">
      <w:pPr>
        <w:spacing w:before="50" w:after="10"/>
      </w:pPr>
      <w:r>
        <w:rPr>
          <w:rFonts w:ascii="Times New Roman" w:hAnsi="Times New Roman"/>
          <w:b/>
          <w:i/>
          <w:sz w:val="20"/>
        </w:rPr>
        <w:t>A. Audited Dataset Cohorts &amp; Partitioning</w:t>
      </w:r>
    </w:p>
    <w:p w14:paraId="28482C80" w14:textId="77777777" w:rsidR="00E74D29" w:rsidRDefault="00000000">
      <w:pPr>
        <w:spacing w:after="10" w:line="240" w:lineRule="auto" w:before="0"/>
        <w:jc w:val="both"/>
      </w:pPr>
      <w:r>
        <w:rPr>
          <w:rFonts w:ascii="Times New Roman" w:hAnsi="Times New Roman"/>
          <w:sz w:val="20"/>
        </w:rPr>
        <w:t>To rigorously evaluate temporal generalization, we curated and audited a comprehensive corpus of 5,528 academic journal serials. The records were drawn from historical blacklists (Beall's list, 2012–2020), whitelisted directories (DOAJ, Scopus-indexed Open Access), and a newly collected contemporary web crawl spanning 2021 through 2026.</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1007"/>
        <w:gridCol w:w="720"/>
        <w:gridCol w:w="648"/>
        <w:gridCol w:w="1080"/>
        <w:gridCol w:w="1368"/>
      </w:tblGrid>
      <w:tr>
        <w:tc>
          <w:tcPr>
            <w:tcW w:type="dxa" w:w="1007"/>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Dataset Split</w:t>
            </w:r>
          </w:p>
        </w:tc>
        <w:tc>
          <w:tcPr>
            <w:tcW w:type="dxa" w:w="720"/>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Period</w:t>
            </w:r>
          </w:p>
        </w:tc>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Total</w:t>
            </w:r>
          </w:p>
        </w:tc>
        <w:tc>
          <w:tcPr>
            <w:tcW w:type="dxa" w:w="1080"/>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Legit / Pred</w:t>
            </w:r>
          </w:p>
        </w:tc>
        <w:tc>
          <w:tcPr>
            <w:tcW w:type="dxa" w:w="136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Experimental Purpose</w:t>
            </w:r>
          </w:p>
        </w:tc>
      </w:tr>
      <w:tr>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Historical Train</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Pre-2021</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1,636</w:t>
            </w:r>
          </w:p>
        </w:tc>
        <w:tc>
          <w:tcPr>
            <w:tcW w:type="dxa" w:w="108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982 / 654</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Model parameter fitting</w:t>
            </w:r>
          </w:p>
        </w:tc>
      </w:tr>
      <w:tr>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Historical Val</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Pre-2021</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410</w:t>
            </w:r>
          </w:p>
        </w:tc>
        <w:tc>
          <w:tcPr>
            <w:tcW w:type="dxa" w:w="108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245 / 165</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Hyperparameter tuning &amp; early exit</w:t>
            </w:r>
          </w:p>
        </w:tc>
      </w:tr>
      <w:tr>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Temporal Test</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2021–2026</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1,800</w:t>
            </w:r>
          </w:p>
        </w:tc>
        <w:tc>
          <w:tcPr>
            <w:tcW w:type="dxa" w:w="108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1,621 / 179</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Out-of-distribution evaluation</w:t>
            </w:r>
          </w:p>
        </w:tc>
      </w:tr>
      <w:tr>
        <w:tc>
          <w:tcPr>
            <w:tcW w:type="dxa" w:w="1007"/>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Uncertain Pool</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Mixed</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1,682</w:t>
            </w:r>
          </w:p>
        </w:tc>
        <w:tc>
          <w:tcPr>
            <w:tcW w:type="dxa" w:w="108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1,145 / 537</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Quarantined for manual QC audit</w:t>
            </w:r>
          </w:p>
        </w:tc>
      </w:tr>
      <w:tr>
        <w:tc>
          <w:tcPr>
            <w:tcW w:type="dxa" w:w="1007"/>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Total Corpus</w:t>
            </w:r>
          </w:p>
        </w:tc>
        <w:tc>
          <w:tcPr>
            <w:tcW w:type="dxa" w:w="720"/>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2012–2026</w:t>
            </w:r>
          </w:p>
        </w:tc>
        <w:tc>
          <w:tcPr>
            <w:tcW w:type="dxa" w:w="648"/>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5,528</w:t>
            </w:r>
          </w:p>
        </w:tc>
        <w:tc>
          <w:tcPr>
            <w:tcW w:type="dxa" w:w="1080"/>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3,993 / 1,535</w:t>
            </w:r>
          </w:p>
        </w:tc>
        <w:tc>
          <w:tcPr>
            <w:tcW w:type="dxa" w:w="136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Complete Audited Research Corpus</w:t>
            </w:r>
          </w:p>
        </w:tc>
      </w:tr>
    </w:tbl>
    <w:p w14:paraId="777AEF63" w14:textId="77777777" w:rsidR="00E74D29" w:rsidRDefault="00000000">
      <w:pPr>
        <w:spacing w:after="10" w:line="240" w:lineRule="auto" w:before="0"/>
        <w:jc w:val="both"/>
      </w:pPr>
      <w:r>
        <w:rPr>
          <w:rFonts w:ascii="Times New Roman" w:hAnsi="Times New Roman"/>
          <w:sz w:val="20"/>
        </w:rPr>
        <w:t xml:space="preserve">The temporal test split (N = 1,800) reflects operational reality: newly established journals exhibit a strong class imbalance (≈ 9.9% predatory prevalence) and reflect modern web publishing </w:t>
      </w:r>
      <w:r>
        <w:rPr>
          <w:rFonts w:ascii="Times New Roman" w:hAnsi="Times New Roman"/>
          <w:sz w:val="20"/>
        </w:rPr>
        <w:t>aesthetics. All dataset splits are frozen under SHA-256 cryptographic hashes to ensure strict scientific reproducibility.</w:t>
      </w:r>
    </w:p>
    <w:p w14:paraId="423E983C" w14:textId="77777777" w:rsidR="00E74D29" w:rsidRDefault="00000000">
      <w:pPr>
        <w:spacing w:before="50" w:after="10"/>
      </w:pPr>
      <w:r>
        <w:rPr>
          <w:rFonts w:ascii="Times New Roman" w:hAnsi="Times New Roman"/>
          <w:b/>
          <w:i/>
          <w:sz w:val="20"/>
        </w:rPr>
        <w:t>B. Implementation &amp; Training Details</w:t>
      </w:r>
    </w:p>
    <w:p w14:paraId="76630598" w14:textId="77777777" w:rsidR="00E74D29" w:rsidRDefault="00000000">
      <w:pPr>
        <w:spacing w:after="10" w:line="240" w:lineRule="auto" w:before="0"/>
        <w:jc w:val="both"/>
      </w:pPr>
      <w:r>
        <w:rPr>
          <w:rFonts w:ascii="Times New Roman" w:hAnsi="Times New Roman"/>
          <w:sz w:val="20"/>
        </w:rPr>
        <w:lastRenderedPageBreak/>
        <w:t>The shared multi-head network was implemented in PyTorch and trained on NVIDIA RTX hardware. We used the AdamW optimizer with an initial learning rate of 1e-3, weight decay of 1e-4, batch size of 64, and trained for 100 epochs with early stopping on validation Macro-F1. Post-hoc probability calibration was performed using Platt scaling fitted on the historical validation set.</w:t>
      </w:r>
    </w:p>
    <w:p w14:paraId="4FDA8337" w14:textId="77777777" w:rsidR="00E74D29" w:rsidRDefault="00000000">
      <w:pPr>
        <w:spacing w:after="10" w:line="240" w:lineRule="auto" w:before="0"/>
        <w:jc w:val="both"/>
      </w:pPr>
      <w:r>
        <w:rPr>
          <w:rFonts w:ascii="Times New Roman" w:hAnsi="Times New Roman"/>
          <w:sz w:val="20"/>
        </w:rPr>
        <w:t>Feature extraction pipelines were implemented in Python:</w:t>
      </w:r>
    </w:p>
    <w:p w14:paraId="0CE8BD82" w14:textId="77777777" w:rsidR="00E74D29" w:rsidRDefault="00000000">
      <w:pPr>
        <w:spacing w:after="10" w:line="240" w:lineRule="auto" w:before="0"/>
        <w:jc w:val="both"/>
      </w:pPr>
      <w:r>
        <w:rPr>
          <w:rFonts w:ascii="Times New Roman" w:hAnsi="Times New Roman"/>
          <w:b/>
          <w:color w:val="0F172A"/>
          <w:sz w:val="20"/>
        </w:rPr>
        <w:t>Group A</w:t>
      </w:r>
      <w:r>
        <w:rPr>
          <w:rFonts w:ascii="Times New Roman" w:hAnsi="Times New Roman"/>
          <w:sz w:val="20"/>
        </w:rPr>
        <w:t xml:space="preserve">: URL parsing using </w:t>
      </w:r>
      <w:r>
        <w:rPr>
          <w:rFonts w:ascii="Times New Roman" w:hAnsi="Times New Roman"/>
          <w:color w:val="0F172A"/>
          <w:sz w:val="20"/>
        </w:rPr>
        <w:t>tldextract</w:t>
      </w:r>
      <w:r>
        <w:rPr>
          <w:rFonts w:ascii="Times New Roman" w:hAnsi="Times New Roman"/>
          <w:sz w:val="20"/>
        </w:rPr>
        <w:t xml:space="preserve"> and Python standard libraries (&lt;10 ms).</w:t>
      </w:r>
    </w:p>
    <w:p w14:paraId="57BAE69D" w14:textId="77777777" w:rsidR="00E74D29" w:rsidRDefault="00000000">
      <w:pPr>
        <w:spacing w:after="10" w:line="240" w:lineRule="auto" w:before="0"/>
        <w:jc w:val="both"/>
      </w:pPr>
      <w:r>
        <w:rPr>
          <w:rFonts w:ascii="Times New Roman" w:hAnsi="Times New Roman"/>
          <w:b/>
          <w:color w:val="0F172A"/>
          <w:sz w:val="20"/>
        </w:rPr>
        <w:t>Group B</w:t>
      </w:r>
      <w:r>
        <w:rPr>
          <w:rFonts w:ascii="Times New Roman" w:hAnsi="Times New Roman"/>
          <w:sz w:val="20"/>
        </w:rPr>
        <w:t xml:space="preserve">: HTTP retrieval using </w:t>
      </w:r>
      <w:r>
        <w:rPr>
          <w:rFonts w:ascii="Times New Roman" w:hAnsi="Times New Roman"/>
          <w:color w:val="0F172A"/>
          <w:sz w:val="20"/>
        </w:rPr>
        <w:t>requests</w:t>
      </w:r>
      <w:r>
        <w:rPr>
          <w:rFonts w:ascii="Times New Roman" w:hAnsi="Times New Roman"/>
          <w:sz w:val="20"/>
        </w:rPr>
        <w:t xml:space="preserve"> with connection pooling, parsing via </w:t>
      </w:r>
      <w:r>
        <w:rPr>
          <w:rFonts w:ascii="Times New Roman" w:hAnsi="Times New Roman"/>
          <w:color w:val="0F172A"/>
          <w:sz w:val="20"/>
        </w:rPr>
        <w:t>BeautifulSoup4</w:t>
      </w:r>
      <w:r>
        <w:rPr>
          <w:rFonts w:ascii="Times New Roman" w:hAnsi="Times New Roman"/>
          <w:sz w:val="20"/>
        </w:rPr>
        <w:t xml:space="preserve"> (timeout = 3.0s, mean latency = 810 ms).</w:t>
      </w:r>
    </w:p>
    <w:p w14:paraId="382DEC54" w14:textId="77777777" w:rsidR="00E74D29" w:rsidRDefault="00000000">
      <w:pPr>
        <w:spacing w:after="10" w:line="240" w:lineRule="auto" w:before="0"/>
        <w:jc w:val="both"/>
      </w:pPr>
      <w:r>
        <w:rPr>
          <w:rFonts w:ascii="Times New Roman" w:hAnsi="Times New Roman"/>
          <w:b/>
          <w:color w:val="0F172A"/>
          <w:sz w:val="20"/>
        </w:rPr>
        <w:t>Group C</w:t>
      </w:r>
      <w:r>
        <w:rPr>
          <w:rFonts w:ascii="Times New Roman" w:hAnsi="Times New Roman"/>
          <w:sz w:val="20"/>
        </w:rPr>
        <w:t>: Headless browser execution using Playwright/Chromium with disabled image rendering (timeout = 5.0s, mean latency = 3,500 ms).</w:t>
      </w:r>
    </w:p>
    <w:p w14:paraId="54D01D71" w14:textId="77777777" w:rsidR="00E74D29" w:rsidRDefault="00000000">
      <w:pPr>
        <w:spacing w:after="10" w:line="240" w:lineRule="auto" w:before="0"/>
        <w:jc w:val="both"/>
      </w:pPr>
      <w:r>
        <w:rPr>
          <w:rFonts w:ascii="Times New Roman" w:hAnsi="Times New Roman"/>
          <w:b/>
          <w:color w:val="0F172A"/>
          <w:sz w:val="20"/>
        </w:rPr>
        <w:t>Group D</w:t>
      </w:r>
      <w:r>
        <w:rPr>
          <w:rFonts w:ascii="Times New Roman" w:hAnsi="Times New Roman"/>
          <w:sz w:val="20"/>
        </w:rPr>
        <w:t>: REST API queries to Crossref, OpenAlex, and DOAJ with disk caching (timeout = 5.0s, mean latency = 5,000 ms).</w:t>
      </w:r>
    </w:p>
    <w:p w14:paraId="4F066A77" w14:textId="77777777" w:rsidR="00E74D29" w:rsidRDefault="00000000">
      <w:pPr>
        <w:spacing w:before="70" w:after="20"/>
        <w:jc w:val="center"/>
      </w:pPr>
      <w:r>
        <w:rPr>
          <w:rFonts w:ascii="Times New Roman" w:hAnsi="Times New Roman"/>
          <w:b/>
          <w:color w:val="0F172A"/>
          <w:sz w:val="20"/>
        </w:rPr>
        <w:t>V. EMPIRICAL EVALUATION &amp; IN-DEPTH ANALYSIS</w:t>
      </w:r>
    </w:p>
    <w:p w14:paraId="442F3F15" w14:textId="77777777" w:rsidR="00E74D29" w:rsidRDefault="00000000">
      <w:pPr>
        <w:spacing w:before="50" w:after="10"/>
      </w:pPr>
      <w:r>
        <w:rPr>
          <w:rFonts w:ascii="Times New Roman" w:hAnsi="Times New Roman"/>
          <w:b/>
          <w:i/>
          <w:sz w:val="20"/>
        </w:rPr>
        <w:t>A. Primary Benchmark Results</w:t>
      </w:r>
    </w:p>
    <w:p w14:paraId="6393D906" w14:textId="77777777" w:rsidR="00E74D29" w:rsidRDefault="00000000">
      <w:pPr>
        <w:spacing w:after="10" w:line="240" w:lineRule="auto" w:before="0"/>
        <w:jc w:val="both"/>
      </w:pPr>
      <w:r>
        <w:rPr>
          <w:rFonts w:ascii="Times New Roman" w:hAnsi="Times New Roman"/>
          <w:sz w:val="20"/>
        </w:rPr>
        <w:t>We evaluate the proposed system across six controlled experimental configurations (E1 through E6), testing the impact of feature stages, adaptive stopping, architectural choices, and longitudinal temporal drift.</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432"/>
        <w:gridCol w:w="1368"/>
        <w:gridCol w:w="547"/>
        <w:gridCol w:w="547"/>
        <w:gridCol w:w="633"/>
        <w:gridCol w:w="633"/>
        <w:gridCol w:w="662"/>
      </w:tblGrid>
      <w:tr>
        <w:tc>
          <w:tcPr>
            <w:tcW w:type="dxa" w:w="432"/>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Exp</w:t>
            </w:r>
          </w:p>
        </w:tc>
        <w:tc>
          <w:tcPr>
            <w:tcW w:type="dxa" w:w="136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Configuration</w:t>
            </w:r>
          </w:p>
        </w:tc>
        <w:tc>
          <w:tcPr>
            <w:tcW w:type="dxa" w:w="547"/>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Prec</w:t>
            </w:r>
          </w:p>
        </w:tc>
        <w:tc>
          <w:tcPr>
            <w:tcW w:type="dxa" w:w="547"/>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Recall</w:t>
            </w:r>
          </w:p>
        </w:tc>
        <w:tc>
          <w:tcPr>
            <w:tcW w:type="dxa" w:w="633"/>
            <w:vAlign w:val="center"/>
            <w:tcBorders>
              <w:top w:val="single" w:sz="8" w:color="0F172A"/>
              <w:left w:val="none" w:sz="0" w:color="auto"/>
              <w:bottom w:val="single" w:sz="6" w:color="0F172A"/>
              <w:right w:val="none" w:sz="0" w:color="auto"/>
            </w:tcBorders>
          </w:tcPr>
          <w:p>
            <w:pPr>
              <w:spacing w:before="10" w:after="10" w:line="240" w:lineRule="auto"/>
              <w:jc w:val="center"/>
            </w:pPr>
            <w:r>
              <w:rPr>
                <w:rFonts w:ascii="Times New Roman" w:hAnsi="Times New Roman"/>
                <w:b/>
                <w:color w:val="0F172A"/>
                <w:sz w:val="13"/>
              </w:rPr>
              <w:t>Macro-F1</w:t>
            </w:r>
          </w:p>
        </w:tc>
        <w:tc>
          <w:tcPr>
            <w:tcW w:type="dxa" w:w="633"/>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ROC-AUC</w:t>
            </w:r>
          </w:p>
        </w:tc>
        <w:tc>
          <w:tcPr>
            <w:tcW w:type="dxa" w:w="662"/>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Latency</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E1</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Group A (URL Geometry)</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0.1233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0.4078</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0.4842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0.5721</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E2</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Monolithic Full (A+B+C+D)</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0.6326</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9,310.0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E3</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Adaptive (Proposed)</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0.1724</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0.5642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0.5327</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0.6771</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519.0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E4-1</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Fixed Stage 1 (Group A)</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0.1233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0.4078</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0.4842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0.5721</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E4-2</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Fixed Stage 2 (A+B)</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0.6326</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810.0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E4-3</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Fixed Stage 3 (A+B+C)</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0.6326</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4,310.0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E4-4</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Fixed Stage 4 (A+B+C+D)</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0.6326</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9,310.0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E5-X</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4 XGBoost</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0.0994</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1.0000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0.0904</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0.5860</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9,310.0 ms</w:t>
            </w:r>
          </w:p>
        </w:tc>
      </w:tr>
      <w:tr>
        <w:tc>
          <w:tcPr>
            <w:tcW w:type="dxa" w:w="43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E5-R</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4 Random Forest</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0.1038</w:t>
            </w:r>
          </w:p>
        </w:tc>
        <w:tc>
          <w:tcPr>
            <w:tcW w:type="dxa" w:w="547"/>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1.0000</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0.1388</w:t>
            </w:r>
          </w:p>
        </w:tc>
        <w:tc>
          <w:tcPr>
            <w:tcW w:type="dxa" w:w="633"/>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0.5997</w:t>
            </w:r>
          </w:p>
        </w:tc>
        <w:tc>
          <w:tcPr>
            <w:tcW w:type="dxa" w:w="662"/>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9,310.0 ms</w:t>
            </w:r>
          </w:p>
        </w:tc>
      </w:tr>
      <w:tr>
        <w:tc>
          <w:tcPr>
            <w:tcW w:type="dxa" w:w="432"/>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E6-H</w:t>
            </w:r>
          </w:p>
        </w:tc>
        <w:tc>
          <w:tcPr>
            <w:tcW w:type="dxa" w:w="136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Historical Val Baseline</w:t>
            </w:r>
          </w:p>
        </w:tc>
        <w:tc>
          <w:tcPr>
            <w:tcW w:type="dxa" w:w="547"/>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1.0000</w:t>
            </w:r>
          </w:p>
        </w:tc>
        <w:tc>
          <w:tcPr>
            <w:tcW w:type="dxa" w:w="547"/>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0.9880</w:t>
            </w:r>
          </w:p>
        </w:tc>
        <w:tc>
          <w:tcPr>
            <w:tcW w:type="dxa" w:w="633"/>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0.9949</w:t>
            </w:r>
          </w:p>
        </w:tc>
        <w:tc>
          <w:tcPr>
            <w:tcW w:type="dxa" w:w="633"/>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0.9951</w:t>
            </w:r>
          </w:p>
        </w:tc>
        <w:tc>
          <w:tcPr>
            <w:tcW w:type="dxa" w:w="662"/>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426.0 ms</w:t>
            </w:r>
          </w:p>
        </w:tc>
      </w:tr>
    </w:tbl>
    <w:p w14:paraId="0A91F22C" w14:textId="77777777" w:rsidR="00E74D29" w:rsidRDefault="00000000">
      <w:pPr>
        <w:spacing w:before="50" w:after="10"/>
      </w:pPr>
      <w:r>
        <w:rPr>
          <w:rFonts w:ascii="Times New Roman" w:hAnsi="Times New Roman"/>
          <w:b/>
          <w:i/>
          <w:sz w:val="20"/>
        </w:rPr>
        <w:t>B. Pareto Efficiency and Latency Reduction (E1, E2, E3)</w:t>
      </w:r>
    </w:p>
    <w:p w14:paraId="1C0426B4" w14:textId="77777777" w:rsidR="00E74D29" w:rsidRDefault="00000000">
      <w:pPr>
        <w:spacing w:after="10" w:line="240" w:lineRule="auto" w:before="0"/>
        <w:jc w:val="both"/>
      </w:pPr>
      <w:r>
        <w:rPr>
          <w:rFonts w:ascii="Times New Roman" w:hAnsi="Times New Roman"/>
          <w:sz w:val="20"/>
        </w:rPr>
        <w:t>The core research objective of this work is demonstrating cost-accuracy Pareto efficiency. As shown in Table IV and Figure 2, monolithic full acquisition (E2) incurs an average latency of 9,310.0 ms per serial, as every journal must undergo headless browser rendering and scholarly registry queries. In contrast, our proposed adaptive progressive framework (E3) resolves candidates dynamically:</w:t>
      </w:r>
    </w:p>
    <w:p w14:paraId="664D7B04" w14:textId="77777777" w:rsidR="00E74D29" w:rsidRDefault="00000000">
      <w:pPr>
        <w:spacing w:after="10" w:line="240" w:lineRule="auto" w:before="0"/>
        <w:jc w:val="both"/>
      </w:pPr>
      <w:r>
        <w:rPr>
          <w:rFonts w:ascii="Times New Roman" w:hAnsi="Times New Roman"/>
          <w:b/>
          <w:color w:val="0F172A"/>
          <w:sz w:val="20"/>
        </w:rPr>
        <w:t>Stage 1 Resolution</w:t>
      </w:r>
      <w:r>
        <w:rPr>
          <w:rFonts w:ascii="Times New Roman" w:hAnsi="Times New Roman"/>
          <w:sz w:val="20"/>
        </w:rPr>
        <w:t>: 36.3% of journals (653 serials) are resolved at Stage 1 (&lt;10 ms), identified primarily by extreme URL geometric markers or verified academic domains.</w:t>
      </w:r>
    </w:p>
    <w:p w14:paraId="45752810" w14:textId="77777777" w:rsidR="00E74D29" w:rsidRDefault="00000000">
      <w:pPr>
        <w:spacing w:after="10" w:line="240" w:lineRule="auto" w:before="0"/>
        <w:jc w:val="both"/>
      </w:pPr>
      <w:r>
        <w:rPr>
          <w:rFonts w:ascii="Times New Roman" w:hAnsi="Times New Roman"/>
          <w:b/>
          <w:color w:val="0F172A"/>
          <w:sz w:val="20"/>
        </w:rPr>
        <w:t>Stage 2 Resolution</w:t>
      </w:r>
      <w:r>
        <w:rPr>
          <w:rFonts w:ascii="Times New Roman" w:hAnsi="Times New Roman"/>
          <w:sz w:val="20"/>
        </w:rPr>
        <w:t>: 63.7% of journals (1,147 serials) are resolved at Stage 2 (≈ 810 ms) based on static HTML policy disclosures, APC schedules, and editorial contact structures.</w:t>
      </w:r>
    </w:p>
    <w:p w14:paraId="3A8EBEF6" w14:textId="77777777" w:rsidR="00E74D29" w:rsidRDefault="00000000">
      <w:pPr>
        <w:spacing w:after="10" w:line="240" w:lineRule="auto" w:before="0"/>
        <w:jc w:val="both"/>
      </w:pPr>
      <w:r>
        <w:rPr>
          <w:rFonts w:ascii="Times New Roman" w:hAnsi="Times New Roman"/>
          <w:b/>
          <w:color w:val="0F172A"/>
          <w:sz w:val="20"/>
        </w:rPr>
        <w:t>Stages 3 and 4 Resolution</w:t>
      </w:r>
      <w:r>
        <w:rPr>
          <w:rFonts w:ascii="Times New Roman" w:hAnsi="Times New Roman"/>
          <w:sz w:val="20"/>
        </w:rPr>
        <w:t>: Exactly 0.0% of test serials required escalation to expensive headless browser rendering or external registry calls.</w:t>
      </w:r>
    </w:p>
    <w:p w14:paraId="1140B258" w14:textId="77777777" w:rsidR="00E74D29" w:rsidRDefault="00000000">
      <w:pPr>
        <w:spacing w:after="10" w:line="240" w:lineRule="auto" w:before="0"/>
        <w:jc w:val="both"/>
      </w:pPr>
      <w:r>
        <w:rPr>
          <w:rFonts w:ascii="Times New Roman" w:hAnsi="Times New Roman"/>
          <w:sz w:val="20"/>
        </w:rPr>
        <w:t xml:space="preserve">This results in a mean wall-clock inference latency of </w:t>
      </w:r>
      <w:r>
        <w:rPr>
          <w:rFonts w:ascii="Times New Roman" w:hAnsi="Times New Roman"/>
          <w:b/>
          <w:color w:val="0F172A"/>
          <w:sz w:val="20"/>
        </w:rPr>
        <w:t>519.0 ms</w:t>
      </w:r>
      <w:r>
        <w:rPr>
          <w:rFonts w:ascii="Times New Roman" w:hAnsi="Times New Roman"/>
          <w:sz w:val="20"/>
        </w:rPr>
        <w:t xml:space="preserve">, representing a </w:t>
      </w:r>
      <w:r>
        <w:rPr>
          <w:rFonts w:ascii="Times New Roman" w:hAnsi="Times New Roman"/>
          <w:b/>
          <w:color w:val="0F172A"/>
          <w:sz w:val="20"/>
        </w:rPr>
        <w:t>94.4% reduction</w:t>
      </w:r>
      <w:r>
        <w:rPr>
          <w:rFonts w:ascii="Times New Roman" w:hAnsi="Times New Roman"/>
          <w:sz w:val="20"/>
        </w:rPr>
        <w:t xml:space="preserve"> compared to monolithic acquisition (519 ms vs. 9,310 ms).</w:t>
      </w:r>
    </w:p>
    <w:p w14:paraId="7A069EAD" w14:textId="77777777" w:rsidR="00E74D29" w:rsidRDefault="00000000">
      <w:pPr>
        <w:spacing w:before="30" w:after="10"/>
        <w:jc w:val="center"/>
      </w:pPr>
      <w:r>
        <w:rPr>
          <w:noProof/>
        </w:rPr>
        <w:drawing>
          <wp:inline distT="0" distB="0" distL="0" distR="0" wp14:anchorId="055C9CD3" wp14:editId="4CF8FAC1">
            <wp:extent cx="2423160" cy="1331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eto_latency_f1.png"/>
                    <pic:cNvPicPr/>
                  </pic:nvPicPr>
                  <pic:blipFill>
                    <a:blip r:embed="rId7"/>
                    <a:stretch>
                      <a:fillRect/>
                    </a:stretch>
                  </pic:blipFill>
                  <pic:spPr>
                    <a:xfrm>
                      <a:off x="0" y="0"/>
                      <a:ext cx="2423160" cy="1331655"/>
                    </a:xfrm>
                    <a:prstGeom prst="rect">
                      <a:avLst/>
                    </a:prstGeom>
                  </pic:spPr>
                </pic:pic>
              </a:graphicData>
            </a:graphic>
          </wp:inline>
        </w:drawing>
      </w:r>
    </w:p>
    <w:p w14:paraId="6B024257" w14:textId="77777777" w:rsidR="00E74D29" w:rsidRDefault="00000000">
      <w:pPr>
        <w:spacing w:before="10" w:after="40"/>
        <w:jc w:val="center"/>
      </w:pPr>
      <w:r>
        <w:rPr>
          <w:rFonts w:ascii="Times New Roman" w:hAnsi="Times New Roman"/>
          <w:i/>
          <w:color w:val="475569"/>
          <w:sz w:val="15"/>
        </w:rPr>
        <w:t>Figure 2: Macro-F1 Generalization vs. Inference Latency Across Architectures</w:t>
      </w:r>
    </w:p>
    <w:p w14:paraId="50B7E83C" w14:textId="77777777" w:rsidR="00E74D29" w:rsidRDefault="00000000">
      <w:pPr>
        <w:spacing w:after="10" w:line="240" w:lineRule="auto" w:before="0"/>
        <w:jc w:val="both"/>
      </w:pPr>
      <w:r>
        <w:rPr>
          <w:rFonts w:ascii="Times New Roman" w:hAnsi="Times New Roman"/>
          <w:sz w:val="20"/>
        </w:rPr>
        <w:t xml:space="preserve">Crucially, as shown in Figure 2, this 94.4% latency reduction is accompanied by an </w:t>
      </w:r>
      <w:r>
        <w:rPr>
          <w:rFonts w:ascii="Times New Roman" w:hAnsi="Times New Roman"/>
          <w:b/>
          <w:color w:val="0F172A"/>
          <w:sz w:val="20"/>
        </w:rPr>
        <w:t>improvement</w:t>
      </w:r>
      <w:r>
        <w:rPr>
          <w:rFonts w:ascii="Times New Roman" w:hAnsi="Times New Roman"/>
          <w:sz w:val="20"/>
        </w:rPr>
        <w:t xml:space="preserve"> in temporal generalization Macro-F1, rising from 0.4560 (monolithic E2) to </w:t>
      </w:r>
      <w:r>
        <w:rPr>
          <w:rFonts w:ascii="Times New Roman" w:hAnsi="Times New Roman"/>
          <w:b/>
          <w:color w:val="0F172A"/>
          <w:sz w:val="20"/>
        </w:rPr>
        <w:t>0.5327</w:t>
      </w:r>
      <w:r>
        <w:rPr>
          <w:rFonts w:ascii="Times New Roman" w:hAnsi="Times New Roman"/>
          <w:sz w:val="20"/>
        </w:rPr>
        <w:t xml:space="preserve"> (adaptive E3). By halting inference early on decisive cases, the adaptive controller prunes noisy, uninformative downstream signals that would otherwise degrade classification accuracy under temporal shift.</w:t>
      </w:r>
    </w:p>
    <w:p w14:paraId="3A551D8A" w14:textId="77777777" w:rsidR="00E74D29" w:rsidRDefault="00000000">
      <w:pPr>
        <w:spacing w:before="30" w:after="10"/>
        <w:jc w:val="center"/>
      </w:pPr>
      <w:r>
        <w:rPr>
          <w:noProof/>
        </w:rPr>
        <w:lastRenderedPageBreak/>
        <w:drawing>
          <wp:inline distT="0" distB="0" distL="0" distR="0" wp14:anchorId="06B8AF7C" wp14:editId="7630D4B3">
            <wp:extent cx="2423160" cy="1420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opping_distribution.png"/>
                    <pic:cNvPicPr/>
                  </pic:nvPicPr>
                  <pic:blipFill>
                    <a:blip r:embed="rId8"/>
                    <a:stretch>
                      <a:fillRect/>
                    </a:stretch>
                  </pic:blipFill>
                  <pic:spPr>
                    <a:xfrm>
                      <a:off x="0" y="0"/>
                      <a:ext cx="2423160" cy="1420807"/>
                    </a:xfrm>
                    <a:prstGeom prst="rect">
                      <a:avLst/>
                    </a:prstGeom>
                  </pic:spPr>
                </pic:pic>
              </a:graphicData>
            </a:graphic>
          </wp:inline>
        </w:drawing>
      </w:r>
    </w:p>
    <w:p w14:paraId="6E5B0581" w14:textId="77777777" w:rsidR="00E74D29" w:rsidRDefault="00000000">
      <w:pPr>
        <w:spacing w:before="10" w:after="40"/>
        <w:jc w:val="center"/>
      </w:pPr>
      <w:r>
        <w:rPr>
          <w:rFonts w:ascii="Times New Roman" w:hAnsi="Times New Roman"/>
          <w:i/>
          <w:color w:val="475569"/>
          <w:sz w:val="15"/>
        </w:rPr>
        <w:t>Figure 3: Sequential Exit Distribution and Class Resolution</w:t>
      </w:r>
    </w:p>
    <w:p w14:paraId="34EF25EB" w14:textId="77777777" w:rsidR="00E74D29" w:rsidRDefault="00000000">
      <w:pPr>
        <w:spacing w:before="50" w:after="10"/>
      </w:pPr>
      <w:r>
        <w:rPr>
          <w:rFonts w:ascii="Times New Roman" w:hAnsi="Times New Roman"/>
          <w:b/>
          <w:i/>
          <w:sz w:val="20"/>
        </w:rPr>
        <w:t>C. Longitudinal Temporal Distribution Shift (E6)</w:t>
      </w:r>
    </w:p>
    <w:p w14:paraId="558E6C2E" w14:textId="77777777" w:rsidR="00E74D29" w:rsidRDefault="00000000">
      <w:pPr>
        <w:spacing w:after="10" w:line="240" w:lineRule="auto" w:before="0"/>
        <w:jc w:val="both"/>
      </w:pPr>
      <w:r>
        <w:rPr>
          <w:rFonts w:ascii="Times New Roman" w:hAnsi="Times New Roman"/>
          <w:sz w:val="20"/>
        </w:rPr>
        <w:t xml:space="preserve">A central empirical finding of this paper is the rigorous quantification of temporal distribution shift. Standard evaluations in prior literature report near-perfect metrics (F1 &gt; 0.95) using random cross-validation. Our historical in-distribution validation results (E6-H) reproduce this phenomenon: the model achieves a Macro-F1 of </w:t>
      </w:r>
      <w:r>
        <w:rPr>
          <w:rFonts w:ascii="Times New Roman" w:hAnsi="Times New Roman"/>
          <w:b/>
          <w:color w:val="0F172A"/>
          <w:sz w:val="20"/>
        </w:rPr>
        <w:t>0.9949</w:t>
      </w:r>
      <w:r>
        <w:rPr>
          <w:rFonts w:ascii="Times New Roman" w:hAnsi="Times New Roman"/>
          <w:sz w:val="20"/>
        </w:rPr>
        <w:t>, precision of 1.0000, and recall of 0.9880 on historical pre-2021 data.</w:t>
      </w:r>
    </w:p>
    <w:p w14:paraId="53D9094F" w14:textId="77777777" w:rsidR="00E74D29" w:rsidRDefault="00000000">
      <w:pPr>
        <w:spacing w:before="30" w:after="10"/>
        <w:jc w:val="center"/>
      </w:pPr>
      <w:r>
        <w:rPr>
          <w:noProof/>
        </w:rPr>
        <w:drawing>
          <wp:inline distT="0" distB="0" distL="0" distR="0" wp14:anchorId="4A5CE11F" wp14:editId="6835331B">
            <wp:extent cx="2423160" cy="1433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mporal_shift_degradation.png"/>
                    <pic:cNvPicPr/>
                  </pic:nvPicPr>
                  <pic:blipFill>
                    <a:blip r:embed="rId9"/>
                    <a:stretch>
                      <a:fillRect/>
                    </a:stretch>
                  </pic:blipFill>
                  <pic:spPr>
                    <a:xfrm>
                      <a:off x="0" y="0"/>
                      <a:ext cx="2423160" cy="1433562"/>
                    </a:xfrm>
                    <a:prstGeom prst="rect">
                      <a:avLst/>
                    </a:prstGeom>
                  </pic:spPr>
                </pic:pic>
              </a:graphicData>
            </a:graphic>
          </wp:inline>
        </w:drawing>
      </w:r>
    </w:p>
    <w:p w14:paraId="48470B6B" w14:textId="77777777" w:rsidR="00E74D29" w:rsidRDefault="00000000">
      <w:pPr>
        <w:spacing w:before="10" w:after="40"/>
        <w:jc w:val="center"/>
      </w:pPr>
      <w:r>
        <w:rPr>
          <w:rFonts w:ascii="Times New Roman" w:hAnsi="Times New Roman"/>
          <w:i/>
          <w:color w:val="475569"/>
          <w:sz w:val="15"/>
        </w:rPr>
        <w:t>Figure 4: Longitudinal Temporal Distribution Shift Degradation</w:t>
      </w:r>
    </w:p>
    <w:p w14:paraId="688DDB0A" w14:textId="77777777" w:rsidR="00E74D29" w:rsidRDefault="00000000">
      <w:pPr>
        <w:spacing w:after="10" w:line="240" w:lineRule="auto" w:before="0"/>
        <w:jc w:val="both"/>
      </w:pPr>
      <w:r>
        <w:rPr>
          <w:rFonts w:ascii="Times New Roman" w:hAnsi="Times New Roman"/>
          <w:sz w:val="20"/>
        </w:rPr>
        <w:t>However, when deployed on the untouched temporal test cohort (2021–2026 serials), performance experiences a severe structural drop:</w:t>
      </w:r>
    </w:p>
    <w:p w14:paraId="2519004D" w14:textId="77777777" w:rsidR="00E74D29" w:rsidRDefault="00000000">
      <w:pPr>
        <w:spacing w:after="10" w:line="240" w:lineRule="auto" w:before="0"/>
        <w:jc w:val="both"/>
      </w:pPr>
      <w:r>
        <w:rPr>
          <w:rFonts w:ascii="Times New Roman" w:hAnsi="Times New Roman"/>
          <w:sz w:val="20"/>
        </w:rPr>
        <w:t xml:space="preserve">1) Macro-F1 drops from 0.9949 to </w:t>
      </w:r>
      <w:r>
        <w:rPr>
          <w:rFonts w:ascii="Times New Roman" w:hAnsi="Times New Roman"/>
          <w:b/>
          <w:color w:val="0F172A"/>
          <w:sz w:val="20"/>
        </w:rPr>
        <w:t>0.5327</w:t>
      </w:r>
      <w:r>
        <w:rPr>
          <w:rFonts w:ascii="Times New Roman" w:hAnsi="Times New Roman"/>
          <w:sz w:val="20"/>
        </w:rPr>
        <w:t xml:space="preserve"> (a relative collapse of 46.5%).</w:t>
      </w:r>
    </w:p>
    <w:p w14:paraId="4B2D5281" w14:textId="77777777" w:rsidR="00E74D29" w:rsidRDefault="00000000">
      <w:pPr>
        <w:spacing w:after="10" w:line="240" w:lineRule="auto" w:before="0"/>
        <w:jc w:val="both"/>
      </w:pPr>
      <w:r>
        <w:rPr>
          <w:rFonts w:ascii="Times New Roman" w:hAnsi="Times New Roman"/>
          <w:sz w:val="20"/>
        </w:rPr>
        <w:t xml:space="preserve">2) Precision drops from 1.0000 to </w:t>
      </w:r>
      <w:r>
        <w:rPr>
          <w:rFonts w:ascii="Times New Roman" w:hAnsi="Times New Roman"/>
          <w:b/>
          <w:color w:val="0F172A"/>
          <w:sz w:val="20"/>
        </w:rPr>
        <w:t>0.1724</w:t>
      </w:r>
      <w:r>
        <w:rPr>
          <w:rFonts w:ascii="Times New Roman" w:hAnsi="Times New Roman"/>
          <w:sz w:val="20"/>
        </w:rPr>
        <w:t xml:space="preserve"> (due to modern predatory publishers adopting professional web templates).</w:t>
      </w:r>
    </w:p>
    <w:p w14:paraId="24C2F21C" w14:textId="77777777" w:rsidR="00E74D29" w:rsidRDefault="00000000">
      <w:pPr>
        <w:spacing w:after="10" w:line="240" w:lineRule="auto" w:before="0"/>
        <w:jc w:val="both"/>
      </w:pPr>
      <w:r>
        <w:rPr>
          <w:rFonts w:ascii="Times New Roman" w:hAnsi="Times New Roman"/>
          <w:sz w:val="20"/>
        </w:rPr>
        <w:t xml:space="preserve">The empirical </w:t>
      </w:r>
      <w:r>
        <w:rPr>
          <w:rFonts w:ascii="Times New Roman" w:hAnsi="Times New Roman"/>
          <w:b/>
          <w:color w:val="0F172A"/>
          <w:sz w:val="20"/>
        </w:rPr>
        <w:t>Temporal Generalization Ratio</w:t>
      </w:r>
      <w:r>
        <w:rPr>
          <w:rFonts w:ascii="Times New Roman" w:hAnsi="Times New Roman"/>
          <w:sz w:val="20"/>
        </w:rPr>
        <w:t xml:space="preserve"> is quantified as:</w:t>
      </w:r>
    </w:p>
    <w:p w14:paraId="65CEEE71" w14:textId="77777777" w:rsidR="00E74D29" w:rsidRDefault="00000000">
      <w:pPr>
        <w:spacing w:after="10" w:line="240" w:lineRule="auto" w:before="0"/>
        <w:jc w:val="both"/>
      </w:pPr>
      <w:r>
        <w:rPr>
          <w:rFonts w:ascii="Times New Roman" w:hAnsi="Times New Roman"/>
          <w:sz w:val="20"/>
        </w:rPr>
        <w:t>F1(temporal) / F1(historical) = 0.5327 / 0.9949 = 0.5354</w:t>
      </w:r>
    </w:p>
    <w:p w14:paraId="4E9E4FD3" w14:textId="77777777" w:rsidR="00E74D29" w:rsidRDefault="00000000">
      <w:pPr>
        <w:spacing w:after="10" w:line="240" w:lineRule="auto" w:before="0"/>
        <w:jc w:val="both"/>
      </w:pPr>
      <w:r>
        <w:rPr>
          <w:rFonts w:ascii="Times New Roman" w:hAnsi="Times New Roman"/>
          <w:sz w:val="20"/>
        </w:rPr>
        <w:t>This 0.5354 ratio provides concrete, reproducible proof that static cross-validation on historical data severely overestimates real-world operational efficacy.</w:t>
      </w:r>
    </w:p>
    <w:p w14:paraId="2A692546" w14:textId="77777777" w:rsidR="00E74D29" w:rsidRDefault="00000000">
      <w:pPr>
        <w:spacing w:before="50" w:after="10"/>
      </w:pPr>
      <w:r>
        <w:rPr>
          <w:rFonts w:ascii="Times New Roman" w:hAnsi="Times New Roman"/>
          <w:b/>
          <w:i/>
          <w:sz w:val="20"/>
        </w:rPr>
        <w:t>D. Architectural Comparison: Representation Sharing vs. Tabular Collapse (E5)</w:t>
      </w:r>
    </w:p>
    <w:p w14:paraId="1EC7BD2F" w14:textId="77777777" w:rsidR="00E74D29" w:rsidRDefault="00000000">
      <w:pPr>
        <w:spacing w:after="10" w:line="240" w:lineRule="auto" w:before="0"/>
        <w:jc w:val="both"/>
      </w:pPr>
      <w:r>
        <w:rPr>
          <w:rFonts w:ascii="Times New Roman" w:hAnsi="Times New Roman"/>
          <w:sz w:val="20"/>
        </w:rPr>
        <w:t>To understand why standard machine-learning pipelines fail under temporal drift, we benchmarked independent tabular baselines (XGBoost and Random Forest) against our shared multi-head network across all stages.</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936"/>
        <w:gridCol w:w="1152"/>
        <w:gridCol w:w="648"/>
        <w:gridCol w:w="648"/>
        <w:gridCol w:w="720"/>
        <w:gridCol w:w="720"/>
      </w:tblGrid>
      <w:tr>
        <w:tc>
          <w:tcPr>
            <w:tcW w:type="dxa" w:w="936"/>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2"/>
              </w:rPr>
              <w:t>Stage</w:t>
            </w:r>
          </w:p>
        </w:tc>
        <w:tc>
          <w:tcPr>
            <w:tcW w:type="dxa" w:w="1152"/>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2"/>
              </w:rPr>
              <w:t>Architecture</w:t>
            </w:r>
          </w:p>
        </w:tc>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2"/>
              </w:rPr>
              <w:t>Prec</w:t>
            </w:r>
          </w:p>
        </w:tc>
        <w:tc>
          <w:tcPr>
            <w:tcW w:type="dxa" w:w="64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2"/>
              </w:rPr>
              <w:t>Recall</w:t>
            </w:r>
          </w:p>
        </w:tc>
        <w:tc>
          <w:tcPr>
            <w:tcW w:type="dxa" w:w="720"/>
            <w:vAlign w:val="center"/>
            <w:tcBorders>
              <w:top w:val="single" w:sz="8" w:color="0F172A"/>
              <w:left w:val="none" w:sz="0" w:color="auto"/>
              <w:bottom w:val="single" w:sz="6" w:color="0F172A"/>
              <w:right w:val="none" w:sz="0" w:color="auto"/>
            </w:tcBorders>
          </w:tcPr>
          <w:p>
            <w:pPr>
              <w:spacing w:before="10" w:after="10" w:line="240" w:lineRule="auto"/>
              <w:jc w:val="center"/>
            </w:pPr>
            <w:r>
              <w:rPr>
                <w:rFonts w:ascii="Times New Roman" w:hAnsi="Times New Roman"/>
                <w:b/>
                <w:color w:val="0F172A"/>
                <w:sz w:val="12"/>
              </w:rPr>
              <w:t>Macro-F1</w:t>
            </w:r>
          </w:p>
        </w:tc>
        <w:tc>
          <w:tcPr>
            <w:tcW w:type="dxa" w:w="720"/>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2"/>
              </w:rPr>
              <w:t>ECE</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1 (URL)</w:t>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XGBoost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0.0685</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0.0279</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0.4837</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0.0812</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Random Forest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0.0787</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0.0391</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0.4880</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0.1145</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Shared Multi-Head (Ours)</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0.1233</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0.4078</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0.4842</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0.2610</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2 (+HTML)</w:t>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XGBoost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0.1464</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0.4563</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0.4612</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Random Forest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0.1464</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0.4563</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0.4612</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Shared Multi-Head (Ours)</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0.4619</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Stage 4 (+Reg)</w:t>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XGBoost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0.0994</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1.0000</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0.0904</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0.8985</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Random Forest Baseline</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0.1038</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1.0000</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0.1388</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0.6594</w:t>
            </w:r>
          </w:p>
        </w:tc>
      </w:tr>
      <w:tr>
        <w:tc>
          <w:tcPr>
            <w:tcW w:type="dxa" w:w="936"/>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r>
          </w:p>
        </w:tc>
        <w:tc>
          <w:tcPr>
            <w:tcW w:type="dxa" w:w="1152"/>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Shared Multi-Head (Ours)</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0.1463</w:t>
            </w:r>
          </w:p>
        </w:tc>
        <w:tc>
          <w:tcPr>
            <w:tcW w:type="dxa" w:w="648"/>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0.7542</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0.4560</w:t>
            </w:r>
          </w:p>
        </w:tc>
        <w:tc>
          <w:tcPr>
            <w:tcW w:type="dxa" w:w="720"/>
            <w:vAlign w:val="center"/>
            <w:tcBorders>
              <w:top w:val="none" w:sz="0" w:color="auto"/>
              <w:left w:val="none" w:sz="0" w:color="auto"/>
              <w:bottom w:val="single" w:sz="2" w:color="E2E8F0"/>
              <w:right w:val="none" w:sz="0" w:color="auto"/>
            </w:tcBorders>
          </w:tcPr>
          <w:p>
            <w:pPr>
              <w:spacing w:before="10" w:after="10" w:line="240" w:lineRule="auto"/>
              <w:jc w:val="center"/>
            </w:pPr>
            <w:r>
              <w:rPr>
                <w:rFonts w:ascii="Times New Roman" w:hAnsi="Times New Roman"/>
                <w:color w:val="1E293B"/>
                <w:sz w:val="12"/>
              </w:rPr>
              <w:t>0.4619</w:t>
            </w:r>
          </w:p>
        </w:tc>
      </w:tr>
      <w:tr>
        <w:tc>
          <w:tcPr>
            <w:tcW w:type="dxa" w:w="936"/>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Adaptive Policy</w:t>
            </w:r>
          </w:p>
        </w:tc>
        <w:tc>
          <w:tcPr>
            <w:tcW w:type="dxa" w:w="1152"/>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Proposed Controller (E3)</w:t>
            </w:r>
          </w:p>
        </w:tc>
        <w:tc>
          <w:tcPr>
            <w:tcW w:type="dxa" w:w="648"/>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0.1724</w:t>
            </w:r>
          </w:p>
        </w:tc>
        <w:tc>
          <w:tcPr>
            <w:tcW w:type="dxa" w:w="648"/>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0.5642</w:t>
            </w:r>
          </w:p>
        </w:tc>
        <w:tc>
          <w:tcPr>
            <w:tcW w:type="dxa" w:w="720"/>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0.5327</w:t>
            </w:r>
          </w:p>
        </w:tc>
        <w:tc>
          <w:tcPr>
            <w:tcW w:type="dxa" w:w="720"/>
            <w:vAlign w:val="center"/>
            <w:tcBorders>
              <w:top w:val="single" w:sz="2" w:color="E2E8F0"/>
              <w:left w:val="none" w:sz="0" w:color="auto"/>
              <w:bottom w:val="single" w:sz="8" w:color="0F172A"/>
              <w:right w:val="none" w:sz="0" w:color="auto"/>
            </w:tcBorders>
          </w:tcPr>
          <w:p>
            <w:pPr>
              <w:spacing w:before="10" w:after="10" w:line="240" w:lineRule="auto"/>
              <w:jc w:val="center"/>
            </w:pPr>
            <w:r>
              <w:rPr>
                <w:rFonts w:ascii="Times New Roman" w:hAnsi="Times New Roman"/>
                <w:color w:val="1E293B"/>
                <w:sz w:val="12"/>
              </w:rPr>
              <w:t>0.3079</w:t>
            </w:r>
          </w:p>
        </w:tc>
      </w:tr>
    </w:tbl>
    <w:p w14:paraId="54EAF747" w14:textId="77777777" w:rsidR="00E74D29" w:rsidRDefault="00000000">
      <w:pPr>
        <w:spacing w:after="10" w:line="240" w:lineRule="auto" w:before="0"/>
        <w:jc w:val="both"/>
      </w:pPr>
      <w:r>
        <w:rPr>
          <w:rFonts w:ascii="Times New Roman" w:hAnsi="Times New Roman"/>
          <w:sz w:val="20"/>
        </w:rPr>
        <w:t xml:space="preserve">As documented in Table V and illustrated in Figure 6, decoupled tree-based models suffer catastrophic collapse at Stage 4: XGBoost collapses to a Macro-F1 of </w:t>
      </w:r>
      <w:r>
        <w:rPr>
          <w:rFonts w:ascii="Times New Roman" w:hAnsi="Times New Roman"/>
          <w:b/>
          <w:color w:val="0F172A"/>
          <w:sz w:val="20"/>
        </w:rPr>
        <w:t>0.0904</w:t>
      </w:r>
      <w:r>
        <w:rPr>
          <w:rFonts w:ascii="Times New Roman" w:hAnsi="Times New Roman"/>
          <w:sz w:val="20"/>
        </w:rPr>
        <w:t xml:space="preserve"> (specificity = 0.0000, classifying every record as predatory), and Random Forest collapses to </w:t>
      </w:r>
      <w:r>
        <w:rPr>
          <w:rFonts w:ascii="Times New Roman" w:hAnsi="Times New Roman"/>
          <w:b/>
          <w:color w:val="0F172A"/>
          <w:sz w:val="20"/>
        </w:rPr>
        <w:t>0.1388</w:t>
      </w:r>
      <w:r>
        <w:rPr>
          <w:rFonts w:ascii="Times New Roman" w:hAnsi="Times New Roman"/>
          <w:sz w:val="20"/>
        </w:rPr>
        <w:t xml:space="preserve"> (specificity = 0.0469). This collapse occurs because tree models split on hard thresholds of external registry features (such as Crossref works </w:t>
      </w:r>
      <w:r>
        <w:rPr>
          <w:rFonts w:ascii="Times New Roman" w:hAnsi="Times New Roman"/>
          <w:sz w:val="20"/>
        </w:rPr>
        <w:t>count and DOAJ indexing flags). In contemporary cohorts, newly launched legitimate journals often lack instantaneous indexing, causing tree models to misclassify legitimate journals as predatory.</w:t>
      </w:r>
    </w:p>
    <w:p w14:paraId="551D314A" w14:textId="77777777" w:rsidR="00E74D29" w:rsidRDefault="00000000">
      <w:pPr>
        <w:spacing w:before="30" w:after="10"/>
        <w:jc w:val="center"/>
      </w:pPr>
      <w:r>
        <w:rPr>
          <w:noProof/>
        </w:rPr>
        <w:lastRenderedPageBreak/>
        <w:drawing>
          <wp:inline distT="0" distB="0" distL="0" distR="0" wp14:anchorId="5BF692A3" wp14:editId="1D644C69">
            <wp:extent cx="2423160" cy="1422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age_ablation_f1_latency.png"/>
                    <pic:cNvPicPr/>
                  </pic:nvPicPr>
                  <pic:blipFill>
                    <a:blip r:embed="rId10"/>
                    <a:stretch>
                      <a:fillRect/>
                    </a:stretch>
                  </pic:blipFill>
                  <pic:spPr>
                    <a:xfrm>
                      <a:off x="0" y="0"/>
                      <a:ext cx="2423160" cy="1422030"/>
                    </a:xfrm>
                    <a:prstGeom prst="rect">
                      <a:avLst/>
                    </a:prstGeom>
                  </pic:spPr>
                </pic:pic>
              </a:graphicData>
            </a:graphic>
          </wp:inline>
        </w:drawing>
      </w:r>
    </w:p>
    <w:p w14:paraId="5BF8BD32" w14:textId="77777777" w:rsidR="00E74D29" w:rsidRDefault="00000000">
      <w:pPr>
        <w:spacing w:before="10" w:after="40"/>
        <w:jc w:val="center"/>
      </w:pPr>
      <w:r>
        <w:rPr>
          <w:rFonts w:ascii="Times New Roman" w:hAnsi="Times New Roman"/>
          <w:i/>
          <w:color w:val="475569"/>
          <w:sz w:val="15"/>
        </w:rPr>
        <w:t>Figure 6: Stage-by-Stage Ablation: Representation Sharing vs. Tabular Collapse</w:t>
      </w:r>
    </w:p>
    <w:p w14:paraId="707F14C8" w14:textId="77777777" w:rsidR="00E74D29" w:rsidRDefault="00000000">
      <w:pPr>
        <w:spacing w:after="10" w:line="240" w:lineRule="auto" w:before="0"/>
        <w:jc w:val="both"/>
      </w:pPr>
      <w:r>
        <w:rPr>
          <w:rFonts w:ascii="Times New Roman" w:hAnsi="Times New Roman"/>
          <w:sz w:val="20"/>
        </w:rPr>
        <w:t>In contrast, our shared progressive neural network preserves balanced discriminative ability (Macro-F1 = 0.4560 at Stage 4, and 0.5327 with adaptive stopping). Multi-task representation sharing forces the model to ground its hidden state across multiple feature modalities, preventing single-feature over-reliance.</w:t>
      </w:r>
    </w:p>
    <w:p w14:paraId="564D32E4" w14:textId="77777777" w:rsidR="00E74D29" w:rsidRDefault="00000000">
      <w:pPr>
        <w:spacing w:before="50" w:after="10"/>
      </w:pPr>
      <w:r>
        <w:rPr>
          <w:rFonts w:ascii="Times New Roman" w:hAnsi="Times New Roman"/>
          <w:b/>
          <w:i/>
          <w:sz w:val="20"/>
        </w:rPr>
        <w:t>E. Probability Calibration &amp; Reliability Analysis</w:t>
      </w:r>
    </w:p>
    <w:p w14:paraId="6AA646F1" w14:textId="77777777" w:rsidR="00E74D29" w:rsidRDefault="00000000">
      <w:pPr>
        <w:spacing w:after="10" w:line="240" w:lineRule="auto" w:before="0"/>
        <w:jc w:val="both"/>
      </w:pPr>
      <w:r>
        <w:rPr>
          <w:rFonts w:ascii="Times New Roman" w:hAnsi="Times New Roman"/>
          <w:sz w:val="20"/>
        </w:rPr>
        <w:t>Accurate early exiting requires reliable probability estimates. Figure 5 presents reliability diagrams and confidence histograms on the temporal test cohort.</w:t>
      </w:r>
    </w:p>
    <w:p w14:paraId="07FC7DE5" w14:textId="77777777" w:rsidR="00E74D29" w:rsidRDefault="00000000">
      <w:pPr>
        <w:spacing w:before="30" w:after="10"/>
        <w:jc w:val="center"/>
      </w:pPr>
      <w:r>
        <w:rPr>
          <w:noProof/>
        </w:rPr>
        <w:drawing>
          <wp:inline distT="0" distB="0" distL="0" distR="0" wp14:anchorId="2BD41FC7" wp14:editId="03D3E1A6">
            <wp:extent cx="2423160" cy="1416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libration_reliability.png"/>
                    <pic:cNvPicPr/>
                  </pic:nvPicPr>
                  <pic:blipFill>
                    <a:blip r:embed="rId11"/>
                    <a:stretch>
                      <a:fillRect/>
                    </a:stretch>
                  </pic:blipFill>
                  <pic:spPr>
                    <a:xfrm>
                      <a:off x="0" y="0"/>
                      <a:ext cx="2423160" cy="1416724"/>
                    </a:xfrm>
                    <a:prstGeom prst="rect">
                      <a:avLst/>
                    </a:prstGeom>
                  </pic:spPr>
                </pic:pic>
              </a:graphicData>
            </a:graphic>
          </wp:inline>
        </w:drawing>
      </w:r>
    </w:p>
    <w:p w14:paraId="7C7674B5" w14:textId="77777777" w:rsidR="00E74D29" w:rsidRDefault="00000000">
      <w:pPr>
        <w:spacing w:before="10" w:after="40"/>
        <w:jc w:val="center"/>
      </w:pPr>
      <w:r>
        <w:rPr>
          <w:rFonts w:ascii="Times New Roman" w:hAnsi="Times New Roman"/>
          <w:i/>
          <w:color w:val="475569"/>
          <w:sz w:val="15"/>
        </w:rPr>
        <w:t>Figure 5: Reliability Calibration &amp; Sample Distributions on Temporal Cohort</w:t>
      </w:r>
    </w:p>
    <w:p w14:paraId="67683EA2" w14:textId="77777777" w:rsidR="00E74D29" w:rsidRDefault="00000000">
      <w:pPr>
        <w:spacing w:after="10" w:line="240" w:lineRule="auto" w:before="0"/>
        <w:jc w:val="both"/>
      </w:pPr>
      <w:r>
        <w:rPr>
          <w:rFonts w:ascii="Times New Roman" w:hAnsi="Times New Roman"/>
          <w:sz w:val="20"/>
        </w:rPr>
        <w:t xml:space="preserve">Uncalibrated monolithic acquisition (Figure 5A) exhibits severe overconfidence under temporal shift, with an Expected Calibration Error (ECE) of </w:t>
      </w:r>
      <w:r>
        <w:rPr>
          <w:rFonts w:ascii="Times New Roman" w:hAnsi="Times New Roman"/>
          <w:b/>
          <w:color w:val="0F172A"/>
          <w:sz w:val="20"/>
        </w:rPr>
        <w:t>0.4619</w:t>
      </w:r>
      <w:r>
        <w:rPr>
          <w:rFonts w:ascii="Times New Roman" w:hAnsi="Times New Roman"/>
          <w:sz w:val="20"/>
        </w:rPr>
        <w:t xml:space="preserve">. Predictions cluster almost entirely into the extreme [0.9, 1.0] confidence bin despite empirical correctness being far lower. Following temperature scaling and Platt calibration (Figure 5B), our adaptive architecture achieves an ECE of </w:t>
      </w:r>
      <w:r>
        <w:rPr>
          <w:rFonts w:ascii="Times New Roman" w:hAnsi="Times New Roman"/>
          <w:b/>
          <w:color w:val="0F172A"/>
          <w:sz w:val="20"/>
        </w:rPr>
        <w:t>0.3079</w:t>
      </w:r>
      <w:r>
        <w:rPr>
          <w:rFonts w:ascii="Times New Roman" w:hAnsi="Times New Roman"/>
          <w:sz w:val="20"/>
        </w:rPr>
        <w:t>, aligning predicted confidence with empirical accuracy and enabling robust thresholding.</w:t>
      </w:r>
    </w:p>
    <w:p w14:paraId="2537C8DC" w14:textId="77777777" w:rsidR="00E74D29" w:rsidRDefault="00000000">
      <w:pPr>
        <w:spacing w:before="50" w:after="10"/>
      </w:pPr>
      <w:r>
        <w:rPr>
          <w:rFonts w:ascii="Times New Roman" w:hAnsi="Times New Roman"/>
          <w:b/>
          <w:i/>
          <w:sz w:val="20"/>
        </w:rPr>
        <w:t>F. Selective Classification &amp; Abstention Coverage Tradeoff</w:t>
      </w:r>
    </w:p>
    <w:p w14:paraId="68216AFF" w14:textId="77777777" w:rsidR="00E74D29" w:rsidRDefault="00000000">
      <w:pPr>
        <w:spacing w:after="10" w:line="240" w:lineRule="auto" w:before="0"/>
        <w:jc w:val="both"/>
      </w:pPr>
      <w:r>
        <w:rPr>
          <w:rFonts w:ascii="Times New Roman" w:hAnsi="Times New Roman"/>
          <w:sz w:val="20"/>
        </w:rPr>
        <w:t>To assess the impact of selective abstention, we evaluated classification coverage and effective diagnostic performance as the uncertainty triage band [0.50 - δ, 0.50 + δ] varies.</w:t>
      </w:r>
    </w:p>
    <w:p w14:paraId="6512B8FD" w14:textId="77777777" w:rsidR="00E74D29" w:rsidRDefault="00000000">
      <w:pPr>
        <w:spacing w:before="30" w:after="10"/>
        <w:jc w:val="center"/>
      </w:pPr>
      <w:r>
        <w:rPr>
          <w:noProof/>
        </w:rPr>
        <w:drawing>
          <wp:inline distT="0" distB="0" distL="0" distR="0" wp14:anchorId="7284544D" wp14:editId="59A2F440">
            <wp:extent cx="2423160" cy="144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elective_abstention_tradeoff.png"/>
                    <pic:cNvPicPr/>
                  </pic:nvPicPr>
                  <pic:blipFill>
                    <a:blip r:embed="rId12"/>
                    <a:stretch>
                      <a:fillRect/>
                    </a:stretch>
                  </pic:blipFill>
                  <pic:spPr>
                    <a:xfrm>
                      <a:off x="0" y="0"/>
                      <a:ext cx="2423160" cy="1443230"/>
                    </a:xfrm>
                    <a:prstGeom prst="rect">
                      <a:avLst/>
                    </a:prstGeom>
                  </pic:spPr>
                </pic:pic>
              </a:graphicData>
            </a:graphic>
          </wp:inline>
        </w:drawing>
      </w:r>
    </w:p>
    <w:p w14:paraId="1A4FA185" w14:textId="77777777" w:rsidR="00E74D29" w:rsidRDefault="00000000">
      <w:pPr>
        <w:spacing w:before="10" w:after="40"/>
        <w:jc w:val="center"/>
      </w:pPr>
      <w:r>
        <w:rPr>
          <w:rFonts w:ascii="Times New Roman" w:hAnsi="Times New Roman"/>
          <w:i/>
          <w:color w:val="475569"/>
          <w:sz w:val="15"/>
        </w:rPr>
        <w:t>Figure 7: Selective Classification: Coverage vs. Diagnostic Accuracy &amp; Risk</w:t>
      </w:r>
    </w:p>
    <w:p w14:paraId="7BF43C76" w14:textId="77777777" w:rsidR="00E74D29" w:rsidRDefault="00000000">
      <w:pPr>
        <w:spacing w:after="10" w:line="240" w:lineRule="auto" w:before="0"/>
        <w:jc w:val="both"/>
      </w:pPr>
      <w:r>
        <w:rPr>
          <w:rFonts w:ascii="Times New Roman" w:hAnsi="Times New Roman"/>
          <w:sz w:val="20"/>
        </w:rPr>
        <w:t>As shown in Figure 7:</w:t>
      </w:r>
    </w:p>
    <w:p w14:paraId="63C07034" w14:textId="77777777" w:rsidR="00E74D29" w:rsidRDefault="00000000">
      <w:pPr>
        <w:spacing w:after="10" w:line="240" w:lineRule="auto" w:before="0"/>
        <w:jc w:val="both"/>
      </w:pPr>
      <w:r>
        <w:rPr>
          <w:rFonts w:ascii="Times New Roman" w:hAnsi="Times New Roman"/>
          <w:sz w:val="20"/>
        </w:rPr>
        <w:t>1) At δ = 0.00 (forced binary prediction, 100% coverage), the system achieves a Macro-F1 of 0.5327 and a false positive rate of 29.9%.</w:t>
      </w:r>
    </w:p>
    <w:p w14:paraId="689D661C" w14:textId="77777777" w:rsidR="00E74D29" w:rsidRDefault="00000000">
      <w:pPr>
        <w:spacing w:after="10" w:line="240" w:lineRule="auto" w:before="0"/>
        <w:jc w:val="both"/>
      </w:pPr>
      <w:r>
        <w:rPr>
          <w:rFonts w:ascii="Times New Roman" w:hAnsi="Times New Roman"/>
          <w:sz w:val="20"/>
        </w:rPr>
        <w:t xml:space="preserve">2) At δ = 0.10 (proposed triage band 0.40 ≤ p̂ ≤ 0.60), the system resolves </w:t>
      </w:r>
      <w:r>
        <w:rPr>
          <w:rFonts w:ascii="Times New Roman" w:hAnsi="Times New Roman"/>
          <w:b/>
          <w:color w:val="0F172A"/>
          <w:sz w:val="20"/>
        </w:rPr>
        <w:t>87.2%</w:t>
      </w:r>
      <w:r>
        <w:rPr>
          <w:rFonts w:ascii="Times New Roman" w:hAnsi="Times New Roman"/>
          <w:sz w:val="20"/>
        </w:rPr>
        <w:t xml:space="preserve"> of serials (1,570 records) fully autonomously, while routing 12.8% of ambiguous records to human audit. On the autonomous subset, Macro-F1 rises to </w:t>
      </w:r>
      <w:r>
        <w:rPr>
          <w:rFonts w:ascii="Times New Roman" w:hAnsi="Times New Roman"/>
          <w:b/>
          <w:color w:val="0F172A"/>
          <w:sz w:val="20"/>
        </w:rPr>
        <w:t>0.6420</w:t>
      </w:r>
      <w:r>
        <w:rPr>
          <w:rFonts w:ascii="Times New Roman" w:hAnsi="Times New Roman"/>
          <w:sz w:val="20"/>
        </w:rPr>
        <w:t xml:space="preserve"> (+20.5% improvement), and the false positive rate drops from 29.9% to </w:t>
      </w:r>
      <w:r>
        <w:rPr>
          <w:rFonts w:ascii="Times New Roman" w:hAnsi="Times New Roman"/>
          <w:b/>
          <w:color w:val="0F172A"/>
          <w:sz w:val="20"/>
        </w:rPr>
        <w:t>13.8%</w:t>
      </w:r>
      <w:r>
        <w:rPr>
          <w:rFonts w:ascii="Times New Roman" w:hAnsi="Times New Roman"/>
          <w:sz w:val="20"/>
        </w:rPr>
        <w:t>.</w:t>
      </w:r>
    </w:p>
    <w:p w14:paraId="79633D99" w14:textId="77777777" w:rsidR="00E74D29" w:rsidRDefault="00000000">
      <w:pPr>
        <w:spacing w:after="10" w:line="240" w:lineRule="auto" w:before="0"/>
        <w:jc w:val="both"/>
      </w:pPr>
      <w:r>
        <w:rPr>
          <w:rFonts w:ascii="Times New Roman" w:hAnsi="Times New Roman"/>
          <w:sz w:val="20"/>
        </w:rPr>
        <w:t>3) At δ = 0.20 (wide triage band 0.30 ≤ p̂ ≤ 0.70), autonomous coverage is 71.4%, Macro-F1 reaches 0.7310, and false positive rate falls to 6.5%.</w:t>
      </w:r>
    </w:p>
    <w:p w14:paraId="6F3F1954" w14:textId="77777777" w:rsidR="00E74D29" w:rsidRDefault="00000000">
      <w:pPr>
        <w:spacing w:after="10" w:line="240" w:lineRule="auto" w:before="0"/>
        <w:jc w:val="both"/>
      </w:pPr>
      <w:r>
        <w:rPr>
          <w:rFonts w:ascii="Times New Roman" w:hAnsi="Times New Roman"/>
          <w:sz w:val="20"/>
        </w:rPr>
        <w:t>This demonstrates that selective abstention successfully purges the majority of borderline false positives, reserving human expertise for genuinely contentious cases.</w:t>
      </w:r>
    </w:p>
    <w:p w14:paraId="62BBAA5E" w14:textId="77777777" w:rsidR="00E74D29" w:rsidRDefault="00000000">
      <w:pPr>
        <w:spacing w:before="50" w:after="10"/>
      </w:pPr>
      <w:r>
        <w:rPr>
          <w:rFonts w:ascii="Times New Roman" w:hAnsi="Times New Roman"/>
          <w:b/>
          <w:i/>
          <w:sz w:val="20"/>
        </w:rPr>
        <w:t>G. Qualitative Case Studies</w:t>
      </w:r>
    </w:p>
    <w:p w14:paraId="5483C5EB" w14:textId="77777777" w:rsidR="00E74D29" w:rsidRDefault="00000000">
      <w:pPr>
        <w:spacing w:after="10" w:line="240" w:lineRule="auto" w:before="0"/>
        <w:jc w:val="both"/>
      </w:pPr>
      <w:r>
        <w:rPr>
          <w:rFonts w:ascii="Times New Roman" w:hAnsi="Times New Roman"/>
          <w:sz w:val="20"/>
        </w:rPr>
        <w:t>To illustrate operational behavior, we examine three representative test cases:</w:t>
      </w:r>
    </w:p>
    <w:p w14:paraId="5E4CA62E" w14:textId="77777777" w:rsidR="00E74D29" w:rsidRDefault="00000000">
      <w:pPr>
        <w:spacing w:after="10" w:line="240" w:lineRule="auto" w:before="0"/>
        <w:jc w:val="both"/>
      </w:pPr>
      <w:r>
        <w:rPr>
          <w:rFonts w:ascii="Times New Roman" w:hAnsi="Times New Roman"/>
          <w:b/>
          <w:color w:val="0F172A"/>
          <w:sz w:val="20"/>
        </w:rPr>
        <w:t>Case 1 (Early Exit at Stage 1: Obvious Cloned Domain)</w:t>
      </w:r>
      <w:r>
        <w:rPr>
          <w:rFonts w:ascii="Times New Roman" w:hAnsi="Times New Roman"/>
          <w:sz w:val="20"/>
        </w:rPr>
        <w:t>: Journal claim: "International Journal of Engineering Research &amp; Advanced Science" (</w:t>
      </w:r>
      <w:r>
        <w:rPr>
          <w:rFonts w:ascii="Times New Roman" w:hAnsi="Times New Roman"/>
          <w:color w:val="0F172A"/>
          <w:sz w:val="20"/>
        </w:rPr>
        <w:t>http://www-ijeras-research-portal.xyz/pub/</w:t>
      </w:r>
      <w:r>
        <w:rPr>
          <w:rFonts w:ascii="Times New Roman" w:hAnsi="Times New Roman"/>
          <w:sz w:val="20"/>
        </w:rPr>
        <w:t>). Extracted signals: Shannon entropy = 4.21, suspicious TLD (</w:t>
      </w:r>
      <w:r>
        <w:rPr>
          <w:rFonts w:ascii="Times New Roman" w:hAnsi="Times New Roman"/>
          <w:color w:val="0F172A"/>
          <w:sz w:val="20"/>
        </w:rPr>
        <w:t>.xyz</w:t>
      </w:r>
      <w:r>
        <w:rPr>
          <w:rFonts w:ascii="Times New Roman" w:hAnsi="Times New Roman"/>
          <w:sz w:val="20"/>
        </w:rPr>
        <w:t xml:space="preserve">), domain hyphen count = 4, no HTTPS. Decision: Stage 1 model emits p̂_1 = 0.962 (confidence c_1 = 0.962 ≥ 0.80). Acquisition terminates in </w:t>
      </w:r>
      <w:r>
        <w:rPr>
          <w:rFonts w:ascii="Times New Roman" w:hAnsi="Times New Roman"/>
          <w:b/>
          <w:color w:val="0F172A"/>
          <w:sz w:val="20"/>
        </w:rPr>
        <w:t>8.4 ms</w:t>
      </w:r>
      <w:r>
        <w:rPr>
          <w:rFonts w:ascii="Times New Roman" w:hAnsi="Times New Roman"/>
          <w:sz w:val="20"/>
        </w:rPr>
        <w:t xml:space="preserve"> with automated predatory warning emitted with zero web scraping.</w:t>
      </w:r>
    </w:p>
    <w:p w14:paraId="3D901C6F" w14:textId="77777777" w:rsidR="00E74D29" w:rsidRDefault="00000000">
      <w:pPr>
        <w:spacing w:after="10" w:line="240" w:lineRule="auto" w:before="0"/>
        <w:jc w:val="both"/>
      </w:pPr>
      <w:r>
        <w:rPr>
          <w:rFonts w:ascii="Times New Roman" w:hAnsi="Times New Roman"/>
          <w:b/>
          <w:color w:val="0F172A"/>
          <w:sz w:val="20"/>
        </w:rPr>
        <w:t>Case 2 (Early Exit at Stage 2: Deceptive OJS Operation)</w:t>
      </w:r>
      <w:r>
        <w:rPr>
          <w:rFonts w:ascii="Times New Roman" w:hAnsi="Times New Roman"/>
          <w:sz w:val="20"/>
        </w:rPr>
        <w:t>: Journal claim: "Global Scholar Journal of Medical Discoveries" (</w:t>
      </w:r>
      <w:r>
        <w:rPr>
          <w:rFonts w:ascii="Times New Roman" w:hAnsi="Times New Roman"/>
          <w:color w:val="0F172A"/>
          <w:sz w:val="20"/>
        </w:rPr>
        <w:t>https://globalscholar-med.org/index.php/gsjmd</w:t>
      </w:r>
      <w:r>
        <w:rPr>
          <w:rFonts w:ascii="Times New Roman" w:hAnsi="Times New Roman"/>
          <w:sz w:val="20"/>
        </w:rPr>
        <w:t>). Stage 1 domain metrics are inconclusive (c_1 = 0.58 &lt; 0.80), prompting escalation to Stage 2. HTML analysis reveals rapid review guarantee ("Reviewed within 48 hours"), APC fee of 450 USD with PayPal payment link, free Gmail contact address (</w:t>
      </w:r>
      <w:r>
        <w:rPr>
          <w:rFonts w:ascii="Times New Roman" w:hAnsi="Times New Roman"/>
          <w:color w:val="0F172A"/>
          <w:sz w:val="20"/>
        </w:rPr>
        <w:t>med.editor2024@gmail.com</w:t>
      </w:r>
      <w:r>
        <w:rPr>
          <w:rFonts w:ascii="Times New Roman" w:hAnsi="Times New Roman"/>
          <w:sz w:val="20"/>
        </w:rPr>
        <w:t xml:space="preserve">), and absent COPE declaration. Decision: Stage 2 model emits p̂_2 = 0.892 </w:t>
      </w:r>
      <w:r>
        <w:rPr>
          <w:rFonts w:ascii="Times New Roman" w:hAnsi="Times New Roman"/>
          <w:sz w:val="20"/>
        </w:rPr>
        <w:lastRenderedPageBreak/>
        <w:t xml:space="preserve">(confidence c_2 = 0.892 ≥ 0.80). Acquisition terminates in </w:t>
      </w:r>
      <w:r>
        <w:rPr>
          <w:rFonts w:ascii="Times New Roman" w:hAnsi="Times New Roman"/>
          <w:b/>
          <w:color w:val="0F172A"/>
          <w:sz w:val="20"/>
        </w:rPr>
        <w:t>792 ms</w:t>
      </w:r>
      <w:r>
        <w:rPr>
          <w:rFonts w:ascii="Times New Roman" w:hAnsi="Times New Roman"/>
          <w:sz w:val="20"/>
        </w:rPr>
        <w:t xml:space="preserve"> with verified predatory verdict grounded in policy violations.</w:t>
      </w:r>
    </w:p>
    <w:p w14:paraId="5C9FB37A" w14:textId="77777777" w:rsidR="00E74D29" w:rsidRDefault="00000000">
      <w:pPr>
        <w:spacing w:after="10" w:line="240" w:lineRule="auto" w:before="0"/>
        <w:jc w:val="both"/>
      </w:pPr>
      <w:r>
        <w:rPr>
          <w:rFonts w:ascii="Times New Roman" w:hAnsi="Times New Roman"/>
          <w:b/>
          <w:color w:val="0F172A"/>
          <w:sz w:val="20"/>
        </w:rPr>
        <w:t>Case 3 (Selective Abstention at Stage 4: Legitimate Emerging Society Journal)</w:t>
      </w:r>
      <w:r>
        <w:rPr>
          <w:rFonts w:ascii="Times New Roman" w:hAnsi="Times New Roman"/>
          <w:sz w:val="20"/>
        </w:rPr>
        <w:t>: Journal claim: "African Journal of Applied Agricultural Sciences" (</w:t>
      </w:r>
      <w:r>
        <w:rPr>
          <w:rFonts w:ascii="Times New Roman" w:hAnsi="Times New Roman"/>
          <w:color w:val="0F172A"/>
          <w:sz w:val="20"/>
        </w:rPr>
        <w:t>https://ajaas-society.org/</w:t>
      </w:r>
      <w:r>
        <w:rPr>
          <w:rFonts w:ascii="Times New Roman" w:hAnsi="Times New Roman"/>
          <w:sz w:val="20"/>
        </w:rPr>
        <w:t>). Evaluation indicates legitimate institutional contacts, standard peer review policies, and no suspicious script tracking. However, because the journal was established in 2024, it lacks an official DOAJ seal and has a low Crossref publication volume. The calibrated model emits risk probability p̂_4 = 0.485, falling squarely into the abstention band (0.40 ≤ p̂ ≤ 0.60). Autonomous classification is safely withheld and routed to human librarian audit, preventing an erroneous false positive.</w:t>
      </w:r>
    </w:p>
    <w:p w14:paraId="75B53166" w14:textId="77777777" w:rsidR="00E74D29" w:rsidRDefault="00000000">
      <w:pPr>
        <w:spacing w:before="70" w:after="20"/>
        <w:jc w:val="center"/>
      </w:pPr>
      <w:r>
        <w:rPr>
          <w:rFonts w:ascii="Times New Roman" w:hAnsi="Times New Roman"/>
          <w:b/>
          <w:color w:val="0F172A"/>
          <w:sz w:val="20"/>
        </w:rPr>
        <w:t>VI. DISCUSSION &amp; DEPLOYMENT CONSIDERATIONS</w:t>
      </w:r>
    </w:p>
    <w:p w14:paraId="43350D57" w14:textId="77777777" w:rsidR="00E74D29" w:rsidRDefault="00000000">
      <w:pPr>
        <w:spacing w:before="50" w:after="10"/>
      </w:pPr>
      <w:r>
        <w:rPr>
          <w:rFonts w:ascii="Times New Roman" w:hAnsi="Times New Roman"/>
          <w:b/>
          <w:i/>
          <w:sz w:val="20"/>
        </w:rPr>
        <w:t>A. Economic &amp; Computational Viability</w:t>
      </w:r>
    </w:p>
    <w:p w14:paraId="654DA309" w14:textId="77777777" w:rsidR="00E74D29" w:rsidRDefault="00000000">
      <w:pPr>
        <w:spacing w:after="10" w:line="240" w:lineRule="auto" w:before="0"/>
        <w:jc w:val="both"/>
      </w:pPr>
      <w:r>
        <w:rPr>
          <w:rFonts w:ascii="Times New Roman" w:hAnsi="Times New Roman"/>
          <w:sz w:val="20"/>
        </w:rPr>
        <w:t>In production environments auditing thousands of serials daily, computational and financial costs are paramount:</w:t>
      </w:r>
    </w:p>
    <w:p w14:paraId="6E7487B4" w14:textId="77777777" w:rsidR="00E74D29" w:rsidRDefault="00000000">
      <w:pPr>
        <w:spacing w:after="10" w:line="240" w:lineRule="auto" w:before="0"/>
        <w:jc w:val="both"/>
      </w:pPr>
      <w:r>
        <w:rPr>
          <w:rFonts w:ascii="Times New Roman" w:hAnsi="Times New Roman"/>
          <w:sz w:val="20"/>
        </w:rPr>
        <w:t>Monolithic scraping requires dedicated headless browser server fleets (consuming substantial CPU and memory) and high-volume paid registry API subscriptions. At 9,310 ms per serial, auditing 100,000 journals requires approximately 258 compute-hours.</w:t>
      </w:r>
    </w:p>
    <w:p w14:paraId="0786F2C4" w14:textId="77777777" w:rsidR="00E74D29" w:rsidRDefault="00000000">
      <w:pPr>
        <w:spacing w:after="10" w:line="240" w:lineRule="auto" w:before="0"/>
        <w:jc w:val="both"/>
      </w:pPr>
      <w:r>
        <w:rPr>
          <w:rFonts w:ascii="Times New Roman" w:hAnsi="Times New Roman"/>
          <w:sz w:val="20"/>
        </w:rPr>
        <w:t xml:space="preserve">Under our adaptive framework (mean latency = 519 ms), the same 100,000 serials are audited in </w:t>
      </w:r>
      <w:r>
        <w:rPr>
          <w:rFonts w:ascii="Times New Roman" w:hAnsi="Times New Roman"/>
          <w:b/>
          <w:color w:val="0F172A"/>
          <w:sz w:val="20"/>
        </w:rPr>
        <w:t>14.4 compute-hours</w:t>
      </w:r>
      <w:r>
        <w:rPr>
          <w:rFonts w:ascii="Times New Roman" w:hAnsi="Times New Roman"/>
          <w:sz w:val="20"/>
        </w:rPr>
        <w:t xml:space="preserve">—a </w:t>
      </w:r>
      <w:r>
        <w:rPr>
          <w:rFonts w:ascii="Times New Roman" w:hAnsi="Times New Roman"/>
          <w:b/>
          <w:color w:val="0F172A"/>
          <w:sz w:val="20"/>
        </w:rPr>
        <w:t>17.9× throughput acceleration</w:t>
      </w:r>
      <w:r>
        <w:rPr>
          <w:rFonts w:ascii="Times New Roman" w:hAnsi="Times New Roman"/>
          <w:sz w:val="20"/>
        </w:rPr>
        <w:t xml:space="preserve"> that can run efficiently on lightweight serverless infrastructure.</w:t>
      </w:r>
    </w:p>
    <w:p w14:paraId="5F1BEBBE" w14:textId="77777777" w:rsidR="00E74D29" w:rsidRDefault="00000000">
      <w:pPr>
        <w:spacing w:before="50" w:after="10"/>
      </w:pPr>
      <w:r>
        <w:rPr>
          <w:rFonts w:ascii="Times New Roman" w:hAnsi="Times New Roman"/>
          <w:b/>
          <w:i/>
          <w:sz w:val="20"/>
        </w:rPr>
        <w:t>B. Ethical Implications, Defamation Risks, and the Global South</w:t>
      </w:r>
    </w:p>
    <w:p w14:paraId="4D2FCE1C" w14:textId="77777777" w:rsidR="00E74D29" w:rsidRDefault="00000000">
      <w:pPr>
        <w:spacing w:after="10" w:line="240" w:lineRule="auto" w:before="0"/>
        <w:jc w:val="both"/>
      </w:pPr>
      <w:r>
        <w:rPr>
          <w:rFonts w:ascii="Times New Roman" w:hAnsi="Times New Roman"/>
          <w:sz w:val="20"/>
        </w:rPr>
        <w:t>Automated blacklisting carries severe ethical and legal responsibilities. Historically, Jeffrey Beall faced intense legal threats and institutional pushback after listing journals that claimed to be legitimate open-access venues [1]. Furthermore, static classifiers often exhibit systemic bias against legitimate scholarly publications from developing regions (such as Africa, Latin America, and South Asia), where academic societies may operate on shoestring budgets, use free email providers, or lack immediate funds for Crossref DOIs or DOAJ indexing [11].</w:t>
      </w:r>
    </w:p>
    <w:p w14:paraId="3E02EC34" w14:textId="77777777" w:rsidR="00E74D29" w:rsidRDefault="00000000">
      <w:pPr>
        <w:spacing w:after="10" w:line="240" w:lineRule="auto" w:before="0"/>
        <w:jc w:val="both"/>
      </w:pPr>
      <w:r>
        <w:rPr>
          <w:rFonts w:ascii="Times New Roman" w:hAnsi="Times New Roman"/>
          <w:sz w:val="20"/>
        </w:rPr>
        <w:t>Our architecture directly mitigates these harms through two core design choices:</w:t>
      </w:r>
    </w:p>
    <w:p w14:paraId="112C4D2D" w14:textId="77777777" w:rsidR="00E74D29" w:rsidRDefault="00000000">
      <w:pPr>
        <w:spacing w:after="10" w:line="240" w:lineRule="auto" w:before="0"/>
        <w:jc w:val="both"/>
      </w:pPr>
      <w:r>
        <w:rPr>
          <w:rFonts w:ascii="Times New Roman" w:hAnsi="Times New Roman"/>
          <w:sz w:val="20"/>
        </w:rPr>
        <w:t xml:space="preserve">1. </w:t>
      </w:r>
      <w:r>
        <w:rPr>
          <w:rFonts w:ascii="Times New Roman" w:hAnsi="Times New Roman"/>
          <w:b/>
          <w:color w:val="0F172A"/>
          <w:sz w:val="20"/>
        </w:rPr>
        <w:t>Tri-State Selective Abstention</w:t>
      </w:r>
      <w:r>
        <w:rPr>
          <w:rFonts w:ascii="Times New Roman" w:hAnsi="Times New Roman"/>
          <w:sz w:val="20"/>
        </w:rPr>
        <w:t>: Borderline journals are never branded as predatory by automated fiat. Instead, the system abstains and requests human evaluation.</w:t>
      </w:r>
    </w:p>
    <w:p w14:paraId="6B99795B" w14:textId="77777777" w:rsidR="00E74D29" w:rsidRDefault="00000000">
      <w:pPr>
        <w:spacing w:after="10" w:line="240" w:lineRule="auto" w:before="0"/>
        <w:jc w:val="both"/>
      </w:pPr>
      <w:r>
        <w:rPr>
          <w:rFonts w:ascii="Times New Roman" w:hAnsi="Times New Roman"/>
          <w:sz w:val="20"/>
        </w:rPr>
        <w:t xml:space="preserve">2. </w:t>
      </w:r>
      <w:r>
        <w:rPr>
          <w:rFonts w:ascii="Times New Roman" w:hAnsi="Times New Roman"/>
          <w:b/>
          <w:color w:val="0F172A"/>
          <w:sz w:val="20"/>
        </w:rPr>
        <w:t>Deterministic Provenance Grounding</w:t>
      </w:r>
      <w:r>
        <w:rPr>
          <w:rFonts w:ascii="Times New Roman" w:hAnsi="Times New Roman"/>
          <w:sz w:val="20"/>
        </w:rPr>
        <w:t xml:space="preserve">: Classification verdicts are paired with explicit evidence logs (e.g., verifying </w:t>
      </w:r>
      <w:r>
        <w:rPr>
          <w:rFonts w:ascii="Times New Roman" w:hAnsi="Times New Roman"/>
          <w:sz w:val="20"/>
        </w:rPr>
        <w:t>whether an ISSN actually exists in the official portal or whether claimed indexing is confirmed), replacing opaque scalar scores with auditable facts.</w:t>
      </w:r>
    </w:p>
    <w:p w14:paraId="79D1993B" w14:textId="77777777" w:rsidR="00E74D29" w:rsidRDefault="00000000">
      <w:pPr>
        <w:spacing w:before="50" w:after="10"/>
      </w:pPr>
      <w:r>
        <w:rPr>
          <w:rFonts w:ascii="Times New Roman" w:hAnsi="Times New Roman"/>
          <w:b/>
          <w:i/>
          <w:sz w:val="20"/>
        </w:rPr>
        <w:t>C. Limitations &amp; Adversarial Dynamics</w:t>
      </w:r>
    </w:p>
    <w:p w14:paraId="78F07254" w14:textId="77777777" w:rsidR="00E74D29" w:rsidRDefault="00000000">
      <w:pPr>
        <w:spacing w:after="10" w:line="240" w:lineRule="auto" w:before="0"/>
        <w:jc w:val="both"/>
      </w:pPr>
      <w:r>
        <w:rPr>
          <w:rFonts w:ascii="Times New Roman" w:hAnsi="Times New Roman"/>
          <w:sz w:val="20"/>
        </w:rPr>
        <w:t>We identify several verified limitations:</w:t>
      </w:r>
    </w:p>
    <w:p w14:paraId="3B5EF122" w14:textId="77777777" w:rsidR="00E74D29" w:rsidRDefault="00000000">
      <w:pPr>
        <w:spacing w:after="10" w:line="240" w:lineRule="auto" w:before="0"/>
        <w:jc w:val="both"/>
      </w:pPr>
      <w:r>
        <w:rPr>
          <w:rFonts w:ascii="Times New Roman" w:hAnsi="Times New Roman"/>
          <w:sz w:val="20"/>
        </w:rPr>
        <w:t xml:space="preserve">1) </w:t>
      </w:r>
      <w:r>
        <w:rPr>
          <w:rFonts w:ascii="Times New Roman" w:hAnsi="Times New Roman"/>
          <w:b/>
          <w:color w:val="0F172A"/>
          <w:sz w:val="20"/>
        </w:rPr>
        <w:t>Registry Outages and API Downtime</w:t>
      </w:r>
      <w:r>
        <w:rPr>
          <w:rFonts w:ascii="Times New Roman" w:hAnsi="Times New Roman"/>
          <w:sz w:val="20"/>
        </w:rPr>
        <w:t>: When external registry APIs (Crossref, OpenAlex) experience downtime or rate limiting, Stage 4 features must rely on cached or fallback representations.</w:t>
      </w:r>
    </w:p>
    <w:p w14:paraId="44557F7E" w14:textId="77777777" w:rsidR="00E74D29" w:rsidRDefault="00000000">
      <w:pPr>
        <w:spacing w:after="10" w:line="240" w:lineRule="auto" w:before="0"/>
        <w:jc w:val="both"/>
      </w:pPr>
      <w:r>
        <w:rPr>
          <w:rFonts w:ascii="Times New Roman" w:hAnsi="Times New Roman"/>
          <w:sz w:val="20"/>
        </w:rPr>
        <w:t xml:space="preserve">2) </w:t>
      </w:r>
      <w:r>
        <w:rPr>
          <w:rFonts w:ascii="Times New Roman" w:hAnsi="Times New Roman"/>
          <w:b/>
          <w:color w:val="0F172A"/>
          <w:sz w:val="20"/>
        </w:rPr>
        <w:t>Sophisticated Adversarial Evasion</w:t>
      </w:r>
      <w:r>
        <w:rPr>
          <w:rFonts w:ascii="Times New Roman" w:hAnsi="Times New Roman"/>
          <w:sz w:val="20"/>
        </w:rPr>
        <w:t>: As detection systems improve, advanced predatory networks may purchase expired legitimate academic domains or establish formal legal corporate entities to acquire legitimate ISSNs. Countering this evolution requires continuous longitudinal corpus auditing and integration of citation network forensics.</w:t>
      </w:r>
    </w:p>
    <w:p w14:paraId="1F08CBF5" w14:textId="77777777" w:rsidR="00E74D29" w:rsidRDefault="00000000">
      <w:pPr>
        <w:spacing w:before="70" w:after="20"/>
        <w:jc w:val="center"/>
      </w:pPr>
      <w:r>
        <w:rPr>
          <w:rFonts w:ascii="Times New Roman" w:hAnsi="Times New Roman"/>
          <w:b/>
          <w:color w:val="0F172A"/>
          <w:sz w:val="20"/>
        </w:rPr>
        <w:t>VII. CONCLUSION</w:t>
      </w:r>
    </w:p>
    <w:p w14:paraId="2F853EE9" w14:textId="77777777" w:rsidR="00E74D29" w:rsidRDefault="00000000">
      <w:pPr>
        <w:spacing w:after="10" w:line="240" w:lineRule="auto" w:before="0"/>
        <w:jc w:val="both"/>
      </w:pPr>
      <w:r>
        <w:rPr>
          <w:rFonts w:ascii="Times New Roman" w:hAnsi="Times New Roman"/>
          <w:sz w:val="20"/>
        </w:rPr>
        <w:t xml:space="preserve">This paper presented an end-to-end, cost-aware progressive feature acquisition framework for automated predatory journal detection under longitudinal distribution shift. By organizing feature extraction into a four-stage hierarchy ordered by latency and employing a shared progressive neural network with calibrated early stopping, our system resolves 36.3% of serials at Stage 1 and 63.7% at Stage 2. This achieves a </w:t>
      </w:r>
      <w:r>
        <w:rPr>
          <w:rFonts w:ascii="Times New Roman" w:hAnsi="Times New Roman"/>
          <w:b/>
          <w:color w:val="0F172A"/>
          <w:sz w:val="20"/>
        </w:rPr>
        <w:t>94.4% reduction in mean inference latency</w:t>
      </w:r>
      <w:r>
        <w:rPr>
          <w:rFonts w:ascii="Times New Roman" w:hAnsi="Times New Roman"/>
          <w:sz w:val="20"/>
        </w:rPr>
        <w:t xml:space="preserve"> (519.0 ms vs. 9,310.0 ms) while improving out-of-distribution temporal generalization Macro-F1 from 0.4560 to </w:t>
      </w:r>
      <w:r>
        <w:rPr>
          <w:rFonts w:ascii="Times New Roman" w:hAnsi="Times New Roman"/>
          <w:b/>
          <w:color w:val="0F172A"/>
          <w:sz w:val="20"/>
        </w:rPr>
        <w:t>0.5327</w:t>
      </w:r>
      <w:r>
        <w:rPr>
          <w:rFonts w:ascii="Times New Roman" w:hAnsi="Times New Roman"/>
          <w:sz w:val="20"/>
        </w:rPr>
        <w:t>, overcoming the catastrophic collapse suffered by standard tabular models (XGBoost F1 = 0.0904). Furthermore, by coupling progressive classification with temperature-calibrated selective abstention and deterministic provenance grounding, the system provides transparent, auditable forensic verdicts suitable for real-world academic governance.</w:t>
      </w:r>
    </w:p>
    <w:p w14:paraId="25CB405F" w14:textId="77777777" w:rsidR="00E74D29" w:rsidRDefault="00000000">
      <w:pPr>
        <w:spacing w:after="10" w:line="240" w:lineRule="auto" w:before="0"/>
        <w:jc w:val="both"/>
      </w:pPr>
      <w:r>
        <w:rPr>
          <w:rFonts w:ascii="Times New Roman" w:hAnsi="Times New Roman"/>
          <w:sz w:val="20"/>
        </w:rPr>
        <w:t>All benchmark datasets, audited temporal splits, model weights, and demonstration tools are publicly accessible to support open scholarly integrity research.</w:t>
      </w:r>
    </w:p>
    <w:p w14:paraId="01713A2F" w14:textId="77777777" w:rsidR="00E74D29" w:rsidRDefault="00000000">
      <w:pPr>
        <w:spacing w:before="70" w:after="20"/>
        <w:jc w:val="center"/>
      </w:pPr>
      <w:r>
        <w:rPr>
          <w:rFonts w:ascii="Times New Roman" w:hAnsi="Times New Roman"/>
          <w:b/>
          <w:color w:val="0F172A"/>
          <w:sz w:val="20"/>
        </w:rPr>
        <w:t>ACKNOWLEDGMENT</w:t>
      </w:r>
    </w:p>
    <w:p w14:paraId="6FD1BCFE" w14:textId="77777777" w:rsidR="00E74D29" w:rsidRDefault="00000000">
      <w:pPr>
        <w:spacing w:after="10" w:line="240" w:lineRule="auto" w:before="0"/>
        <w:jc w:val="both"/>
      </w:pPr>
      <w:r>
        <w:rPr>
          <w:rFonts w:ascii="Times New Roman" w:hAnsi="Times New Roman"/>
          <w:sz w:val="20"/>
        </w:rPr>
        <w:t>The authors express gratitude to the maintainers of the Directory of Open Access Journals (DOAJ), Crossref, OpenAlex, and the ISSN International Centre for providing open scholarly metadata APIs that make empirical publication integrity auditing possible. We also acknowledge the high-performance computational infrastructure provided by the Scholarly Integrity Research Laboratory.</w:t>
      </w:r>
    </w:p>
    <w:p w14:paraId="5C4C44A6" w14:textId="77777777" w:rsidR="00E74D29" w:rsidRDefault="00000000">
      <w:pPr>
        <w:spacing w:before="70" w:after="20"/>
        <w:jc w:val="center"/>
      </w:pPr>
      <w:r>
        <w:rPr>
          <w:rFonts w:ascii="Times New Roman" w:hAnsi="Times New Roman"/>
          <w:b/>
          <w:color w:val="0F172A"/>
          <w:sz w:val="20"/>
        </w:rPr>
        <w:t>APPENDIX: HYPERPARAMETER &amp; CRAWLING INFRASTRUCTURE SPECIFICATIONS</w:t>
      </w:r>
    </w:p>
    <w:tbl>
      <w:tblPr>
        <w:tblW w:w="4824" w:type="dxa"/>
        <w:jc w:val="center"/>
        <w:tblLayout w:type="fixed"/>
        <w:tblLook w:val="04A0" w:firstRow="1" w:lastRow="0" w:firstColumn="1" w:lastColumn="0" w:noHBand="0" w:noVBand="1"/>
        <w:tblCellMar>
          <w:top w:w="15" w:type="dxa"/>
          <w:bottom w:w="15" w:type="dxa"/>
          <w:left w:w="20" w:type="dxa"/>
          <w:right w:w="20" w:type="dxa"/>
        </w:tblCellMar>
      </w:tblPr>
      <w:tblGrid>
        <w:gridCol w:w="1655"/>
        <w:gridCol w:w="1368"/>
        <w:gridCol w:w="1800"/>
      </w:tblGrid>
      <w:tr>
        <w:tc>
          <w:tcPr>
            <w:tcW w:type="dxa" w:w="1655"/>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Hyperparameter / Component</w:t>
            </w:r>
          </w:p>
        </w:tc>
        <w:tc>
          <w:tcPr>
            <w:tcW w:type="dxa" w:w="1368"/>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Operational Value</w:t>
            </w:r>
          </w:p>
        </w:tc>
        <w:tc>
          <w:tcPr>
            <w:tcW w:type="dxa" w:w="1800"/>
            <w:vAlign w:val="center"/>
            <w:tcBorders>
              <w:top w:val="single" w:sz="8" w:color="0F172A"/>
              <w:left w:val="none" w:sz="0" w:color="auto"/>
              <w:bottom w:val="single" w:sz="6" w:color="0F172A"/>
              <w:right w:val="none" w:sz="0" w:color="auto"/>
            </w:tcBorders>
          </w:tcPr>
          <w:p>
            <w:pPr>
              <w:spacing w:before="10" w:after="10" w:line="240" w:lineRule="auto"/>
              <w:jc w:val="left"/>
            </w:pPr>
            <w:r>
              <w:rPr>
                <w:rFonts w:ascii="Times New Roman" w:hAnsi="Times New Roman"/>
                <w:b/>
                <w:color w:val="0F172A"/>
                <w:sz w:val="13"/>
              </w:rPr>
              <w:t>Hardware Specification</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Deep Learning Framework</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PyTorch 2.1.2 / CUDA 12.1</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NVIDIA RTX Architecture, FP32 precision</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Optimization Algorithm</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AdamW (β1 = 0.9, β2 = 0.999)</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Initial lr = 1e-3, weight decay = 1e-4</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Learning Rate Schedule</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Cosine Annealing with Warmup</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5 warmup epochs, min lr = 1e-5</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Hidden Layer Dimensions</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 = 64 units per stage</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LayerNorm + ReLU + Dropout (p = 0.15)</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Platt Calibration Scaling</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w = 1.184, b = -0.419</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Temperature parameter T* = 1.420</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HTTP Retrieval Timeout</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3.0 seconds (Group B)</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Requests session pool with connection reuse</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Dynamic Browser Engine</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Headless Chromium (Group C)</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Playwright engine, disabled images</w:t>
            </w:r>
          </w:p>
        </w:tc>
      </w:tr>
      <w:tr>
        <w:tc>
          <w:tcPr>
            <w:tcW w:type="dxa" w:w="1655"/>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Registry API Backoff</w:t>
            </w:r>
          </w:p>
        </w:tc>
        <w:tc>
          <w:tcPr>
            <w:tcW w:type="dxa" w:w="1368"/>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Exponential (base 1.5s, 3 tries)</w:t>
            </w:r>
          </w:p>
        </w:tc>
        <w:tc>
          <w:tcPr>
            <w:tcW w:type="dxa" w:w="1800"/>
            <w:vAlign w:val="center"/>
            <w:tcBorders>
              <w:top w:val="none" w:sz="0" w:color="auto"/>
              <w:left w:val="none" w:sz="0" w:color="auto"/>
              <w:bottom w:val="single" w:sz="2" w:color="E2E8F0"/>
              <w:right w:val="none" w:sz="0" w:color="auto"/>
            </w:tcBorders>
          </w:tcPr>
          <w:p>
            <w:pPr>
              <w:spacing w:before="10" w:after="10" w:line="240" w:lineRule="auto"/>
              <w:jc w:val="left"/>
            </w:pPr>
            <w:r>
              <w:rPr>
                <w:rFonts w:ascii="Times New Roman" w:hAnsi="Times New Roman"/>
                <w:color w:val="1E293B"/>
                <w:sz w:val="12"/>
              </w:rPr>
              <w:t>Crossref, OpenAlex, DOAJ REST endpoints</w:t>
            </w:r>
          </w:p>
        </w:tc>
      </w:tr>
      <w:tr>
        <w:tc>
          <w:tcPr>
            <w:tcW w:type="dxa" w:w="1655"/>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Peak Runtime RAM</w:t>
            </w:r>
          </w:p>
        </w:tc>
        <w:tc>
          <w:tcPr>
            <w:tcW w:type="dxa" w:w="1368"/>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74.65 MB per query batch</w:t>
            </w:r>
          </w:p>
        </w:tc>
        <w:tc>
          <w:tcPr>
            <w:tcW w:type="dxa" w:w="1800"/>
            <w:vAlign w:val="center"/>
            <w:tcBorders>
              <w:top w:val="single" w:sz="2" w:color="E2E8F0"/>
              <w:left w:val="none" w:sz="0" w:color="auto"/>
              <w:bottom w:val="single" w:sz="8" w:color="0F172A"/>
              <w:right w:val="none" w:sz="0" w:color="auto"/>
            </w:tcBorders>
          </w:tcPr>
          <w:p>
            <w:pPr>
              <w:spacing w:before="10" w:after="10" w:line="240" w:lineRule="auto"/>
              <w:jc w:val="left"/>
            </w:pPr>
            <w:r>
              <w:rPr>
                <w:rFonts w:ascii="Times New Roman" w:hAnsi="Times New Roman"/>
                <w:color w:val="1E293B"/>
                <w:sz w:val="12"/>
              </w:rPr>
              <w:t>Compatible with lightweight serverless</w:t>
            </w:r>
          </w:p>
        </w:tc>
      </w:tr>
    </w:tbl>
    <w:p w14:paraId="51663436" w14:textId="77777777" w:rsidR="00E74D29" w:rsidRDefault="00000000">
      <w:pPr>
        <w:spacing w:before="80" w:after="30"/>
        <w:jc w:val="center"/>
      </w:pPr>
      <w:r>
        <w:rPr>
          <w:b/>
          <w:color w:val="0F172A"/>
          <w:sz w:val="20"/>
        </w:rPr>
        <w:t>REFERENCES</w:t>
      </w:r>
    </w:p>
    <w:p w14:paraId="58EDDFB8" w14:textId="77777777" w:rsidR="00E74D29" w:rsidRDefault="00000000">
      <w:pPr>
        <w:spacing w:after="16" w:before="0" w:line="240" w:lineRule="auto"/>
        <w:ind w:left="288" w:hanging="288"/>
        <w:jc w:val="both"/>
      </w:pPr>
      <w:r>
        <w:rPr>
          <w:rFonts w:ascii="Times New Roman" w:hAnsi="Times New Roman"/>
          <w:sz w:val="15"/>
        </w:rPr>
        <w:t xml:space="preserve">[1] J. Beall, "Criteria for determining predatory open-access publishers," </w:t>
      </w:r>
      <w:r>
        <w:rPr>
          <w:rFonts w:ascii="Times New Roman" w:hAnsi="Times New Roman"/>
          <w:i/>
          <w:sz w:val="15"/>
        </w:rPr>
        <w:t>Scholarly Open Access</w:t>
      </w:r>
      <w:r>
        <w:rPr>
          <w:rFonts w:ascii="Times New Roman" w:hAnsi="Times New Roman"/>
          <w:sz w:val="15"/>
        </w:rPr>
        <w:t>, vol. 3, pp. 1–6, 2015.</w:t>
      </w:r>
    </w:p>
    <w:p w14:paraId="38AC8975" w14:textId="77777777" w:rsidR="00E74D29" w:rsidRDefault="00000000">
      <w:pPr>
        <w:spacing w:after="16" w:before="0" w:line="240" w:lineRule="auto"/>
        <w:ind w:left="288" w:hanging="288"/>
        <w:jc w:val="both"/>
      </w:pPr>
      <w:r>
        <w:rPr>
          <w:rFonts w:ascii="Times New Roman" w:hAnsi="Times New Roman"/>
          <w:sz w:val="15"/>
        </w:rPr>
        <w:t xml:space="preserve">[2] C. Shen and B.-C. Björk, "'Predatory' open access: a longitudinal study of article volumes and market characteristics," </w:t>
      </w:r>
      <w:r>
        <w:rPr>
          <w:rFonts w:ascii="Times New Roman" w:hAnsi="Times New Roman"/>
          <w:i/>
          <w:sz w:val="15"/>
        </w:rPr>
        <w:t>BMC Medicine</w:t>
      </w:r>
      <w:r>
        <w:rPr>
          <w:rFonts w:ascii="Times New Roman" w:hAnsi="Times New Roman"/>
          <w:sz w:val="15"/>
        </w:rPr>
        <w:t>, vol. 13, no. 1, p. 230, 2015, doi: 10.1186/s12916-015-0469-2.</w:t>
      </w:r>
    </w:p>
    <w:p w14:paraId="4E2231C2" w14:textId="77777777" w:rsidR="00E74D29" w:rsidRDefault="00000000">
      <w:pPr>
        <w:spacing w:after="16" w:before="0" w:line="240" w:lineRule="auto"/>
        <w:ind w:left="288" w:hanging="288"/>
        <w:jc w:val="both"/>
      </w:pPr>
      <w:r>
        <w:rPr>
          <w:rFonts w:ascii="Times New Roman" w:hAnsi="Times New Roman"/>
          <w:sz w:val="15"/>
        </w:rPr>
        <w:t xml:space="preserve">[3] B.-C. Björk and D. Solomon, "Open access versus subscription journals: a comparison of scientific impact," </w:t>
      </w:r>
      <w:r>
        <w:rPr>
          <w:rFonts w:ascii="Times New Roman" w:hAnsi="Times New Roman"/>
          <w:i/>
          <w:sz w:val="15"/>
        </w:rPr>
        <w:t>BMC Medicine</w:t>
      </w:r>
      <w:r>
        <w:rPr>
          <w:rFonts w:ascii="Times New Roman" w:hAnsi="Times New Roman"/>
          <w:sz w:val="15"/>
        </w:rPr>
        <w:t>, vol. 10, no. 1, p. 73, 2012, doi: 10.1186/1741-7015-10-73.</w:t>
      </w:r>
    </w:p>
    <w:p w14:paraId="10DBBAAB" w14:textId="77777777" w:rsidR="00E74D29" w:rsidRDefault="00000000">
      <w:pPr>
        <w:spacing w:after="16" w:before="0" w:line="240" w:lineRule="auto"/>
        <w:ind w:left="288" w:hanging="288"/>
        <w:jc w:val="both"/>
      </w:pPr>
      <w:r>
        <w:rPr>
          <w:rFonts w:ascii="Times New Roman" w:hAnsi="Times New Roman"/>
          <w:sz w:val="15"/>
        </w:rPr>
        <w:t xml:space="preserve">[4] K. D. Cobey, M. M. Lalu, B. Skidmore, N. Ahmadzai, A. Grudniewicz, and D. Moher, "What is a predatory journal? A scoping review," </w:t>
      </w:r>
      <w:r>
        <w:rPr>
          <w:rFonts w:ascii="Times New Roman" w:hAnsi="Times New Roman"/>
          <w:i/>
          <w:sz w:val="15"/>
        </w:rPr>
        <w:t>F1000Research</w:t>
      </w:r>
      <w:r>
        <w:rPr>
          <w:rFonts w:ascii="Times New Roman" w:hAnsi="Times New Roman"/>
          <w:sz w:val="15"/>
        </w:rPr>
        <w:t>, vol. 7, p. 1001, 2018, doi: 10.12688/f1000research.15256.2.</w:t>
      </w:r>
    </w:p>
    <w:p w14:paraId="5894E7C5" w14:textId="77777777" w:rsidR="00E74D29" w:rsidRDefault="00000000">
      <w:pPr>
        <w:spacing w:after="16" w:before="0" w:line="240" w:lineRule="auto"/>
        <w:ind w:left="288" w:hanging="288"/>
        <w:jc w:val="both"/>
      </w:pPr>
      <w:r>
        <w:rPr>
          <w:rFonts w:ascii="Times New Roman" w:hAnsi="Times New Roman"/>
          <w:sz w:val="15"/>
        </w:rPr>
        <w:t xml:space="preserve">[5] A. Grudniewicz, D. Moher, K. D. Cobey, et al., "Predatory journals: no definition, no defence," </w:t>
      </w:r>
      <w:r>
        <w:rPr>
          <w:rFonts w:ascii="Times New Roman" w:hAnsi="Times New Roman"/>
          <w:i/>
          <w:sz w:val="15"/>
        </w:rPr>
        <w:t>Nature</w:t>
      </w:r>
      <w:r>
        <w:rPr>
          <w:rFonts w:ascii="Times New Roman" w:hAnsi="Times New Roman"/>
          <w:sz w:val="15"/>
        </w:rPr>
        <w:t>, vol. 576, no. 7786, pp. 210–212, 2019, doi: 10.1038/d41586-019-03759-y.</w:t>
      </w:r>
    </w:p>
    <w:p w14:paraId="638C4C80" w14:textId="77777777" w:rsidR="00E74D29" w:rsidRDefault="00000000">
      <w:pPr>
        <w:spacing w:after="16" w:before="0" w:line="240" w:lineRule="auto"/>
        <w:ind w:left="288" w:hanging="288"/>
        <w:jc w:val="both"/>
      </w:pPr>
      <w:r>
        <w:rPr>
          <w:rFonts w:ascii="Times New Roman" w:hAnsi="Times New Roman"/>
          <w:sz w:val="15"/>
        </w:rPr>
        <w:t xml:space="preserve">[6] D. Moher, L. Shamseer, K. D. Cobey, et al., "Stop this waste of people, animals and money," </w:t>
      </w:r>
      <w:r>
        <w:rPr>
          <w:rFonts w:ascii="Times New Roman" w:hAnsi="Times New Roman"/>
          <w:i/>
          <w:sz w:val="15"/>
        </w:rPr>
        <w:t>Nature</w:t>
      </w:r>
      <w:r>
        <w:rPr>
          <w:rFonts w:ascii="Times New Roman" w:hAnsi="Times New Roman"/>
          <w:sz w:val="15"/>
        </w:rPr>
        <w:t>, vol. 549, no. 7670, pp. 23–25, 2017, doi: 10.1038/549023a.</w:t>
      </w:r>
    </w:p>
    <w:p w14:paraId="185FC5D6" w14:textId="77777777" w:rsidR="00E74D29" w:rsidRDefault="00000000">
      <w:pPr>
        <w:spacing w:after="16" w:before="0" w:line="240" w:lineRule="auto"/>
        <w:ind w:left="288" w:hanging="288"/>
        <w:jc w:val="both"/>
      </w:pPr>
      <w:r>
        <w:rPr>
          <w:rFonts w:ascii="Times New Roman" w:hAnsi="Times New Roman"/>
          <w:sz w:val="15"/>
        </w:rPr>
        <w:t xml:space="preserve">[7] L.-X. Chen, S.-W. Su, C.-H. Liao, K.-S. Wong, and S.-M. Yuan, "An open automation system for predatory journal detection," </w:t>
      </w:r>
      <w:r>
        <w:rPr>
          <w:rFonts w:ascii="Times New Roman" w:hAnsi="Times New Roman"/>
          <w:i/>
          <w:sz w:val="15"/>
        </w:rPr>
        <w:t>Scientific Reports</w:t>
      </w:r>
      <w:r>
        <w:rPr>
          <w:rFonts w:ascii="Times New Roman" w:hAnsi="Times New Roman"/>
          <w:sz w:val="15"/>
        </w:rPr>
        <w:t>, vol. 13, no. 1, p. 2976, 2023, doi: 10.1038/s41598-023-30176-z.</w:t>
      </w:r>
    </w:p>
    <w:p w14:paraId="2D355578" w14:textId="77777777" w:rsidR="00E74D29" w:rsidRDefault="00000000">
      <w:pPr>
        <w:spacing w:after="16" w:before="0" w:line="240" w:lineRule="auto"/>
        <w:ind w:left="288" w:hanging="288"/>
        <w:jc w:val="both"/>
      </w:pPr>
      <w:r>
        <w:rPr>
          <w:rFonts w:ascii="Times New Roman" w:hAnsi="Times New Roman"/>
          <w:sz w:val="15"/>
        </w:rPr>
        <w:t xml:space="preserve">[8] J. A. Teixeira da Silva, "Variation in journal website characterization by an AI-driven 'predatory' journal detector," </w:t>
      </w:r>
      <w:r>
        <w:rPr>
          <w:rFonts w:ascii="Times New Roman" w:hAnsi="Times New Roman"/>
          <w:i/>
          <w:sz w:val="15"/>
        </w:rPr>
        <w:t>Expert Systems with Applications</w:t>
      </w:r>
      <w:r>
        <w:rPr>
          <w:rFonts w:ascii="Times New Roman" w:hAnsi="Times New Roman"/>
          <w:sz w:val="15"/>
        </w:rPr>
        <w:t>, vol. 283, p. 127933, 2025, doi: 10.1016/j.eswa.2025.127933.</w:t>
      </w:r>
    </w:p>
    <w:p w14:paraId="721CB54E" w14:textId="77777777" w:rsidR="00E74D29" w:rsidRDefault="00000000">
      <w:pPr>
        <w:spacing w:after="16" w:before="0" w:line="240" w:lineRule="auto"/>
        <w:ind w:left="288" w:hanging="288"/>
        <w:jc w:val="both"/>
      </w:pPr>
      <w:r>
        <w:rPr>
          <w:rFonts w:ascii="Times New Roman" w:hAnsi="Times New Roman"/>
          <w:sz w:val="15"/>
        </w:rPr>
        <w:t xml:space="preserve">[9] D. Al-Moghrabi, S. A. Arqub, M. P. Maroulakos, N. Pandis, and P. S. Fleming, "Can ChatGPT identify predatory biomedical and dental journals? A cross-sectional content analysis," </w:t>
      </w:r>
      <w:r>
        <w:rPr>
          <w:rFonts w:ascii="Times New Roman" w:hAnsi="Times New Roman"/>
          <w:i/>
          <w:sz w:val="15"/>
        </w:rPr>
        <w:t>Journal of Dentistry</w:t>
      </w:r>
      <w:r>
        <w:rPr>
          <w:rFonts w:ascii="Times New Roman" w:hAnsi="Times New Roman"/>
          <w:sz w:val="15"/>
        </w:rPr>
        <w:t>, vol. 142, p. 104840, 2024, doi: 10.1016/j.jdent.2024.104840.</w:t>
      </w:r>
    </w:p>
    <w:p w14:paraId="526473EF" w14:textId="77777777" w:rsidR="00E74D29" w:rsidRDefault="00000000">
      <w:pPr>
        <w:spacing w:after="16" w:before="0" w:line="240" w:lineRule="auto"/>
        <w:ind w:left="288" w:hanging="288"/>
        <w:jc w:val="both"/>
      </w:pPr>
      <w:r>
        <w:rPr>
          <w:rFonts w:ascii="Times New Roman" w:hAnsi="Times New Roman"/>
          <w:sz w:val="15"/>
        </w:rPr>
        <w:t xml:space="preserve">[10] J. Wu, T. Liu, K. Mu, and L. Zhou, "Identification and causal analysis of predatory open access journals based on interpretable machine learning," </w:t>
      </w:r>
      <w:r>
        <w:rPr>
          <w:rFonts w:ascii="Times New Roman" w:hAnsi="Times New Roman"/>
          <w:i/>
          <w:sz w:val="15"/>
        </w:rPr>
        <w:t>Scientometrics</w:t>
      </w:r>
      <w:r>
        <w:rPr>
          <w:rFonts w:ascii="Times New Roman" w:hAnsi="Times New Roman"/>
          <w:sz w:val="15"/>
        </w:rPr>
        <w:t>, vol. 129, pp. 3125–3148, 2024, doi: 10.1007/s11192-024-04969-6.</w:t>
      </w:r>
    </w:p>
    <w:p w14:paraId="72C088BD" w14:textId="77777777" w:rsidR="00E74D29" w:rsidRDefault="00000000">
      <w:pPr>
        <w:spacing w:after="16" w:before="0" w:line="240" w:lineRule="auto"/>
        <w:ind w:left="288" w:hanging="288"/>
        <w:jc w:val="both"/>
      </w:pPr>
      <w:r>
        <w:rPr>
          <w:rFonts w:ascii="Times New Roman" w:hAnsi="Times New Roman"/>
          <w:sz w:val="15"/>
        </w:rPr>
        <w:t xml:space="preserve">[11] L. Shamseer, D. Moher, O. Maduekwe, et al., "Potential predatory and legitimate biomedical journals: can you tell the difference? A cross-sectional comparison," </w:t>
      </w:r>
      <w:r>
        <w:rPr>
          <w:rFonts w:ascii="Times New Roman" w:hAnsi="Times New Roman"/>
          <w:i/>
          <w:sz w:val="15"/>
        </w:rPr>
        <w:t>BMC Medicine</w:t>
      </w:r>
      <w:r>
        <w:rPr>
          <w:rFonts w:ascii="Times New Roman" w:hAnsi="Times New Roman"/>
          <w:sz w:val="15"/>
        </w:rPr>
        <w:t>, vol. 15, no. 1, pp. 1–14, 2017, doi: 10.1186/s12916-017-0785-9.</w:t>
      </w:r>
    </w:p>
    <w:p w14:paraId="5F4AB099" w14:textId="77777777" w:rsidR="00E74D29" w:rsidRDefault="00000000">
      <w:pPr>
        <w:spacing w:after="16" w:before="0" w:line="240" w:lineRule="auto"/>
        <w:ind w:left="288" w:hanging="288"/>
        <w:jc w:val="both"/>
      </w:pPr>
      <w:r>
        <w:rPr>
          <w:rFonts w:ascii="Times New Roman" w:hAnsi="Times New Roman"/>
          <w:sz w:val="15"/>
        </w:rPr>
        <w:t xml:space="preserve">[12] F. Krawczyk and E. Kulczycki, "How do open access predatory journals operate in the era of artificial intelligence?," </w:t>
      </w:r>
      <w:r>
        <w:rPr>
          <w:rFonts w:ascii="Times New Roman" w:hAnsi="Times New Roman"/>
          <w:i/>
          <w:sz w:val="15"/>
        </w:rPr>
        <w:t>Journal of Informetrics</w:t>
      </w:r>
      <w:r>
        <w:rPr>
          <w:rFonts w:ascii="Times New Roman" w:hAnsi="Times New Roman"/>
          <w:sz w:val="15"/>
        </w:rPr>
        <w:t>, vol. 17, no. 2, p. 101402, 2023, doi: 10.1016/j.joi.2023.101402.</w:t>
      </w:r>
    </w:p>
    <w:p w14:paraId="4F65B3D3" w14:textId="77777777" w:rsidR="00E74D29" w:rsidRDefault="00000000">
      <w:pPr>
        <w:spacing w:after="16" w:before="0" w:line="240" w:lineRule="auto"/>
        <w:ind w:left="288" w:hanging="288"/>
        <w:jc w:val="both"/>
      </w:pPr>
      <w:r>
        <w:rPr>
          <w:rFonts w:ascii="Times New Roman" w:hAnsi="Times New Roman"/>
          <w:sz w:val="15"/>
        </w:rPr>
        <w:t xml:space="preserve">[13] M. Kachuee, K. Karkkainen, V. Ordonez, and M. Sarrafzadeh, "Cost-aware feature acquisition for dynamic health risk prediction," </w:t>
      </w:r>
      <w:r>
        <w:rPr>
          <w:rFonts w:ascii="Times New Roman" w:hAnsi="Times New Roman"/>
          <w:i/>
          <w:sz w:val="15"/>
        </w:rPr>
        <w:t>IEEE Journal of Biomedical and Health Informatics</w:t>
      </w:r>
      <w:r>
        <w:rPr>
          <w:rFonts w:ascii="Times New Roman" w:hAnsi="Times New Roman"/>
          <w:sz w:val="15"/>
        </w:rPr>
        <w:t>, vol. 23, no. 5, pp. 2056–2064, 2019, doi: 10.1109/JBHI.2018.2882772.</w:t>
      </w:r>
    </w:p>
    <w:p w14:paraId="0BB0821E" w14:textId="77777777" w:rsidR="00E74D29" w:rsidRDefault="00000000">
      <w:pPr>
        <w:spacing w:after="16" w:before="0" w:line="240" w:lineRule="auto"/>
        <w:ind w:left="288" w:hanging="288"/>
        <w:jc w:val="both"/>
      </w:pPr>
      <w:r>
        <w:rPr>
          <w:rFonts w:ascii="Times New Roman" w:hAnsi="Times New Roman"/>
          <w:sz w:val="15"/>
        </w:rPr>
        <w:t xml:space="preserve">[14] Z. Xu, K. Q. Weinberger, and O. Chapelle, "Cost-sensitive tree of classifiers," in </w:t>
      </w:r>
      <w:r>
        <w:rPr>
          <w:rFonts w:ascii="Times New Roman" w:hAnsi="Times New Roman"/>
          <w:i/>
          <w:sz w:val="15"/>
        </w:rPr>
        <w:t>International Conference on Machine Learning (ICML)</w:t>
      </w:r>
      <w:r>
        <w:rPr>
          <w:rFonts w:ascii="Times New Roman" w:hAnsi="Times New Roman"/>
          <w:sz w:val="15"/>
        </w:rPr>
        <w:t>, 2014, pp. 133–141.</w:t>
      </w:r>
    </w:p>
    <w:p w14:paraId="0D7C71EC" w14:textId="77777777" w:rsidR="00E74D29" w:rsidRDefault="00000000">
      <w:pPr>
        <w:spacing w:after="16" w:before="0" w:line="240" w:lineRule="auto"/>
        <w:ind w:left="288" w:hanging="288"/>
        <w:jc w:val="both"/>
      </w:pPr>
      <w:r>
        <w:rPr>
          <w:rFonts w:ascii="Times New Roman" w:hAnsi="Times New Roman"/>
          <w:sz w:val="15"/>
        </w:rPr>
        <w:t xml:space="preserve">[15] S. Teerapittayanon, B. McDanel, and H.-T. Kung, "BranchyNet: Fast inference via early exiting from deep neural networks," in </w:t>
      </w:r>
      <w:r>
        <w:rPr>
          <w:rFonts w:ascii="Times New Roman" w:hAnsi="Times New Roman"/>
          <w:i/>
          <w:sz w:val="15"/>
        </w:rPr>
        <w:t xml:space="preserve">2016 23rd </w:t>
      </w:r>
      <w:r>
        <w:rPr>
          <w:rFonts w:ascii="Times New Roman" w:hAnsi="Times New Roman"/>
          <w:i/>
          <w:sz w:val="15"/>
        </w:rPr>
        <w:t>International Conference on Pattern Recognition (ICPR)</w:t>
      </w:r>
      <w:r>
        <w:rPr>
          <w:rFonts w:ascii="Times New Roman" w:hAnsi="Times New Roman"/>
          <w:sz w:val="15"/>
        </w:rPr>
        <w:t>, IEEE, 2016, pp. 2464–2469, doi: 10.1109/ICPR.2016.7900006.</w:t>
      </w:r>
    </w:p>
    <w:p w14:paraId="7A2B26F9" w14:textId="77777777" w:rsidR="00E74D29" w:rsidRDefault="00000000">
      <w:pPr>
        <w:spacing w:after="16" w:before="0" w:line="240" w:lineRule="auto"/>
        <w:ind w:left="288" w:hanging="288"/>
        <w:jc w:val="both"/>
      </w:pPr>
      <w:r>
        <w:rPr>
          <w:rFonts w:ascii="Times New Roman" w:hAnsi="Times New Roman"/>
          <w:sz w:val="15"/>
        </w:rPr>
        <w:t xml:space="preserve">[16] W. Liu, P. Zhou, Z. Wang, Z. Zhao, H. Deng, and Q. Ju, "FastBERT: a self-distilling BERT with adaptive inference time," in </w:t>
      </w:r>
      <w:r>
        <w:rPr>
          <w:rFonts w:ascii="Times New Roman" w:hAnsi="Times New Roman"/>
          <w:i/>
          <w:sz w:val="15"/>
        </w:rPr>
        <w:t>Proceedings of the 58th Annual Meeting of the Association for Computational Linguistics (ACL)</w:t>
      </w:r>
      <w:r>
        <w:rPr>
          <w:rFonts w:ascii="Times New Roman" w:hAnsi="Times New Roman"/>
          <w:sz w:val="15"/>
        </w:rPr>
        <w:t>, 2020, pp. 6036–6044, doi: 10.18653/v1/2020.acl-main.537.</w:t>
      </w:r>
    </w:p>
    <w:p w14:paraId="64832028" w14:textId="77777777" w:rsidR="00E74D29" w:rsidRDefault="00000000">
      <w:pPr>
        <w:spacing w:after="16" w:before="0" w:line="240" w:lineRule="auto"/>
        <w:ind w:left="288" w:hanging="288"/>
        <w:jc w:val="both"/>
      </w:pPr>
      <w:r>
        <w:rPr>
          <w:rFonts w:ascii="Times New Roman" w:hAnsi="Times New Roman"/>
          <w:sz w:val="15"/>
        </w:rPr>
        <w:t xml:space="preserve">[17] C. Cortes, G. DeSalvo, and M. Mohri, "Learning with rejection," in </w:t>
      </w:r>
      <w:r>
        <w:rPr>
          <w:rFonts w:ascii="Times New Roman" w:hAnsi="Times New Roman"/>
          <w:i/>
          <w:sz w:val="15"/>
        </w:rPr>
        <w:t>International Conference on Algorithmic Learning Theory</w:t>
      </w:r>
      <w:r>
        <w:rPr>
          <w:rFonts w:ascii="Times New Roman" w:hAnsi="Times New Roman"/>
          <w:sz w:val="15"/>
        </w:rPr>
        <w:t>, Springer, 2016, pp. 67–82, doi: 10.1007/978-3-319-46379-7_5.</w:t>
      </w:r>
    </w:p>
    <w:p w14:paraId="1575888F" w14:textId="77777777" w:rsidR="00E74D29" w:rsidRDefault="00000000">
      <w:pPr>
        <w:spacing w:after="16" w:before="0" w:line="240" w:lineRule="auto"/>
        <w:ind w:left="288" w:hanging="288"/>
        <w:jc w:val="both"/>
      </w:pPr>
      <w:r>
        <w:rPr>
          <w:rFonts w:ascii="Times New Roman" w:hAnsi="Times New Roman"/>
          <w:sz w:val="15"/>
        </w:rPr>
        <w:t xml:space="preserve">[18] Y. Geifman and R. El-Yaniv, "Selective classification for deep neural networks," in </w:t>
      </w:r>
      <w:r>
        <w:rPr>
          <w:rFonts w:ascii="Times New Roman" w:hAnsi="Times New Roman"/>
          <w:i/>
          <w:sz w:val="15"/>
        </w:rPr>
        <w:t>Advances in Neural Information Processing Systems (NeurIPS)</w:t>
      </w:r>
      <w:r>
        <w:rPr>
          <w:rFonts w:ascii="Times New Roman" w:hAnsi="Times New Roman"/>
          <w:sz w:val="15"/>
        </w:rPr>
        <w:t>, vol. 30, 2017, pp. 4878–4887.</w:t>
      </w:r>
    </w:p>
    <w:p w14:paraId="59048A3F" w14:textId="77777777" w:rsidR="00E74D29" w:rsidRDefault="00000000">
      <w:pPr>
        <w:spacing w:after="16" w:before="0" w:line="240" w:lineRule="auto"/>
        <w:ind w:left="288" w:hanging="288"/>
        <w:jc w:val="both"/>
      </w:pPr>
      <w:r>
        <w:rPr>
          <w:rFonts w:ascii="Times New Roman" w:hAnsi="Times New Roman"/>
          <w:sz w:val="15"/>
        </w:rPr>
        <w:t xml:space="preserve">[19] C. Guo, G. Pleiss, Y. Sun, and K. Q. Weinberger, "On calibration of modern neural networks," in </w:t>
      </w:r>
      <w:r>
        <w:rPr>
          <w:rFonts w:ascii="Times New Roman" w:hAnsi="Times New Roman"/>
          <w:i/>
          <w:sz w:val="15"/>
        </w:rPr>
        <w:t>International Conference on Machine Learning (ICML)</w:t>
      </w:r>
      <w:r>
        <w:rPr>
          <w:rFonts w:ascii="Times New Roman" w:hAnsi="Times New Roman"/>
          <w:sz w:val="15"/>
        </w:rPr>
        <w:t>, PMLR, 2017, pp. 1321–1330.</w:t>
      </w:r>
    </w:p>
    <w:p w14:paraId="1E388AD9" w14:textId="77777777" w:rsidR="00E74D29" w:rsidRDefault="00000000">
      <w:pPr>
        <w:spacing w:after="16" w:before="0" w:line="240" w:lineRule="auto"/>
        <w:ind w:left="288" w:hanging="288"/>
        <w:jc w:val="both"/>
      </w:pPr>
      <w:r>
        <w:rPr>
          <w:rFonts w:ascii="Times New Roman" w:hAnsi="Times New Roman"/>
          <w:sz w:val="15"/>
        </w:rPr>
        <w:t xml:space="preserve">[20] J. Platt, "Probabilistic outputs for support vector machines and comparisons to regularized likelihood methods," </w:t>
      </w:r>
      <w:r>
        <w:rPr>
          <w:rFonts w:ascii="Times New Roman" w:hAnsi="Times New Roman"/>
          <w:i/>
          <w:sz w:val="15"/>
        </w:rPr>
        <w:t>Advances in Large Margin Classifiers</w:t>
      </w:r>
      <w:r>
        <w:rPr>
          <w:rFonts w:ascii="Times New Roman" w:hAnsi="Times New Roman"/>
          <w:sz w:val="15"/>
        </w:rPr>
        <w:t>, vol. 10, no. 3, pp. 61–74, 1999.</w:t>
      </w:r>
    </w:p>
    <w:sectPr w:rsidR="00E74D29" w:rsidSect="00034616">
      <w:type w:val="continuous"/>
      <w:pgSz w:w="12240" w:h="15840"/>
      <w:pgMar w:top="792" w:right="835" w:bottom="792" w:left="835"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049897">
    <w:abstractNumId w:val="8"/>
  </w:num>
  <w:num w:numId="2" w16cid:durableId="1391801945">
    <w:abstractNumId w:val="6"/>
  </w:num>
  <w:num w:numId="3" w16cid:durableId="603198201">
    <w:abstractNumId w:val="5"/>
  </w:num>
  <w:num w:numId="4" w16cid:durableId="116920470">
    <w:abstractNumId w:val="4"/>
  </w:num>
  <w:num w:numId="5" w16cid:durableId="2130855259">
    <w:abstractNumId w:val="7"/>
  </w:num>
  <w:num w:numId="6" w16cid:durableId="621887250">
    <w:abstractNumId w:val="3"/>
  </w:num>
  <w:num w:numId="7" w16cid:durableId="1499735948">
    <w:abstractNumId w:val="2"/>
  </w:num>
  <w:num w:numId="8" w16cid:durableId="1479608661">
    <w:abstractNumId w:val="1"/>
  </w:num>
  <w:num w:numId="9" w16cid:durableId="188097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BE2"/>
    <w:rsid w:val="00645948"/>
    <w:rsid w:val="00AA1D8D"/>
    <w:rsid w:val="00B47730"/>
    <w:rsid w:val="00CB0664"/>
    <w:rsid w:val="00E74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20068"/>
  <w14:defaultImageDpi w14:val="300"/>
  <w15:docId w15:val="{C872D21C-004A-4351-920C-91998E9D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6583</Words>
  <Characters>37525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jadhav</cp:lastModifiedBy>
  <cp:revision>2</cp:revision>
  <dcterms:created xsi:type="dcterms:W3CDTF">2013-12-23T23:15:00Z</dcterms:created>
  <dcterms:modified xsi:type="dcterms:W3CDTF">2026-10-21T18:17:00Z</dcterms:modified>
  <cp:category/>
</cp:coreProperties>
</file>