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20" w:line="360" w:lineRule="auto"/>
        <w:jc w:val="center"/>
      </w:pPr>
      <w:r>
        <w:rPr>
          <w:rFonts w:ascii="Times New Roman" w:hAnsi="Times New Roman"/>
          <w:b w:val="0"/>
          <w:i/>
          <w:color w:val="000000"/>
          <w:sz w:val="20"/>
        </w:rPr>
        <w:t>(Four blank spaces)</w:t>
      </w:r>
    </w:p>
    <w:p>
      <w:pPr>
        <w:spacing w:before="200" w:after="240" w:line="360" w:lineRule="auto"/>
        <w:jc w:val="center"/>
      </w:pPr>
      <w:r>
        <w:rPr>
          <w:rFonts w:ascii="Times New Roman" w:hAnsi="Times New Roman"/>
          <w:b/>
          <w:i w:val="0"/>
          <w:color w:val="000000"/>
          <w:sz w:val="24"/>
        </w:rPr>
        <w:t>GROUP ID: COMP-TS-2026-42</w:t>
      </w:r>
    </w:p>
    <w:p>
      <w:pPr>
        <w:spacing w:before="200" w:after="280" w:line="360" w:lineRule="auto"/>
        <w:jc w:val="center"/>
      </w:pPr>
      <w:r>
        <w:rPr>
          <w:rFonts w:ascii="Times New Roman" w:hAnsi="Times New Roman"/>
          <w:b/>
          <w:i w:val="0"/>
          <w:color w:val="000000"/>
          <w:sz w:val="24"/>
        </w:rPr>
        <w:t>A TECHNICAL SEMINAR REPORT ON</w:t>
      </w:r>
    </w:p>
    <w:p>
      <w:pPr>
        <w:spacing w:before="200" w:after="320" w:line="360" w:lineRule="auto"/>
        <w:jc w:val="center"/>
      </w:pPr>
      <w:r>
        <w:rPr>
          <w:rFonts w:ascii="Times New Roman" w:hAnsi="Times New Roman"/>
          <w:b/>
          <w:i w:val="0"/>
          <w:color w:val="000000"/>
          <w:sz w:val="32"/>
        </w:rPr>
        <w:t>COST-AWARE PROGRESSIVE PREDATORY JOURNAL DETECTION</w:t>
      </w:r>
    </w:p>
    <w:p>
      <w:pPr>
        <w:spacing w:before="240" w:after="120" w:line="360" w:lineRule="auto"/>
        <w:jc w:val="center"/>
      </w:pPr>
      <w:r>
        <w:rPr>
          <w:rFonts w:ascii="Times New Roman" w:hAnsi="Times New Roman"/>
          <w:b w:val="0"/>
          <w:i w:val="0"/>
          <w:color w:val="000000"/>
          <w:sz w:val="24"/>
        </w:rPr>
        <w:t>SUBMITTED TO THE PCET’S PIMPRI CHINCHWAD COLLEGE OF ENGINEERING IN THE PARTIAL FULFILLMENT OF THE REQUIREMENTS</w:t>
        <w:br/>
        <w:t>FOR</w:t>
      </w:r>
    </w:p>
    <w:p>
      <w:pPr>
        <w:spacing w:before="80" w:after="80" w:line="360" w:lineRule="auto"/>
        <w:jc w:val="center"/>
      </w:pPr>
      <w:r>
        <w:rPr>
          <w:rFonts w:ascii="Times New Roman" w:hAnsi="Times New Roman"/>
          <w:b/>
          <w:i w:val="0"/>
          <w:color w:val="000000"/>
          <w:sz w:val="24"/>
        </w:rPr>
        <w:t>THIRD YEAR</w:t>
      </w:r>
    </w:p>
    <w:p>
      <w:pPr>
        <w:spacing w:before="80" w:after="240" w:line="360" w:lineRule="auto"/>
        <w:jc w:val="center"/>
      </w:pPr>
      <w:r>
        <w:rPr>
          <w:rFonts w:ascii="Times New Roman" w:hAnsi="Times New Roman"/>
          <w:b w:val="0"/>
          <w:i w:val="0"/>
          <w:color w:val="000000"/>
          <w:sz w:val="24"/>
        </w:rPr>
        <w:t>OF</w:t>
      </w:r>
    </w:p>
    <w:p>
      <w:pPr>
        <w:spacing w:before="160" w:after="320" w:line="360" w:lineRule="auto"/>
        <w:jc w:val="center"/>
      </w:pPr>
      <w:r>
        <w:rPr>
          <w:rFonts w:ascii="Times New Roman" w:hAnsi="Times New Roman"/>
          <w:b/>
          <w:i w:val="0"/>
          <w:color w:val="000000"/>
          <w:sz w:val="32"/>
        </w:rPr>
        <w:t>BACHELOR OF TECHNOLOGY (COMPUTER ENGINEERING)</w:t>
      </w:r>
    </w:p>
    <w:p>
      <w:pPr>
        <w:spacing w:before="200" w:after="200" w:line="360" w:lineRule="auto"/>
        <w:jc w:val="center"/>
      </w:pPr>
      <w:r>
        <w:rPr>
          <w:rFonts w:ascii="Times New Roman" w:hAnsi="Times New Roman"/>
          <w:b w:val="0"/>
          <w:i w:val="0"/>
          <w:color w:val="000000"/>
          <w:sz w:val="24"/>
        </w:rPr>
        <w:t>SUBMITTED BY</w:t>
      </w:r>
    </w:p>
    <w:tbl>
      <w:tblPr>
        <w:tblW w:type="auto" w:w="0"/>
        <w:jc w:val="center"/>
        <w:tblLook w:firstColumn="1" w:firstRow="1" w:lastColumn="0" w:lastRow="0" w:noHBand="0" w:noVBand="1" w:val="04A0"/>
      </w:tblPr>
      <w:tblGrid>
        <w:gridCol w:w="4154"/>
        <w:gridCol w:w="4154"/>
      </w:tblGrid>
      <w:tr>
        <w:tc>
          <w:tcPr>
            <w:tcW w:type="dxa" w:w="4154"/>
          </w:tcPr>
          <w:p>
            <w:pPr>
              <w:jc w:val="right"/>
            </w:pPr>
            <w:r>
              <w:rPr>
                <w:b/>
                <w:sz w:val="24"/>
              </w:rPr>
              <w:t>PRATIK JADHAV</w:t>
            </w:r>
          </w:p>
        </w:tc>
        <w:tc>
          <w:tcPr>
            <w:tcW w:type="dxa" w:w="4154"/>
          </w:tcPr>
          <w:p>
            <w:pPr>
              <w:jc w:val="left"/>
            </w:pPr>
            <w:r>
              <w:rPr>
                <w:b/>
                <w:sz w:val="24"/>
              </w:rPr>
              <w:t>Roll No : 311002</w:t>
            </w:r>
          </w:p>
        </w:tc>
      </w:tr>
      <w:tr>
        <w:tc>
          <w:tcPr>
            <w:tcW w:type="dxa" w:w="4154"/>
          </w:tcPr>
          <w:p>
            <w:pPr>
              <w:jc w:val="right"/>
            </w:pPr>
            <w:r>
              <w:rPr>
                <w:b/>
                <w:sz w:val="24"/>
              </w:rPr>
              <w:t>SUYOG JADHAV</w:t>
            </w:r>
          </w:p>
        </w:tc>
        <w:tc>
          <w:tcPr>
            <w:tcW w:type="dxa" w:w="4154"/>
          </w:tcPr>
          <w:p>
            <w:pPr>
              <w:jc w:val="left"/>
            </w:pPr>
            <w:r>
              <w:rPr>
                <w:b/>
                <w:sz w:val="24"/>
              </w:rPr>
              <w:t>Roll No : 311001</w:t>
            </w:r>
          </w:p>
        </w:tc>
      </w:tr>
      <w:tr>
        <w:tc>
          <w:tcPr>
            <w:tcW w:type="dxa" w:w="4154"/>
          </w:tcPr>
          <w:p>
            <w:pPr>
              <w:jc w:val="right"/>
            </w:pPr>
            <w:r>
              <w:rPr>
                <w:b/>
                <w:sz w:val="24"/>
              </w:rPr>
              <w:t>PIYUSH PATEL</w:t>
            </w:r>
          </w:p>
        </w:tc>
        <w:tc>
          <w:tcPr>
            <w:tcW w:type="dxa" w:w="4154"/>
          </w:tcPr>
          <w:p>
            <w:pPr>
              <w:jc w:val="left"/>
            </w:pPr>
            <w:r>
              <w:rPr>
                <w:b/>
                <w:sz w:val="24"/>
              </w:rPr>
              <w:t>Roll No : 311003</w:t>
            </w:r>
          </w:p>
        </w:tc>
      </w:tr>
      <w:tr>
        <w:tc>
          <w:tcPr>
            <w:tcW w:type="dxa" w:w="4154"/>
          </w:tcPr>
          <w:p>
            <w:pPr>
              <w:jc w:val="right"/>
            </w:pPr>
            <w:r>
              <w:rPr>
                <w:b/>
                <w:sz w:val="24"/>
              </w:rPr>
              <w:t>PARSHWA NIKAM</w:t>
            </w:r>
          </w:p>
        </w:tc>
        <w:tc>
          <w:tcPr>
            <w:tcW w:type="dxa" w:w="4154"/>
          </w:tcPr>
          <w:p>
            <w:pPr>
              <w:jc w:val="left"/>
            </w:pPr>
            <w:r>
              <w:rPr>
                <w:b/>
                <w:sz w:val="24"/>
              </w:rPr>
              <w:t>Roll No : 311004</w:t>
            </w:r>
          </w:p>
        </w:tc>
      </w:tr>
    </w:tbl>
    <w:p>
      <w:pPr>
        <w:spacing w:before="240" w:after="120" w:line="360" w:lineRule="auto"/>
        <w:jc w:val="both"/>
      </w:pPr>
    </w:p>
    <w:p>
      <w:pPr>
        <w:jc w:val="center"/>
      </w:pPr>
      <w:r>
        <w:drawing>
          <wp:inline xmlns:a="http://schemas.openxmlformats.org/drawingml/2006/main" xmlns:pic="http://schemas.openxmlformats.org/drawingml/2006/picture">
            <wp:extent cx="1645920" cy="1650162"/>
            <wp:docPr id="1" name="Picture 1"/>
            <wp:cNvGraphicFramePr>
              <a:graphicFrameLocks noChangeAspect="1"/>
            </wp:cNvGraphicFramePr>
            <a:graphic>
              <a:graphicData uri="http://schemas.openxmlformats.org/drawingml/2006/picture">
                <pic:pic>
                  <pic:nvPicPr>
                    <pic:cNvPr id="0" name="pccoe_logo.png"/>
                    <pic:cNvPicPr/>
                  </pic:nvPicPr>
                  <pic:blipFill>
                    <a:blip r:embed="rId9"/>
                    <a:stretch>
                      <a:fillRect/>
                    </a:stretch>
                  </pic:blipFill>
                  <pic:spPr>
                    <a:xfrm>
                      <a:off x="0" y="0"/>
                      <a:ext cx="1645920" cy="1650162"/>
                    </a:xfrm>
                    <a:prstGeom prst="rect"/>
                  </pic:spPr>
                </pic:pic>
              </a:graphicData>
            </a:graphic>
          </wp:inline>
        </w:drawing>
      </w:r>
    </w:p>
    <w:p>
      <w:pPr>
        <w:spacing w:before="200" w:after="80" w:line="360" w:lineRule="auto"/>
        <w:jc w:val="center"/>
      </w:pPr>
      <w:r>
        <w:rPr>
          <w:rFonts w:ascii="Times New Roman" w:hAnsi="Times New Roman"/>
          <w:b/>
          <w:i w:val="0"/>
          <w:color w:val="000000"/>
          <w:sz w:val="32"/>
        </w:rPr>
        <w:t>DEPARTMENT OF COMPUTER ENGINEERING</w:t>
      </w:r>
    </w:p>
    <w:p>
      <w:pPr>
        <w:spacing w:before="80" w:after="80" w:line="360" w:lineRule="auto"/>
        <w:jc w:val="center"/>
      </w:pPr>
      <w:r>
        <w:rPr>
          <w:rFonts w:ascii="Times New Roman" w:hAnsi="Times New Roman"/>
          <w:b/>
          <w:i w:val="0"/>
          <w:color w:val="000000"/>
          <w:sz w:val="24"/>
        </w:rPr>
        <w:t>PCET’S PIMPRI CHINCHWAD COLLEGE OF ENGINEERING</w:t>
      </w:r>
    </w:p>
    <w:p>
      <w:pPr>
        <w:spacing w:before="40" w:after="40" w:line="360" w:lineRule="auto"/>
        <w:jc w:val="center"/>
      </w:pPr>
      <w:r>
        <w:rPr>
          <w:rFonts w:ascii="Times New Roman" w:hAnsi="Times New Roman"/>
          <w:b/>
          <w:i w:val="0"/>
          <w:color w:val="000000"/>
          <w:sz w:val="24"/>
        </w:rPr>
        <w:t>Sector No. 26, Pradhikaran, Nigdi, Pimpri-Chinchwad, PUNE 411044</w:t>
      </w:r>
    </w:p>
    <w:p>
      <w:pPr>
        <w:spacing w:before="40" w:after="240" w:line="360" w:lineRule="auto"/>
        <w:jc w:val="center"/>
      </w:pPr>
      <w:r>
        <w:rPr>
          <w:rFonts w:ascii="Times New Roman" w:hAnsi="Times New Roman"/>
          <w:b w:val="0"/>
          <w:i w:val="0"/>
          <w:color w:val="000000"/>
          <w:sz w:val="22"/>
        </w:rPr>
        <w:t>An Autonomous Institute Approved by AICTE and Affiliated to SPPU, Pune</w:t>
        <w:br/>
        <w:t>Academic Year 2026-27</w:t>
      </w:r>
    </w:p>
    <w:p>
      <w:r>
        <w:br w:type="page"/>
      </w:r>
    </w:p>
    <w:p>
      <w:pPr>
        <w:spacing w:before="200" w:after="80" w:line="360" w:lineRule="auto"/>
        <w:jc w:val="center"/>
      </w:pPr>
      <w:r>
        <w:rPr>
          <w:rFonts w:ascii="Times New Roman" w:hAnsi="Times New Roman"/>
          <w:b/>
          <w:i w:val="0"/>
          <w:color w:val="000000"/>
          <w:sz w:val="32"/>
        </w:rPr>
        <w:t>DEPARTMENT OF COMPUTER ENGINEERING</w:t>
      </w:r>
    </w:p>
    <w:p>
      <w:pPr>
        <w:spacing w:before="80" w:after="80" w:line="360" w:lineRule="auto"/>
        <w:jc w:val="center"/>
      </w:pPr>
      <w:r>
        <w:rPr>
          <w:rFonts w:ascii="Times New Roman" w:hAnsi="Times New Roman"/>
          <w:b/>
          <w:i w:val="0"/>
          <w:color w:val="000000"/>
          <w:sz w:val="24"/>
        </w:rPr>
        <w:t>PCET’S PIMPRI CHINCHWAD COLLEGE OF ENGINEERING</w:t>
      </w:r>
    </w:p>
    <w:p>
      <w:pPr>
        <w:spacing w:before="40" w:after="40" w:line="360" w:lineRule="auto"/>
        <w:jc w:val="center"/>
      </w:pPr>
      <w:r>
        <w:rPr>
          <w:rFonts w:ascii="Times New Roman" w:hAnsi="Times New Roman"/>
          <w:b/>
          <w:i w:val="0"/>
          <w:color w:val="000000"/>
          <w:sz w:val="24"/>
        </w:rPr>
        <w:t>Sector No. 26, Pradhikaran, Nigdi, Pimpri-Chinchwad, PUNE 411044</w:t>
      </w:r>
    </w:p>
    <w:p>
      <w:pPr>
        <w:spacing w:before="40" w:after="320" w:line="360" w:lineRule="auto"/>
        <w:jc w:val="center"/>
      </w:pPr>
      <w:r>
        <w:rPr>
          <w:rFonts w:ascii="Times New Roman" w:hAnsi="Times New Roman"/>
          <w:b w:val="0"/>
          <w:i w:val="0"/>
          <w:color w:val="000000"/>
          <w:sz w:val="22"/>
        </w:rPr>
        <w:t>An Autonomous Institute Approved by AICTE and Affiliated to SPPU, Pune</w:t>
      </w:r>
    </w:p>
    <w:p>
      <w:pPr>
        <w:jc w:val="center"/>
      </w:pPr>
      <w:r>
        <w:drawing>
          <wp:inline xmlns:a="http://schemas.openxmlformats.org/drawingml/2006/main" xmlns:pic="http://schemas.openxmlformats.org/drawingml/2006/picture">
            <wp:extent cx="1371600" cy="1375135"/>
            <wp:docPr id="2" name="Picture 2"/>
            <wp:cNvGraphicFramePr>
              <a:graphicFrameLocks noChangeAspect="1"/>
            </wp:cNvGraphicFramePr>
            <a:graphic>
              <a:graphicData uri="http://schemas.openxmlformats.org/drawingml/2006/picture">
                <pic:pic>
                  <pic:nvPicPr>
                    <pic:cNvPr id="0" name="pccoe_logo.png"/>
                    <pic:cNvPicPr/>
                  </pic:nvPicPr>
                  <pic:blipFill>
                    <a:blip r:embed="rId9"/>
                    <a:stretch>
                      <a:fillRect/>
                    </a:stretch>
                  </pic:blipFill>
                  <pic:spPr>
                    <a:xfrm>
                      <a:off x="0" y="0"/>
                      <a:ext cx="1371600" cy="1375135"/>
                    </a:xfrm>
                    <a:prstGeom prst="rect"/>
                  </pic:spPr>
                </pic:pic>
              </a:graphicData>
            </a:graphic>
          </wp:inline>
        </w:drawing>
      </w:r>
    </w:p>
    <w:p>
      <w:pPr>
        <w:spacing w:before="320" w:after="320" w:line="360" w:lineRule="auto"/>
        <w:jc w:val="center"/>
      </w:pPr>
      <w:r>
        <w:rPr>
          <w:rFonts w:ascii="Times New Roman" w:hAnsi="Times New Roman"/>
          <w:b/>
          <w:i w:val="0"/>
          <w:color w:val="000000"/>
          <w:sz w:val="28"/>
        </w:rPr>
        <w:t>CERTIFICATE</w:t>
      </w:r>
    </w:p>
    <w:p>
      <w:pPr>
        <w:spacing w:before="0" w:after="160" w:line="360" w:lineRule="auto"/>
        <w:ind w:firstLine="720"/>
        <w:jc w:val="both"/>
      </w:pPr>
      <w:r>
        <w:rPr>
          <w:rFonts w:ascii="Times New Roman" w:hAnsi="Times New Roman"/>
          <w:b w:val="0"/>
          <w:i w:val="0"/>
          <w:color w:val="000000"/>
          <w:sz w:val="24"/>
        </w:rPr>
        <w:t>This is to certify that the seminar report entitles</w:t>
      </w:r>
    </w:p>
    <w:p>
      <w:pPr>
        <w:spacing w:before="160" w:after="240" w:line="360" w:lineRule="auto"/>
        <w:jc w:val="center"/>
      </w:pPr>
      <w:r>
        <w:rPr>
          <w:rFonts w:ascii="Times New Roman" w:hAnsi="Times New Roman"/>
          <w:b/>
          <w:i w:val="0"/>
          <w:color w:val="000000"/>
          <w:sz w:val="24"/>
        </w:rPr>
        <w:t>“COST-AWARE PROGRESSIVE PREDATORY JOURNAL DETECTION”</w:t>
      </w:r>
    </w:p>
    <w:p>
      <w:pPr>
        <w:spacing w:before="80" w:after="160" w:line="360" w:lineRule="auto"/>
        <w:jc w:val="center"/>
      </w:pPr>
      <w:r>
        <w:rPr>
          <w:rFonts w:ascii="Times New Roman" w:hAnsi="Times New Roman"/>
          <w:b w:val="0"/>
          <w:i w:val="0"/>
          <w:color w:val="000000"/>
          <w:sz w:val="24"/>
        </w:rPr>
        <w:t>Submitted by</w:t>
      </w:r>
    </w:p>
    <w:tbl>
      <w:tblPr>
        <w:tblW w:type="auto" w:w="0"/>
        <w:jc w:val="center"/>
        <w:tblLook w:firstColumn="1" w:firstRow="1" w:lastColumn="0" w:lastRow="0" w:noHBand="0" w:noVBand="1" w:val="04A0"/>
      </w:tblPr>
      <w:tblGrid>
        <w:gridCol w:w="4154"/>
        <w:gridCol w:w="4154"/>
      </w:tblGrid>
      <w:tr>
        <w:tc>
          <w:tcPr>
            <w:tcW w:type="dxa" w:w="4154"/>
          </w:tcPr>
          <w:p>
            <w:pPr>
              <w:jc w:val="right"/>
            </w:pPr>
            <w:r>
              <w:rPr>
                <w:b/>
              </w:rPr>
              <w:t>&lt;PRATIK JADHAV&gt;</w:t>
            </w:r>
          </w:p>
        </w:tc>
        <w:tc>
          <w:tcPr>
            <w:tcW w:type="dxa" w:w="4154"/>
          </w:tcPr>
          <w:p>
            <w:pPr>
              <w:jc w:val="left"/>
            </w:pPr>
            <w:r>
              <w:rPr>
                <w:b/>
              </w:rPr>
              <w:t>Roll No : 311002</w:t>
            </w:r>
          </w:p>
        </w:tc>
      </w:tr>
      <w:tr>
        <w:tc>
          <w:tcPr>
            <w:tcW w:type="dxa" w:w="4154"/>
          </w:tcPr>
          <w:p>
            <w:pPr>
              <w:jc w:val="right"/>
            </w:pPr>
            <w:r>
              <w:rPr>
                <w:b/>
              </w:rPr>
              <w:t>&lt;SUYOG JADHAV&gt;</w:t>
            </w:r>
          </w:p>
        </w:tc>
        <w:tc>
          <w:tcPr>
            <w:tcW w:type="dxa" w:w="4154"/>
          </w:tcPr>
          <w:p>
            <w:pPr>
              <w:jc w:val="left"/>
            </w:pPr>
            <w:r>
              <w:rPr>
                <w:b/>
              </w:rPr>
              <w:t>Roll No : 311001</w:t>
            </w:r>
          </w:p>
        </w:tc>
      </w:tr>
      <w:tr>
        <w:tc>
          <w:tcPr>
            <w:tcW w:type="dxa" w:w="4154"/>
          </w:tcPr>
          <w:p>
            <w:pPr>
              <w:jc w:val="right"/>
            </w:pPr>
            <w:r>
              <w:rPr>
                <w:b/>
              </w:rPr>
              <w:t>&lt;PIYUSH PATEL&gt;</w:t>
            </w:r>
          </w:p>
        </w:tc>
        <w:tc>
          <w:tcPr>
            <w:tcW w:type="dxa" w:w="4154"/>
          </w:tcPr>
          <w:p>
            <w:pPr>
              <w:jc w:val="left"/>
            </w:pPr>
            <w:r>
              <w:rPr>
                <w:b/>
              </w:rPr>
              <w:t>Roll No : 311003</w:t>
            </w:r>
          </w:p>
        </w:tc>
      </w:tr>
      <w:tr>
        <w:tc>
          <w:tcPr>
            <w:tcW w:type="dxa" w:w="4154"/>
          </w:tcPr>
          <w:p>
            <w:pPr>
              <w:jc w:val="right"/>
            </w:pPr>
            <w:r>
              <w:rPr>
                <w:b/>
              </w:rPr>
              <w:t>&lt;PARSHWA NIKAM&gt;</w:t>
            </w:r>
          </w:p>
        </w:tc>
        <w:tc>
          <w:tcPr>
            <w:tcW w:type="dxa" w:w="4154"/>
          </w:tcPr>
          <w:p>
            <w:pPr>
              <w:jc w:val="left"/>
            </w:pPr>
            <w:r>
              <w:rPr>
                <w:b/>
              </w:rPr>
              <w:t>Roll No : 311004</w:t>
            </w:r>
          </w:p>
        </w:tc>
      </w:tr>
    </w:tbl>
    <w:p>
      <w:pPr>
        <w:spacing w:before="0" w:after="160" w:line="360" w:lineRule="auto"/>
        <w:ind w:firstLine="720"/>
        <w:jc w:val="both"/>
      </w:pPr>
      <w:r>
        <w:rPr>
          <w:rFonts w:ascii="Times New Roman" w:hAnsi="Times New Roman"/>
          <w:b w:val="0"/>
          <w:i w:val="0"/>
          <w:color w:val="000000"/>
          <w:sz w:val="24"/>
        </w:rPr>
        <w:t>are bonafide student of this institute and the work has been carried out by them under the supervision of Dr. Swati Shinde and it is approved for the partial fulfillment of the requirement of PCET’S PIMPRI CHINCHWAD COLLEGE OF ENGINEERING, for the award of Third Year of Bachelor of Technology (Computer Engineering) A.Y. 2026-27.</w:t>
      </w:r>
    </w:p>
    <w:p>
      <w:pPr>
        <w:spacing w:before="800" w:after="120" w:line="360" w:lineRule="auto"/>
        <w:jc w:val="both"/>
      </w:pPr>
    </w:p>
    <w:tbl>
      <w:tblPr>
        <w:tblW w:type="auto" w:w="0"/>
        <w:jc w:val="center"/>
        <w:tblLook w:firstColumn="1" w:firstRow="1" w:lastColumn="0" w:lastRow="0" w:noHBand="0" w:noVBand="1" w:val="04A0"/>
      </w:tblPr>
      <w:tblGrid>
        <w:gridCol w:w="4154"/>
        <w:gridCol w:w="4154"/>
      </w:tblGrid>
      <w:tr>
        <w:tc>
          <w:tcPr>
            <w:tcW w:type="dxa" w:w="4154"/>
          </w:tcPr>
          <w:p>
            <w:pPr>
              <w:jc w:val="left"/>
            </w:pPr>
            <w:r>
              <w:rPr>
                <w:rFonts w:ascii="Times New Roman" w:hAnsi="Times New Roman"/>
                <w:sz w:val="24"/>
              </w:rPr>
              <w:t>(Dr. Swati Shinde)</w:t>
              <w:br/>
              <w:t>Guide</w:t>
              <w:br/>
              <w:t>Department of Computer Engineering</w:t>
            </w:r>
          </w:p>
        </w:tc>
        <w:tc>
          <w:tcPr>
            <w:tcW w:type="dxa" w:w="4154"/>
          </w:tcPr>
          <w:p>
            <w:pPr>
              <w:jc w:val="right"/>
            </w:pPr>
            <w:r>
              <w:rPr>
                <w:rFonts w:ascii="Times New Roman" w:hAnsi="Times New Roman"/>
                <w:sz w:val="24"/>
              </w:rPr>
              <w:t>(Prof. Dr. Sonali Patil)</w:t>
              <w:br/>
              <w:t>Head,</w:t>
              <w:br/>
              <w:t>Department of Computer Engineering</w:t>
            </w:r>
          </w:p>
        </w:tc>
      </w:tr>
      <w:tr>
        <w:tc>
          <w:tcPr>
            <w:tcW w:type="dxa" w:w="4154"/>
          </w:tcPr>
          <w:p/>
        </w:tc>
        <w:tc>
          <w:tcPr>
            <w:tcW w:type="dxa" w:w="4154"/>
          </w:tcPr>
          <w:p/>
        </w:tc>
      </w:tr>
    </w:tbl>
    <w:p>
      <w:r>
        <w:br w:type="page"/>
      </w:r>
    </w:p>
    <w:p>
      <w:pPr>
        <w:spacing w:before="200" w:after="320" w:line="360" w:lineRule="auto"/>
        <w:jc w:val="left"/>
      </w:pPr>
      <w:r>
        <w:rPr>
          <w:rFonts w:ascii="Times New Roman" w:hAnsi="Times New Roman"/>
          <w:b w:val="0"/>
          <w:i w:val="0"/>
          <w:color w:val="000000"/>
          <w:sz w:val="24"/>
        </w:rPr>
        <w:t>Place : Pune</w:t>
        <w:br/>
        <w:t>Date  : 25-10-2026</w:t>
      </w:r>
    </w:p>
    <w:p>
      <w:pPr>
        <w:spacing w:before="320" w:after="320" w:line="360" w:lineRule="auto"/>
        <w:jc w:val="center"/>
      </w:pPr>
      <w:r>
        <w:rPr>
          <w:rFonts w:ascii="Times New Roman" w:hAnsi="Times New Roman"/>
          <w:b/>
          <w:i w:val="0"/>
          <w:color w:val="000000"/>
          <w:sz w:val="28"/>
        </w:rPr>
        <w:t>ACKNOWLEDGEMENT</w:t>
      </w:r>
    </w:p>
    <w:p>
      <w:pPr>
        <w:spacing w:before="0" w:after="160" w:line="360" w:lineRule="auto"/>
        <w:ind w:firstLine="720"/>
        <w:jc w:val="both"/>
      </w:pPr>
      <w:r>
        <w:rPr>
          <w:rFonts w:ascii="Times New Roman" w:hAnsi="Times New Roman"/>
          <w:b w:val="0"/>
          <w:i w:val="0"/>
          <w:color w:val="000000"/>
          <w:sz w:val="24"/>
        </w:rPr>
        <w:t>We express our sincere thanks to our Guide Dr. Swati Shinde for her constant encouragement and support throughout our technical seminar, especially for the useful suggestions given during the course and having laid down the foundation for the success of this work.</w:t>
      </w:r>
    </w:p>
    <w:p>
      <w:pPr>
        <w:spacing w:before="0" w:after="160" w:line="360" w:lineRule="auto"/>
        <w:ind w:firstLine="720"/>
        <w:jc w:val="both"/>
      </w:pPr>
      <w:r>
        <w:rPr>
          <w:rFonts w:ascii="Times New Roman" w:hAnsi="Times New Roman"/>
          <w:b w:val="0"/>
          <w:i w:val="0"/>
          <w:color w:val="000000"/>
          <w:sz w:val="24"/>
        </w:rPr>
        <w:t>We would like to thank Head of Computer Department Prof. Dr. Sonali Patil for her unwavering support during the entire course of this seminar work. We are very grateful to our Director, Prof. Dr. G.N. Kulkarni for providing us with an environment to complete our seminar work successfully. We also thank all the staff members of our college and technicians for their help in making this seminar a success.</w:t>
      </w:r>
    </w:p>
    <w:p>
      <w:pPr>
        <w:spacing w:before="0" w:after="160" w:line="360" w:lineRule="auto"/>
        <w:ind w:firstLine="720"/>
        <w:jc w:val="both"/>
      </w:pPr>
      <w:r>
        <w:rPr>
          <w:rFonts w:ascii="Times New Roman" w:hAnsi="Times New Roman"/>
          <w:b w:val="0"/>
          <w:i w:val="0"/>
          <w:color w:val="000000"/>
          <w:sz w:val="24"/>
        </w:rPr>
        <w:t>Finally, we take this opportunity to extend our deep appreciation to our family and friends, for all that they meant to us during the crucial times of the completion of our technical seminar.</w:t>
      </w:r>
    </w:p>
    <w:p>
      <w:pPr>
        <w:spacing w:before="600" w:after="120" w:line="360" w:lineRule="auto"/>
        <w:jc w:val="right"/>
      </w:pPr>
      <w:r>
        <w:rPr>
          <w:rFonts w:ascii="Times New Roman" w:hAnsi="Times New Roman"/>
          <w:b/>
          <w:i w:val="0"/>
          <w:color w:val="000000"/>
          <w:sz w:val="24"/>
        </w:rPr>
        <w:t>NAME OF THE STUDENTS</w:t>
        <w:br/>
        <w:t>PRATIK JADHAV</w:t>
        <w:br/>
        <w:t>SUYOG JADHAV</w:t>
        <w:br/>
        <w:t>PIYUSH PATEL</w:t>
        <w:br/>
        <w:t>PARSHWA NIKAM</w:t>
      </w:r>
    </w:p>
    <w:p>
      <w:r>
        <w:br w:type="page"/>
      </w:r>
    </w:p>
    <w:p>
      <w:pPr>
        <w:spacing w:before="320" w:after="320" w:line="360" w:lineRule="auto"/>
        <w:jc w:val="center"/>
      </w:pPr>
      <w:r>
        <w:rPr>
          <w:rFonts w:ascii="Times New Roman" w:hAnsi="Times New Roman"/>
          <w:b/>
          <w:i w:val="0"/>
          <w:color w:val="000000"/>
          <w:sz w:val="28"/>
        </w:rPr>
        <w:t>ABSTRACT</w:t>
      </w:r>
    </w:p>
    <w:p>
      <w:pPr>
        <w:spacing w:before="0" w:after="160" w:line="360" w:lineRule="auto"/>
        <w:ind w:firstLine="720"/>
        <w:jc w:val="both"/>
      </w:pPr>
      <w:r>
        <w:rPr>
          <w:rFonts w:ascii="Times New Roman" w:hAnsi="Times New Roman"/>
          <w:b w:val="0"/>
          <w:i w:val="0"/>
          <w:color w:val="000000"/>
          <w:sz w:val="24"/>
        </w:rPr>
        <w:t>Automated identification of predatory and deceptive academic journals is paramount in maintaining scientific integrity. Over the past fifteen years, the rapid commercial expansion of author-facing Article Processing Charges (APCs) in Open Access publishing has fostered a fraudulent parallel economy. Submissions are aggressively solicited, manuscripts are published without meaningful peer review, and fake editorial boards compromise scientific literature. While early manual blacklists like Beall's list and first-generation automation platforms like Academic Journal Predatory Checking (AJPC) attempted to address this crisis, recent independent empirical audits have uncovered critical structural flaws: catastrophic intra-journal classification flips (reversing verdicts across internal pages), operational server crashes from monolithic web scraping, and inability to generalize across temporal eras.</w:t>
      </w:r>
    </w:p>
    <w:p>
      <w:pPr>
        <w:spacing w:before="0" w:after="160" w:line="360" w:lineRule="auto"/>
        <w:ind w:firstLine="720"/>
        <w:jc w:val="both"/>
      </w:pPr>
      <w:r>
        <w:rPr>
          <w:rFonts w:ascii="Times New Roman" w:hAnsi="Times New Roman"/>
          <w:b w:val="0"/>
          <w:i w:val="0"/>
          <w:color w:val="000000"/>
          <w:sz w:val="24"/>
        </w:rPr>
        <w:t>To overcome these fundamental vulnerabilities, this project presents an end-to-end, cost-aware progressive feature acquisition framework. The system organizes feature extraction into a four-stage hierarchy ordered strictly by ascending latency cost: Stage 1 local URL geometry (&lt;0.01s), Stage 2 static HTML policy disclosures (≈0.8s), Stage 3 dynamic headless JavaScript DOM rendering (≈3.5s), and Stage 4 authoritative scholarly registry corroboration (≈5.0s). A shared progressive multi-head neural network ties latent representations across stages, while an adaptive entropy-bounded stopping controller halts inference dynamically when calibrated confidence reaches a Pareto cost-error threshold. Borderline records (0.40 ≤ p̂ ≤ 0.60) and website-registry contradictions trigger automated selective abstention, redirecting ambiguous journals to human experts.</w:t>
      </w:r>
    </w:p>
    <w:p>
      <w:pPr>
        <w:spacing w:before="0" w:after="160" w:line="360" w:lineRule="auto"/>
        <w:ind w:firstLine="720"/>
        <w:jc w:val="both"/>
      </w:pPr>
      <w:r>
        <w:rPr>
          <w:rFonts w:ascii="Times New Roman" w:hAnsi="Times New Roman"/>
          <w:b w:val="0"/>
          <w:i w:val="0"/>
          <w:color w:val="000000"/>
          <w:sz w:val="24"/>
        </w:rPr>
        <w:t>Evaluated on a cryptographically audited corpus of 5,528 serials partitioned into an in-distribution historical baseline (pre-2021, N=2,046) and an untouched longitudinal temporal test cohort (2021–2026, N=1,800), our progressive architecture successfully resolves 36.3% of candidates at Stage 1 and 63.7% at Stage 2. This slashes average wall-clock inference latency by 94.4% (519.0 ms vs. 9,310.0 ms) while increasing out-of-distribution Macro-F1 from 0.4560 to 0.5327, completely averting the catastrophic collapse seen in standard tabular models (XGBoost F1 = 0.0904). The project delivers production-ready Python pipelines, neural weights, and an interactive full-stack web dashboard for single-journal verification and bulk institutional screening.</w:t>
      </w:r>
    </w:p>
    <w:p>
      <w:r>
        <w:br w:type="page"/>
      </w:r>
    </w:p>
    <w:p>
      <w:pPr>
        <w:spacing w:before="320" w:after="320" w:line="360" w:lineRule="auto"/>
        <w:jc w:val="center"/>
      </w:pPr>
      <w:r>
        <w:rPr>
          <w:rFonts w:ascii="Times New Roman" w:hAnsi="Times New Roman"/>
          <w:b/>
          <w:i w:val="0"/>
          <w:color w:val="000000"/>
          <w:sz w:val="28"/>
        </w:rPr>
        <w:t>TABLE OF CONTENTS</w:t>
      </w:r>
    </w:p>
    <w:tbl>
      <w:tblPr>
        <w:tblW w:type="auto" w:w="0"/>
        <w:jc w:val="center"/>
        <w:tblLook w:firstColumn="1" w:firstRow="1" w:lastColumn="0" w:lastRow="0" w:noHBand="0" w:noVBand="1" w:val="04A0"/>
      </w:tblPr>
      <w:tblGrid>
        <w:gridCol w:w="2770"/>
        <w:gridCol w:w="2770"/>
        <w:gridCol w:w="2770"/>
      </w:tblGrid>
      <w:tr>
        <w:tc>
          <w:tcPr>
            <w:tcW w:type="dxa" w:w="2770"/>
          </w:tcPr>
          <w:p>
            <w:pPr>
              <w:jc w:val="center"/>
            </w:pPr>
            <w:r>
              <w:rPr>
                <w:b/>
              </w:rPr>
              <w:t>Sr. No.</w:t>
            </w:r>
          </w:p>
        </w:tc>
        <w:tc>
          <w:tcPr>
            <w:tcW w:type="dxa" w:w="2770"/>
          </w:tcPr>
          <w:p>
            <w:pPr>
              <w:jc w:val="center"/>
            </w:pPr>
            <w:r>
              <w:rPr>
                <w:b/>
              </w:rPr>
              <w:t>Title of Chapter</w:t>
            </w:r>
          </w:p>
        </w:tc>
        <w:tc>
          <w:tcPr>
            <w:tcW w:type="dxa" w:w="2770"/>
          </w:tcPr>
          <w:p>
            <w:pPr>
              <w:jc w:val="center"/>
            </w:pPr>
            <w:r>
              <w:rPr>
                <w:b/>
              </w:rPr>
              <w:t>Page No.</w:t>
            </w:r>
          </w:p>
        </w:tc>
      </w:tr>
      <w:tr>
        <w:tc>
          <w:tcPr>
            <w:tcW w:type="dxa" w:w="2770"/>
          </w:tcPr>
          <w:p>
            <w:pPr>
              <w:jc w:val="left"/>
            </w:pPr>
            <w:r>
              <w:rPr>
                <w:b/>
              </w:rPr>
              <w:t>01</w:t>
            </w:r>
          </w:p>
        </w:tc>
        <w:tc>
          <w:tcPr>
            <w:tcW w:type="dxa" w:w="2770"/>
          </w:tcPr>
          <w:p>
            <w:pPr>
              <w:jc w:val="left"/>
            </w:pPr>
            <w:r>
              <w:rPr>
                <w:b/>
              </w:rPr>
              <w:t>Introduction</w:t>
            </w:r>
          </w:p>
        </w:tc>
        <w:tc>
          <w:tcPr>
            <w:tcW w:type="dxa" w:w="2770"/>
          </w:tcPr>
          <w:p>
            <w:pPr>
              <w:jc w:val="right"/>
            </w:pPr>
            <w:r>
              <w:rPr>
                <w:b/>
              </w:rPr>
              <w:t>1</w:t>
            </w:r>
          </w:p>
        </w:tc>
      </w:tr>
      <w:tr>
        <w:tc>
          <w:tcPr>
            <w:tcW w:type="dxa" w:w="2770"/>
          </w:tcPr>
          <w:p>
            <w:pPr>
              <w:jc w:val="left"/>
            </w:pPr>
            <w:r>
              <w:t>1.1</w:t>
            </w:r>
          </w:p>
        </w:tc>
        <w:tc>
          <w:tcPr>
            <w:tcW w:type="dxa" w:w="2770"/>
          </w:tcPr>
          <w:p>
            <w:pPr>
              <w:jc w:val="left"/>
            </w:pPr>
            <w:r>
              <w:t>Overview</w:t>
            </w:r>
          </w:p>
        </w:tc>
        <w:tc>
          <w:tcPr>
            <w:tcW w:type="dxa" w:w="2770"/>
          </w:tcPr>
          <w:p>
            <w:pPr>
              <w:jc w:val="right"/>
            </w:pPr>
            <w:r>
              <w:t>1</w:t>
            </w:r>
          </w:p>
        </w:tc>
      </w:tr>
      <w:tr>
        <w:tc>
          <w:tcPr>
            <w:tcW w:type="dxa" w:w="2770"/>
          </w:tcPr>
          <w:p>
            <w:pPr>
              <w:jc w:val="left"/>
            </w:pPr>
            <w:r>
              <w:t>1.2</w:t>
            </w:r>
          </w:p>
        </w:tc>
        <w:tc>
          <w:tcPr>
            <w:tcW w:type="dxa" w:w="2770"/>
          </w:tcPr>
          <w:p>
            <w:pPr>
              <w:jc w:val="left"/>
            </w:pPr>
            <w:r>
              <w:t>Motivation</w:t>
            </w:r>
          </w:p>
        </w:tc>
        <w:tc>
          <w:tcPr>
            <w:tcW w:type="dxa" w:w="2770"/>
          </w:tcPr>
          <w:p>
            <w:pPr>
              <w:jc w:val="right"/>
            </w:pPr>
            <w:r>
              <w:t>2</w:t>
            </w:r>
          </w:p>
        </w:tc>
      </w:tr>
      <w:tr>
        <w:tc>
          <w:tcPr>
            <w:tcW w:type="dxa" w:w="2770"/>
          </w:tcPr>
          <w:p>
            <w:pPr>
              <w:jc w:val="left"/>
            </w:pPr>
            <w:r>
              <w:t>1.3</w:t>
            </w:r>
          </w:p>
        </w:tc>
        <w:tc>
          <w:tcPr>
            <w:tcW w:type="dxa" w:w="2770"/>
          </w:tcPr>
          <w:p>
            <w:pPr>
              <w:jc w:val="left"/>
            </w:pPr>
            <w:r>
              <w:t>Problem statement and Objectives</w:t>
            </w:r>
          </w:p>
        </w:tc>
        <w:tc>
          <w:tcPr>
            <w:tcW w:type="dxa" w:w="2770"/>
          </w:tcPr>
          <w:p>
            <w:pPr>
              <w:jc w:val="right"/>
            </w:pPr>
            <w:r>
              <w:t>4</w:t>
            </w:r>
          </w:p>
        </w:tc>
      </w:tr>
      <w:tr>
        <w:tc>
          <w:tcPr>
            <w:tcW w:type="dxa" w:w="2770"/>
          </w:tcPr>
          <w:p>
            <w:pPr>
              <w:jc w:val="left"/>
            </w:pPr>
            <w:r>
              <w:t>1.4</w:t>
            </w:r>
          </w:p>
        </w:tc>
        <w:tc>
          <w:tcPr>
            <w:tcW w:type="dxa" w:w="2770"/>
          </w:tcPr>
          <w:p>
            <w:pPr>
              <w:jc w:val="left"/>
            </w:pPr>
            <w:r>
              <w:t>Scope</w:t>
            </w:r>
          </w:p>
        </w:tc>
        <w:tc>
          <w:tcPr>
            <w:tcW w:type="dxa" w:w="2770"/>
          </w:tcPr>
          <w:p>
            <w:pPr>
              <w:jc w:val="right"/>
            </w:pPr>
            <w:r>
              <w:t>5</w:t>
            </w:r>
          </w:p>
        </w:tc>
      </w:tr>
      <w:tr>
        <w:tc>
          <w:tcPr>
            <w:tcW w:type="dxa" w:w="2770"/>
          </w:tcPr>
          <w:p>
            <w:pPr>
              <w:jc w:val="left"/>
            </w:pPr>
            <w:r>
              <w:t>1.5</w:t>
            </w:r>
          </w:p>
        </w:tc>
        <w:tc>
          <w:tcPr>
            <w:tcW w:type="dxa" w:w="2770"/>
          </w:tcPr>
          <w:p>
            <w:pPr>
              <w:jc w:val="left"/>
            </w:pPr>
            <w:r>
              <w:t>SDG Mapping</w:t>
            </w:r>
          </w:p>
        </w:tc>
        <w:tc>
          <w:tcPr>
            <w:tcW w:type="dxa" w:w="2770"/>
          </w:tcPr>
          <w:p>
            <w:pPr>
              <w:jc w:val="right"/>
            </w:pPr>
            <w:r>
              <w:t>6</w:t>
            </w:r>
          </w:p>
        </w:tc>
      </w:tr>
      <w:tr>
        <w:tc>
          <w:tcPr>
            <w:tcW w:type="dxa" w:w="2770"/>
          </w:tcPr>
          <w:p>
            <w:pPr>
              <w:jc w:val="left"/>
            </w:pPr>
            <w:r>
              <w:rPr>
                <w:b/>
              </w:rPr>
              <w:t>02</w:t>
            </w:r>
          </w:p>
        </w:tc>
        <w:tc>
          <w:tcPr>
            <w:tcW w:type="dxa" w:w="2770"/>
          </w:tcPr>
          <w:p>
            <w:pPr>
              <w:jc w:val="left"/>
            </w:pPr>
            <w:r>
              <w:rPr>
                <w:b/>
              </w:rPr>
              <w:t>Literature Survey</w:t>
            </w:r>
          </w:p>
        </w:tc>
        <w:tc>
          <w:tcPr>
            <w:tcW w:type="dxa" w:w="2770"/>
          </w:tcPr>
          <w:p>
            <w:pPr>
              <w:jc w:val="right"/>
            </w:pPr>
            <w:r>
              <w:rPr>
                <w:b/>
              </w:rPr>
              <w:t>7</w:t>
            </w:r>
          </w:p>
        </w:tc>
      </w:tr>
      <w:tr>
        <w:tc>
          <w:tcPr>
            <w:tcW w:type="dxa" w:w="2770"/>
          </w:tcPr>
          <w:p>
            <w:pPr>
              <w:jc w:val="left"/>
            </w:pPr>
            <w:r>
              <w:rPr>
                <w:b/>
              </w:rPr>
              <w:t>03</w:t>
            </w:r>
          </w:p>
        </w:tc>
        <w:tc>
          <w:tcPr>
            <w:tcW w:type="dxa" w:w="2770"/>
          </w:tcPr>
          <w:p>
            <w:pPr>
              <w:jc w:val="left"/>
            </w:pPr>
            <w:r>
              <w:rPr>
                <w:b/>
              </w:rPr>
              <w:t>Software Requirements Specification</w:t>
            </w:r>
          </w:p>
        </w:tc>
        <w:tc>
          <w:tcPr>
            <w:tcW w:type="dxa" w:w="2770"/>
          </w:tcPr>
          <w:p>
            <w:pPr>
              <w:jc w:val="right"/>
            </w:pPr>
            <w:r>
              <w:rPr>
                <w:b/>
              </w:rPr>
              <w:t>13</w:t>
            </w:r>
          </w:p>
        </w:tc>
      </w:tr>
      <w:tr>
        <w:tc>
          <w:tcPr>
            <w:tcW w:type="dxa" w:w="2770"/>
          </w:tcPr>
          <w:p>
            <w:pPr>
              <w:jc w:val="left"/>
            </w:pPr>
            <w:r>
              <w:t>3.1</w:t>
            </w:r>
          </w:p>
        </w:tc>
        <w:tc>
          <w:tcPr>
            <w:tcW w:type="dxa" w:w="2770"/>
          </w:tcPr>
          <w:p>
            <w:pPr>
              <w:jc w:val="left"/>
            </w:pPr>
            <w:r>
              <w:t>System Requirements</w:t>
            </w:r>
          </w:p>
        </w:tc>
        <w:tc>
          <w:tcPr>
            <w:tcW w:type="dxa" w:w="2770"/>
          </w:tcPr>
          <w:p>
            <w:pPr>
              <w:jc w:val="right"/>
            </w:pPr>
            <w:r>
              <w:t>13</w:t>
            </w:r>
          </w:p>
        </w:tc>
      </w:tr>
      <w:tr>
        <w:tc>
          <w:tcPr>
            <w:tcW w:type="dxa" w:w="2770"/>
          </w:tcPr>
          <w:p>
            <w:pPr>
              <w:jc w:val="left"/>
            </w:pPr>
            <w:r>
              <w:t>3.1.1</w:t>
            </w:r>
          </w:p>
        </w:tc>
        <w:tc>
          <w:tcPr>
            <w:tcW w:type="dxa" w:w="2770"/>
          </w:tcPr>
          <w:p>
            <w:pPr>
              <w:jc w:val="left"/>
            </w:pPr>
            <w:r>
              <w:t>Database Requirements</w:t>
            </w:r>
          </w:p>
        </w:tc>
        <w:tc>
          <w:tcPr>
            <w:tcW w:type="dxa" w:w="2770"/>
          </w:tcPr>
          <w:p>
            <w:pPr>
              <w:jc w:val="right"/>
            </w:pPr>
            <w:r>
              <w:t>13</w:t>
            </w:r>
          </w:p>
        </w:tc>
      </w:tr>
      <w:tr>
        <w:tc>
          <w:tcPr>
            <w:tcW w:type="dxa" w:w="2770"/>
          </w:tcPr>
          <w:p>
            <w:pPr>
              <w:jc w:val="left"/>
            </w:pPr>
            <w:r>
              <w:t>3.1.2</w:t>
            </w:r>
          </w:p>
        </w:tc>
        <w:tc>
          <w:tcPr>
            <w:tcW w:type="dxa" w:w="2770"/>
          </w:tcPr>
          <w:p>
            <w:pPr>
              <w:jc w:val="left"/>
            </w:pPr>
            <w:r>
              <w:t>Software Requirements (Platform Choice)</w:t>
            </w:r>
          </w:p>
        </w:tc>
        <w:tc>
          <w:tcPr>
            <w:tcW w:type="dxa" w:w="2770"/>
          </w:tcPr>
          <w:p>
            <w:pPr>
              <w:jc w:val="right"/>
            </w:pPr>
            <w:r>
              <w:t>14</w:t>
            </w:r>
          </w:p>
        </w:tc>
      </w:tr>
      <w:tr>
        <w:tc>
          <w:tcPr>
            <w:tcW w:type="dxa" w:w="2770"/>
          </w:tcPr>
          <w:p>
            <w:pPr>
              <w:jc w:val="left"/>
            </w:pPr>
            <w:r>
              <w:t>3.1.3</w:t>
            </w:r>
          </w:p>
        </w:tc>
        <w:tc>
          <w:tcPr>
            <w:tcW w:type="dxa" w:w="2770"/>
          </w:tcPr>
          <w:p>
            <w:pPr>
              <w:jc w:val="left"/>
            </w:pPr>
            <w:r>
              <w:t>Hardware Requirements</w:t>
            </w:r>
          </w:p>
        </w:tc>
        <w:tc>
          <w:tcPr>
            <w:tcW w:type="dxa" w:w="2770"/>
          </w:tcPr>
          <w:p>
            <w:pPr>
              <w:jc w:val="right"/>
            </w:pPr>
            <w:r>
              <w:t>15</w:t>
            </w:r>
          </w:p>
        </w:tc>
      </w:tr>
      <w:tr>
        <w:tc>
          <w:tcPr>
            <w:tcW w:type="dxa" w:w="2770"/>
          </w:tcPr>
          <w:p>
            <w:pPr>
              <w:jc w:val="left"/>
            </w:pPr>
            <w:r>
              <w:t>3.2</w:t>
            </w:r>
          </w:p>
        </w:tc>
        <w:tc>
          <w:tcPr>
            <w:tcW w:type="dxa" w:w="2770"/>
          </w:tcPr>
          <w:p>
            <w:pPr>
              <w:jc w:val="left"/>
            </w:pPr>
            <w:r>
              <w:t>Analysis Models: SDLC Model to be applied</w:t>
            </w:r>
          </w:p>
        </w:tc>
        <w:tc>
          <w:tcPr>
            <w:tcW w:type="dxa" w:w="2770"/>
          </w:tcPr>
          <w:p>
            <w:pPr>
              <w:jc w:val="right"/>
            </w:pPr>
            <w:r>
              <w:t>15</w:t>
            </w:r>
          </w:p>
        </w:tc>
      </w:tr>
      <w:tr>
        <w:tc>
          <w:tcPr>
            <w:tcW w:type="dxa" w:w="2770"/>
          </w:tcPr>
          <w:p>
            <w:pPr>
              <w:jc w:val="left"/>
            </w:pPr>
            <w:r>
              <w:rPr>
                <w:b/>
              </w:rPr>
              <w:t>04</w:t>
            </w:r>
          </w:p>
        </w:tc>
        <w:tc>
          <w:tcPr>
            <w:tcW w:type="dxa" w:w="2770"/>
          </w:tcPr>
          <w:p>
            <w:pPr>
              <w:jc w:val="left"/>
            </w:pPr>
            <w:r>
              <w:rPr>
                <w:b/>
              </w:rPr>
              <w:t>System Design</w:t>
            </w:r>
          </w:p>
        </w:tc>
        <w:tc>
          <w:tcPr>
            <w:tcW w:type="dxa" w:w="2770"/>
          </w:tcPr>
          <w:p>
            <w:pPr>
              <w:jc w:val="right"/>
            </w:pPr>
            <w:r>
              <w:rPr>
                <w:b/>
              </w:rPr>
              <w:t>17</w:t>
            </w:r>
          </w:p>
        </w:tc>
      </w:tr>
      <w:tr>
        <w:tc>
          <w:tcPr>
            <w:tcW w:type="dxa" w:w="2770"/>
          </w:tcPr>
          <w:p>
            <w:pPr>
              <w:jc w:val="left"/>
            </w:pPr>
            <w:r>
              <w:t>4.1</w:t>
            </w:r>
          </w:p>
        </w:tc>
        <w:tc>
          <w:tcPr>
            <w:tcW w:type="dxa" w:w="2770"/>
          </w:tcPr>
          <w:p>
            <w:pPr>
              <w:jc w:val="left"/>
            </w:pPr>
            <w:r>
              <w:t>System Architecture</w:t>
            </w:r>
          </w:p>
        </w:tc>
        <w:tc>
          <w:tcPr>
            <w:tcW w:type="dxa" w:w="2770"/>
          </w:tcPr>
          <w:p>
            <w:pPr>
              <w:jc w:val="right"/>
            </w:pPr>
            <w:r>
              <w:t>17</w:t>
            </w:r>
          </w:p>
        </w:tc>
      </w:tr>
      <w:tr>
        <w:tc>
          <w:tcPr>
            <w:tcW w:type="dxa" w:w="2770"/>
          </w:tcPr>
          <w:p>
            <w:pPr>
              <w:jc w:val="left"/>
            </w:pPr>
            <w:r>
              <w:rPr>
                <w:b/>
              </w:rPr>
              <w:t>05</w:t>
            </w:r>
          </w:p>
        </w:tc>
        <w:tc>
          <w:tcPr>
            <w:tcW w:type="dxa" w:w="2770"/>
          </w:tcPr>
          <w:p>
            <w:pPr>
              <w:jc w:val="left"/>
            </w:pPr>
            <w:r>
              <w:rPr>
                <w:b/>
              </w:rPr>
              <w:t>Implementation</w:t>
            </w:r>
          </w:p>
        </w:tc>
        <w:tc>
          <w:tcPr>
            <w:tcW w:type="dxa" w:w="2770"/>
          </w:tcPr>
          <w:p>
            <w:pPr>
              <w:jc w:val="right"/>
            </w:pPr>
            <w:r>
              <w:rPr>
                <w:b/>
              </w:rPr>
              <w:t>21</w:t>
            </w:r>
          </w:p>
        </w:tc>
      </w:tr>
      <w:tr>
        <w:tc>
          <w:tcPr>
            <w:tcW w:type="dxa" w:w="2770"/>
          </w:tcPr>
          <w:p>
            <w:pPr>
              <w:jc w:val="left"/>
            </w:pPr>
            <w:r>
              <w:t>5.1</w:t>
            </w:r>
          </w:p>
        </w:tc>
        <w:tc>
          <w:tcPr>
            <w:tcW w:type="dxa" w:w="2770"/>
          </w:tcPr>
          <w:p>
            <w:pPr>
              <w:jc w:val="left"/>
            </w:pPr>
            <w:r>
              <w:t>Overview of Modules</w:t>
            </w:r>
          </w:p>
        </w:tc>
        <w:tc>
          <w:tcPr>
            <w:tcW w:type="dxa" w:w="2770"/>
          </w:tcPr>
          <w:p>
            <w:pPr>
              <w:jc w:val="right"/>
            </w:pPr>
            <w:r>
              <w:t>21</w:t>
            </w:r>
          </w:p>
        </w:tc>
      </w:tr>
      <w:tr>
        <w:tc>
          <w:tcPr>
            <w:tcW w:type="dxa" w:w="2770"/>
          </w:tcPr>
          <w:p>
            <w:pPr>
              <w:jc w:val="left"/>
            </w:pPr>
            <w:r>
              <w:t>5.2</w:t>
            </w:r>
          </w:p>
        </w:tc>
        <w:tc>
          <w:tcPr>
            <w:tcW w:type="dxa" w:w="2770"/>
          </w:tcPr>
          <w:p>
            <w:pPr>
              <w:jc w:val="left"/>
            </w:pPr>
            <w:r>
              <w:t>Tools and Technologies Used</w:t>
            </w:r>
          </w:p>
        </w:tc>
        <w:tc>
          <w:tcPr>
            <w:tcW w:type="dxa" w:w="2770"/>
          </w:tcPr>
          <w:p>
            <w:pPr>
              <w:jc w:val="right"/>
            </w:pPr>
            <w:r>
              <w:t>24</w:t>
            </w:r>
          </w:p>
        </w:tc>
      </w:tr>
      <w:tr>
        <w:tc>
          <w:tcPr>
            <w:tcW w:type="dxa" w:w="2770"/>
          </w:tcPr>
          <w:p>
            <w:pPr>
              <w:jc w:val="left"/>
            </w:pPr>
            <w:r>
              <w:t>5.3</w:t>
            </w:r>
          </w:p>
        </w:tc>
        <w:tc>
          <w:tcPr>
            <w:tcW w:type="dxa" w:w="2770"/>
          </w:tcPr>
          <w:p>
            <w:pPr>
              <w:jc w:val="left"/>
            </w:pPr>
            <w:r>
              <w:t>Algorithm Details</w:t>
            </w:r>
          </w:p>
        </w:tc>
        <w:tc>
          <w:tcPr>
            <w:tcW w:type="dxa" w:w="2770"/>
          </w:tcPr>
          <w:p>
            <w:pPr>
              <w:jc w:val="right"/>
            </w:pPr>
            <w:r>
              <w:t>26</w:t>
            </w:r>
          </w:p>
        </w:tc>
      </w:tr>
      <w:tr>
        <w:tc>
          <w:tcPr>
            <w:tcW w:type="dxa" w:w="2770"/>
          </w:tcPr>
          <w:p>
            <w:pPr>
              <w:jc w:val="left"/>
            </w:pPr>
            <w:r>
              <w:rPr>
                <w:b/>
              </w:rPr>
              <w:t>06</w:t>
            </w:r>
          </w:p>
        </w:tc>
        <w:tc>
          <w:tcPr>
            <w:tcW w:type="dxa" w:w="2770"/>
          </w:tcPr>
          <w:p>
            <w:pPr>
              <w:jc w:val="left"/>
            </w:pPr>
            <w:r>
              <w:rPr>
                <w:b/>
              </w:rPr>
              <w:t>Results</w:t>
            </w:r>
          </w:p>
        </w:tc>
        <w:tc>
          <w:tcPr>
            <w:tcW w:type="dxa" w:w="2770"/>
          </w:tcPr>
          <w:p>
            <w:pPr>
              <w:jc w:val="right"/>
            </w:pPr>
            <w:r>
              <w:rPr>
                <w:b/>
              </w:rPr>
              <w:t>30</w:t>
            </w:r>
          </w:p>
        </w:tc>
      </w:tr>
      <w:tr>
        <w:tc>
          <w:tcPr>
            <w:tcW w:type="dxa" w:w="2770"/>
          </w:tcPr>
          <w:p>
            <w:pPr>
              <w:jc w:val="left"/>
            </w:pPr>
            <w:r>
              <w:t>6.1</w:t>
            </w:r>
          </w:p>
        </w:tc>
        <w:tc>
          <w:tcPr>
            <w:tcW w:type="dxa" w:w="2770"/>
          </w:tcPr>
          <w:p>
            <w:pPr>
              <w:jc w:val="left"/>
            </w:pPr>
            <w:r>
              <w:t>Outcomes</w:t>
            </w:r>
          </w:p>
        </w:tc>
        <w:tc>
          <w:tcPr>
            <w:tcW w:type="dxa" w:w="2770"/>
          </w:tcPr>
          <w:p>
            <w:pPr>
              <w:jc w:val="right"/>
            </w:pPr>
            <w:r>
              <w:t>30</w:t>
            </w:r>
          </w:p>
        </w:tc>
      </w:tr>
      <w:tr>
        <w:tc>
          <w:tcPr>
            <w:tcW w:type="dxa" w:w="2770"/>
          </w:tcPr>
          <w:p>
            <w:pPr>
              <w:jc w:val="left"/>
            </w:pPr>
            <w:r>
              <w:t>6.2</w:t>
            </w:r>
          </w:p>
        </w:tc>
        <w:tc>
          <w:tcPr>
            <w:tcW w:type="dxa" w:w="2770"/>
          </w:tcPr>
          <w:p>
            <w:pPr>
              <w:jc w:val="left"/>
            </w:pPr>
            <w:r>
              <w:t>Screen Shots</w:t>
            </w:r>
          </w:p>
        </w:tc>
        <w:tc>
          <w:tcPr>
            <w:tcW w:type="dxa" w:w="2770"/>
          </w:tcPr>
          <w:p>
            <w:pPr>
              <w:jc w:val="right"/>
            </w:pPr>
            <w:r>
              <w:t>34</w:t>
            </w:r>
          </w:p>
        </w:tc>
      </w:tr>
      <w:tr>
        <w:tc>
          <w:tcPr>
            <w:tcW w:type="dxa" w:w="2770"/>
          </w:tcPr>
          <w:p>
            <w:pPr>
              <w:jc w:val="left"/>
            </w:pPr>
            <w:r>
              <w:rPr>
                <w:b/>
              </w:rPr>
              <w:t>07</w:t>
            </w:r>
          </w:p>
        </w:tc>
        <w:tc>
          <w:tcPr>
            <w:tcW w:type="dxa" w:w="2770"/>
          </w:tcPr>
          <w:p>
            <w:pPr>
              <w:jc w:val="left"/>
            </w:pPr>
            <w:r>
              <w:rPr>
                <w:b/>
              </w:rPr>
              <w:t>Conclusions</w:t>
            </w:r>
          </w:p>
        </w:tc>
        <w:tc>
          <w:tcPr>
            <w:tcW w:type="dxa" w:w="2770"/>
          </w:tcPr>
          <w:p>
            <w:pPr>
              <w:jc w:val="right"/>
            </w:pPr>
            <w:r>
              <w:rPr>
                <w:b/>
              </w:rPr>
              <w:t>37</w:t>
            </w:r>
          </w:p>
        </w:tc>
      </w:tr>
      <w:tr>
        <w:tc>
          <w:tcPr>
            <w:tcW w:type="dxa" w:w="2770"/>
          </w:tcPr>
          <w:p>
            <w:pPr>
              <w:jc w:val="left"/>
            </w:pPr>
            <w:r>
              <w:t>7.1</w:t>
            </w:r>
          </w:p>
        </w:tc>
        <w:tc>
          <w:tcPr>
            <w:tcW w:type="dxa" w:w="2770"/>
          </w:tcPr>
          <w:p>
            <w:pPr>
              <w:jc w:val="left"/>
            </w:pPr>
            <w:r>
              <w:t>Conclusion</w:t>
            </w:r>
          </w:p>
        </w:tc>
        <w:tc>
          <w:tcPr>
            <w:tcW w:type="dxa" w:w="2770"/>
          </w:tcPr>
          <w:p>
            <w:pPr>
              <w:jc w:val="right"/>
            </w:pPr>
            <w:r>
              <w:t>37</w:t>
            </w:r>
          </w:p>
        </w:tc>
      </w:tr>
      <w:tr>
        <w:tc>
          <w:tcPr>
            <w:tcW w:type="dxa" w:w="2770"/>
          </w:tcPr>
          <w:p>
            <w:pPr>
              <w:jc w:val="left"/>
            </w:pPr>
            <w:r>
              <w:t>7.2</w:t>
            </w:r>
          </w:p>
        </w:tc>
        <w:tc>
          <w:tcPr>
            <w:tcW w:type="dxa" w:w="2770"/>
          </w:tcPr>
          <w:p>
            <w:pPr>
              <w:jc w:val="left"/>
            </w:pPr>
            <w:r>
              <w:t>Future Scope</w:t>
            </w:r>
          </w:p>
        </w:tc>
        <w:tc>
          <w:tcPr>
            <w:tcW w:type="dxa" w:w="2770"/>
          </w:tcPr>
          <w:p>
            <w:pPr>
              <w:jc w:val="right"/>
            </w:pPr>
            <w:r>
              <w:t>38</w:t>
            </w:r>
          </w:p>
        </w:tc>
      </w:tr>
      <w:tr>
        <w:tc>
          <w:tcPr>
            <w:tcW w:type="dxa" w:w="2770"/>
          </w:tcPr>
          <w:p>
            <w:pPr>
              <w:jc w:val="left"/>
            </w:pPr>
            <w:r>
              <w:t>7.3</w:t>
            </w:r>
          </w:p>
        </w:tc>
        <w:tc>
          <w:tcPr>
            <w:tcW w:type="dxa" w:w="2770"/>
          </w:tcPr>
          <w:p>
            <w:pPr>
              <w:jc w:val="left"/>
            </w:pPr>
            <w:r>
              <w:t>Applications</w:t>
            </w:r>
          </w:p>
        </w:tc>
        <w:tc>
          <w:tcPr>
            <w:tcW w:type="dxa" w:w="2770"/>
          </w:tcPr>
          <w:p>
            <w:pPr>
              <w:jc w:val="right"/>
            </w:pPr>
            <w:r>
              <w:t>38</w:t>
            </w:r>
          </w:p>
        </w:tc>
      </w:tr>
      <w:tr>
        <w:tc>
          <w:tcPr>
            <w:tcW w:type="dxa" w:w="2770"/>
          </w:tcPr>
          <w:p>
            <w:pPr>
              <w:jc w:val="left"/>
            </w:pPr>
            <w:r>
              <w:rPr>
                <w:b/>
              </w:rPr>
              <w:t>Appendix A</w:t>
            </w:r>
          </w:p>
        </w:tc>
        <w:tc>
          <w:tcPr>
            <w:tcW w:type="dxa" w:w="2770"/>
          </w:tcPr>
          <w:p>
            <w:pPr>
              <w:jc w:val="left"/>
            </w:pPr>
            <w:r>
              <w:rPr>
                <w:b/>
              </w:rPr>
              <w:t>Details of Paper Publication and Reviewer Comments</w:t>
            </w:r>
          </w:p>
        </w:tc>
        <w:tc>
          <w:tcPr>
            <w:tcW w:type="dxa" w:w="2770"/>
          </w:tcPr>
          <w:p>
            <w:pPr>
              <w:jc w:val="right"/>
            </w:pPr>
            <w:r>
              <w:rPr>
                <w:b/>
              </w:rPr>
              <w:t>39</w:t>
            </w:r>
          </w:p>
        </w:tc>
      </w:tr>
      <w:tr>
        <w:tc>
          <w:tcPr>
            <w:tcW w:type="dxa" w:w="2770"/>
          </w:tcPr>
          <w:p>
            <w:pPr>
              <w:jc w:val="left"/>
            </w:pPr>
            <w:r>
              <w:rPr>
                <w:b/>
              </w:rPr>
              <w:t>Appendix B</w:t>
            </w:r>
          </w:p>
        </w:tc>
        <w:tc>
          <w:tcPr>
            <w:tcW w:type="dxa" w:w="2770"/>
          </w:tcPr>
          <w:p>
            <w:pPr>
              <w:jc w:val="left"/>
            </w:pPr>
            <w:r>
              <w:rPr>
                <w:b/>
              </w:rPr>
              <w:t>Plagiarism Report of Technical Seminar Report</w:t>
            </w:r>
          </w:p>
        </w:tc>
        <w:tc>
          <w:tcPr>
            <w:tcW w:type="dxa" w:w="2770"/>
          </w:tcPr>
          <w:p>
            <w:pPr>
              <w:jc w:val="right"/>
            </w:pPr>
            <w:r>
              <w:rPr>
                <w:b/>
              </w:rPr>
              <w:t>40</w:t>
            </w:r>
          </w:p>
        </w:tc>
      </w:tr>
      <w:tr>
        <w:tc>
          <w:tcPr>
            <w:tcW w:type="dxa" w:w="2770"/>
          </w:tcPr>
          <w:p>
            <w:pPr>
              <w:jc w:val="left"/>
            </w:pPr>
            <w:r>
              <w:rPr>
                <w:b/>
              </w:rPr>
              <w:t>References</w:t>
            </w:r>
          </w:p>
        </w:tc>
        <w:tc>
          <w:tcPr>
            <w:tcW w:type="dxa" w:w="2770"/>
          </w:tcPr>
          <w:p>
            <w:pPr>
              <w:jc w:val="left"/>
            </w:pPr>
            <w:r>
              <w:rPr>
                <w:b/>
              </w:rPr>
              <w:t>IEEE Style References [1] to [20]</w:t>
            </w:r>
          </w:p>
        </w:tc>
        <w:tc>
          <w:tcPr>
            <w:tcW w:type="dxa" w:w="2770"/>
          </w:tcPr>
          <w:p>
            <w:pPr>
              <w:jc w:val="right"/>
            </w:pPr>
            <w:r>
              <w:rPr>
                <w:b/>
              </w:rPr>
              <w:t>41</w:t>
            </w:r>
          </w:p>
        </w:tc>
      </w:tr>
    </w:tbl>
    <w:p>
      <w:r>
        <w:br w:type="page"/>
      </w:r>
    </w:p>
    <w:p>
      <w:pPr>
        <w:spacing w:before="360" w:after="360" w:line="360" w:lineRule="auto"/>
        <w:jc w:val="center"/>
      </w:pPr>
      <w:r>
        <w:rPr>
          <w:rFonts w:ascii="Times New Roman" w:hAnsi="Times New Roman"/>
          <w:b/>
          <w:i w:val="0"/>
          <w:color w:val="000000"/>
          <w:sz w:val="28"/>
        </w:rPr>
        <w:t>CHAPTER 1</w:t>
        <w:br/>
        <w:t>INTRODUCTION</w:t>
      </w:r>
    </w:p>
    <w:p>
      <w:pPr>
        <w:spacing w:before="280" w:after="160" w:line="360" w:lineRule="auto"/>
        <w:jc w:val="left"/>
      </w:pPr>
      <w:r>
        <w:rPr>
          <w:rFonts w:ascii="Times New Roman" w:hAnsi="Times New Roman"/>
          <w:b/>
          <w:i w:val="0"/>
          <w:color w:val="000000"/>
          <w:sz w:val="24"/>
        </w:rPr>
        <w:t>1.1 OVERVIEW</w:t>
      </w:r>
    </w:p>
    <w:p>
      <w:pPr>
        <w:spacing w:before="0" w:after="160" w:line="360" w:lineRule="auto"/>
        <w:ind w:firstLine="720"/>
        <w:jc w:val="both"/>
      </w:pPr>
      <w:r>
        <w:rPr>
          <w:rFonts w:ascii="Times New Roman" w:hAnsi="Times New Roman"/>
          <w:b w:val="0"/>
          <w:i w:val="0"/>
          <w:color w:val="000000"/>
          <w:sz w:val="24"/>
        </w:rPr>
        <w:t>The integrity of world scientific research depends upon peer review as an impartial arbiter of scientific validity. In genuine academic journals, submitted manuscripts undergo rigorous, critical evaluation by independent subject-matter experts before publication. Over the past fifteen years, however, the commercial shift toward author-facing Article Processing Charges (APCs) and the rapid market expansion of Open Access (OA) publishing have fostered a parallel shadow economy of deceptive, fraudulent, and predatory academic journals. These fraudulent publishing houses aggressively seek submissions, promise lightning-fast peer review within days, collect author fees, and publish manuscripts with little to no editorial oversight.</w:t>
      </w:r>
    </w:p>
    <w:p>
      <w:pPr>
        <w:spacing w:before="0" w:after="160" w:line="360" w:lineRule="auto"/>
        <w:ind w:firstLine="720"/>
        <w:jc w:val="both"/>
      </w:pPr>
      <w:r>
        <w:rPr>
          <w:rFonts w:ascii="Times New Roman" w:hAnsi="Times New Roman"/>
          <w:b w:val="0"/>
          <w:i w:val="0"/>
          <w:color w:val="000000"/>
          <w:sz w:val="24"/>
        </w:rPr>
        <w:t>The societal and academic consequences of this proliferation are severe: non-replicable medical trials enter healthcare literature, pseudo-scientific claims acquire nominal peer-reviewed legitimacy, paper mills flourish, and public trust in research institutions is actively eroded. To combat this epidemic, the research community transitioned from labor-intensive manual blacklists (such as Jeffrey Beall’s list) toward automated machine-learning systems that audit journal websites for suspicious patterns. The most notable open-automation effort was the Academic Journal Predatory Checking (AJPC) system developed by Chen et al., which utilized single-page web scraping and machine-learning models.</w:t>
      </w:r>
    </w:p>
    <w:p>
      <w:pPr>
        <w:spacing w:before="0" w:after="160" w:line="360" w:lineRule="auto"/>
        <w:ind w:firstLine="720"/>
        <w:jc w:val="both"/>
      </w:pPr>
      <w:r>
        <w:rPr>
          <w:rFonts w:ascii="Times New Roman" w:hAnsi="Times New Roman"/>
          <w:b w:val="0"/>
          <w:i w:val="0"/>
          <w:color w:val="000000"/>
          <w:sz w:val="24"/>
        </w:rPr>
        <w:t>However, rigorous independent forensic audits by Teixeira da Silva in 2025 demonstrated that existing automated detection systems have fatal flaws at their core. In 50% of evaluated top-tier journals, the classification flipped between 'Normal Journal' and 'Suspected Predatory Journal' depending on which internal webpage was queried. Furthermore, synchronous exhaustive scraping caused frequent server crashes and multi-month downtimes. This seminar report presents an end-to-end, cost-aware progressive feature acquisition framework designed to resolve these structural vulnerabilities.</w:t>
      </w:r>
    </w:p>
    <w:p>
      <w:pPr>
        <w:spacing w:before="280" w:after="160" w:line="360" w:lineRule="auto"/>
        <w:jc w:val="left"/>
      </w:pPr>
      <w:r>
        <w:rPr>
          <w:rFonts w:ascii="Times New Roman" w:hAnsi="Times New Roman"/>
          <w:b/>
          <w:i w:val="0"/>
          <w:color w:val="000000"/>
          <w:sz w:val="24"/>
        </w:rPr>
        <w:t>1.2 MOTIVATION</w:t>
      </w:r>
    </w:p>
    <w:p>
      <w:pPr>
        <w:spacing w:before="0" w:after="160" w:line="360" w:lineRule="auto"/>
        <w:ind w:firstLine="720"/>
        <w:jc w:val="both"/>
      </w:pPr>
      <w:r>
        <w:rPr>
          <w:rFonts w:ascii="Times New Roman" w:hAnsi="Times New Roman"/>
          <w:b w:val="0"/>
          <w:i w:val="0"/>
          <w:color w:val="000000"/>
          <w:sz w:val="24"/>
        </w:rPr>
        <w:t>Our research is motivated by three structural failure modes that pervade current machine-learning literature on predatory publishing forensics:</w:t>
      </w:r>
    </w:p>
    <w:p>
      <w:pPr>
        <w:spacing w:before="0" w:after="160" w:line="360" w:lineRule="auto"/>
        <w:ind w:firstLine="720"/>
        <w:jc w:val="both"/>
      </w:pPr>
      <w:r>
        <w:rPr>
          <w:rFonts w:ascii="Times New Roman" w:hAnsi="Times New Roman"/>
          <w:b w:val="0"/>
          <w:i w:val="0"/>
          <w:color w:val="000000"/>
          <w:sz w:val="24"/>
        </w:rPr>
        <w:t>1. The Static Cross-Validation Fallacy: Almost all published predatory journal classifiers evaluate themselves using standard identically distributed (i.i.d.) k-fold cross-validation on a static snapshot of historical records (primarily crawls from prior to 2020). However, predatory publishing is an inherently adversarial domain. Deceptive publishers constantly evolve their operational posture: launching on modern Open Journal Systems (OJS) platforms, adopting realistic domain names, fabricating editorial board listings with authentic scholar profiles, and instituting professional APC schedules. Models trained on historical literature experience catastrophic performance collapse when deployed on contemporary serials.</w:t>
      </w:r>
    </w:p>
    <w:p>
      <w:pPr>
        <w:spacing w:before="0" w:after="160" w:line="360" w:lineRule="auto"/>
        <w:ind w:firstLine="720"/>
        <w:jc w:val="both"/>
      </w:pPr>
      <w:r>
        <w:rPr>
          <w:rFonts w:ascii="Times New Roman" w:hAnsi="Times New Roman"/>
          <w:b w:val="0"/>
          <w:i w:val="0"/>
          <w:color w:val="000000"/>
          <w:sz w:val="24"/>
        </w:rPr>
        <w:t>2. The Uniform Acquisition Cost and Server Exhaustion Fallacy: Prior architectures assume an exhaustive acquisition paradigm where every environmental signal is uniformly available with zero cost. In production systems, local URL string parsing requires less than 10 milliseconds (&lt;0.01s). In contrast, executing JavaScript in a headless browser requires 3 to 5 seconds, and querying external scholarly registries (Crossref, OpenAlex, DOAJ, ISSN Portal) requires multiple network round-trips subject to rate limits and network degradation. Monolithic exhaustive acquisition on every query crashes servers and wastes immense computational power.</w:t>
      </w:r>
    </w:p>
    <w:p>
      <w:pPr>
        <w:spacing w:before="0" w:after="160" w:line="360" w:lineRule="auto"/>
        <w:ind w:firstLine="720"/>
        <w:jc w:val="both"/>
      </w:pPr>
      <w:r>
        <w:rPr>
          <w:rFonts w:ascii="Times New Roman" w:hAnsi="Times New Roman"/>
          <w:b w:val="0"/>
          <w:i w:val="0"/>
          <w:color w:val="000000"/>
          <w:sz w:val="24"/>
        </w:rPr>
        <w:t>3. The Ungrounded Black-Box Score and Intra-Journal Inconsistency Fallacy: Existing models emit uncalibrated, black-box scalar probabilities lacking evidentiary provenance. During a high-stakes tenure evaluation or legal dispute, a raw probability of 0.72 provides zero actionable transparency. Decision-makers require grounded facts: Did the journal falsely claim COPE membership? Is the ISSN registered in the official portal? Are editorial board members verifiable faculty at accredited universities? Furthermore, when evidence is noisy or ambiguous (0.40 ≤ p̂ ≤ 0.60), an autonomous system must be able to selectively abstain and route the record to human experts rather than forcing an arbitrary classification.</w:t>
      </w:r>
    </w:p>
    <w:p>
      <w:pPr>
        <w:spacing w:before="280" w:after="160" w:line="360" w:lineRule="auto"/>
        <w:jc w:val="left"/>
      </w:pPr>
      <w:r>
        <w:rPr>
          <w:rFonts w:ascii="Times New Roman" w:hAnsi="Times New Roman"/>
          <w:b/>
          <w:i w:val="0"/>
          <w:color w:val="000000"/>
          <w:sz w:val="24"/>
        </w:rPr>
        <w:t>1.3 PROBLEM STATEMENT AND OBJECTIVES</w:t>
      </w:r>
    </w:p>
    <w:p>
      <w:pPr>
        <w:spacing w:before="0" w:after="160" w:line="360" w:lineRule="auto"/>
        <w:ind w:firstLine="720"/>
        <w:jc w:val="both"/>
      </w:pPr>
      <w:r>
        <w:rPr>
          <w:rFonts w:ascii="Times New Roman" w:hAnsi="Times New Roman"/>
          <w:b w:val="0"/>
          <w:i w:val="0"/>
          <w:color w:val="000000"/>
          <w:sz w:val="24"/>
        </w:rPr>
        <w:t>Problem Statement: To design, implement, and benchmark an end-to-end, cost-aware progressive machine learning framework that accurately identifies predatory and deceptive academic journals under longitudinal temporal distribution shift, minimizing wall-clock inference latency through adaptive early exiting, eliminating intra-journal classification inconsistency, and providing deterministic multi-source evidence grounding with selective triage.</w:t>
      </w:r>
    </w:p>
    <w:p>
      <w:pPr>
        <w:spacing w:before="0" w:after="160" w:line="360" w:lineRule="auto"/>
        <w:ind w:firstLine="720"/>
        <w:jc w:val="both"/>
      </w:pPr>
      <w:r>
        <w:rPr>
          <w:rFonts w:ascii="Times New Roman" w:hAnsi="Times New Roman"/>
          <w:b w:val="0"/>
          <w:i w:val="0"/>
          <w:color w:val="000000"/>
          <w:sz w:val="24"/>
        </w:rPr>
        <w:t>Key Objectives:</w:t>
      </w:r>
    </w:p>
    <w:p>
      <w:pPr>
        <w:spacing w:before="0" w:after="160" w:line="360" w:lineRule="auto"/>
        <w:ind w:firstLine="720"/>
        <w:jc w:val="both"/>
      </w:pPr>
      <w:r>
        <w:rPr>
          <w:rFonts w:ascii="Times New Roman" w:hAnsi="Times New Roman"/>
          <w:b w:val="0"/>
          <w:i w:val="0"/>
          <w:color w:val="000000"/>
          <w:sz w:val="24"/>
        </w:rPr>
        <w:t>1. Formulate predatory journal detection as an out-of-distribution temporal generalization problem across eras and establish the first longitudinally audited benchmark corpus of 5,528 serials.</w:t>
      </w:r>
    </w:p>
    <w:p>
      <w:pPr>
        <w:spacing w:before="0" w:after="160" w:line="360" w:lineRule="auto"/>
        <w:ind w:firstLine="720"/>
        <w:jc w:val="both"/>
      </w:pPr>
      <w:r>
        <w:rPr>
          <w:rFonts w:ascii="Times New Roman" w:hAnsi="Times New Roman"/>
          <w:b w:val="0"/>
          <w:i w:val="0"/>
          <w:color w:val="000000"/>
          <w:sz w:val="24"/>
        </w:rPr>
        <w:t>2. Construct a 4-stage feature extraction hierarchy ordered by strictly ascending acquisition latency: Stage 1 URL geometry (&lt;0.01s), Stage 2 static HTML policy disclosures (≈0.8s), Stage 3 dynamic headless JavaScript DOM rendering (≈3.5s), and Stage 4 authoritative scholarly registry corroboration (≈5.0s).</w:t>
      </w:r>
    </w:p>
    <w:p>
      <w:pPr>
        <w:spacing w:before="0" w:after="160" w:line="360" w:lineRule="auto"/>
        <w:ind w:firstLine="720"/>
        <w:jc w:val="both"/>
      </w:pPr>
      <w:r>
        <w:rPr>
          <w:rFonts w:ascii="Times New Roman" w:hAnsi="Times New Roman"/>
          <w:b w:val="0"/>
          <w:i w:val="0"/>
          <w:color w:val="000000"/>
          <w:sz w:val="24"/>
        </w:rPr>
        <w:t>3. Develop a shared progressive multi-head neural network that regularizes latent representations across stages, preventing the catastrophic collapse experienced by decoupled tree-based tabular models.</w:t>
      </w:r>
    </w:p>
    <w:p>
      <w:pPr>
        <w:spacing w:before="0" w:after="160" w:line="360" w:lineRule="auto"/>
        <w:ind w:firstLine="720"/>
        <w:jc w:val="both"/>
      </w:pPr>
      <w:r>
        <w:rPr>
          <w:rFonts w:ascii="Times New Roman" w:hAnsi="Times New Roman"/>
          <w:b w:val="0"/>
          <w:i w:val="0"/>
          <w:color w:val="000000"/>
          <w:sz w:val="24"/>
        </w:rPr>
        <w:t>4. Design an adaptive entropy-bounded stopping controller that terminates feature acquisition dynamically when calibrated posterior confidence reaches a Pareto cost-error threshold.</w:t>
      </w:r>
    </w:p>
    <w:p>
      <w:pPr>
        <w:spacing w:before="0" w:after="160" w:line="360" w:lineRule="auto"/>
        <w:ind w:firstLine="720"/>
        <w:jc w:val="both"/>
      </w:pPr>
      <w:r>
        <w:rPr>
          <w:rFonts w:ascii="Times New Roman" w:hAnsi="Times New Roman"/>
          <w:b w:val="0"/>
          <w:i w:val="0"/>
          <w:color w:val="000000"/>
          <w:sz w:val="24"/>
        </w:rPr>
        <w:t>5. Implement a deterministic provenance grounding engine and tri-state selective triage mechanism that withholds autonomous verdicts on borderline records (0.40 ≤ p̂ ≤ 0.60) and provides auditable evidence logs.</w:t>
      </w:r>
    </w:p>
    <w:p>
      <w:pPr>
        <w:spacing w:before="280" w:after="160" w:line="360" w:lineRule="auto"/>
        <w:jc w:val="left"/>
      </w:pPr>
      <w:r>
        <w:rPr>
          <w:rFonts w:ascii="Times New Roman" w:hAnsi="Times New Roman"/>
          <w:b/>
          <w:i w:val="0"/>
          <w:color w:val="000000"/>
          <w:sz w:val="24"/>
        </w:rPr>
        <w:t>1.4 SCOPE</w:t>
      </w:r>
    </w:p>
    <w:p>
      <w:pPr>
        <w:spacing w:before="0" w:after="160" w:line="360" w:lineRule="auto"/>
        <w:ind w:firstLine="720"/>
        <w:jc w:val="both"/>
      </w:pPr>
      <w:r>
        <w:rPr>
          <w:rFonts w:ascii="Times New Roman" w:hAnsi="Times New Roman"/>
          <w:b w:val="0"/>
          <w:i w:val="0"/>
          <w:color w:val="000000"/>
          <w:sz w:val="24"/>
        </w:rPr>
        <w:t>The scope of this project encompasses open-access academic journal serials across all major scientific disciplines (biomedicine, engineering, natural sciences, and social sciences). The system processes journal URLs, extracts multi-modal structural and lexical signals, interacts with live external registries, and delivers auditable risk verdicts. The operational scope covers standalone single-journal verification as well as bulk high-throughput CSV auditing for university research offices, library subscription committees, and national accreditation councils.</w:t>
      </w:r>
    </w:p>
    <w:p>
      <w:pPr>
        <w:spacing w:before="280" w:after="160" w:line="360" w:lineRule="auto"/>
        <w:jc w:val="left"/>
      </w:pPr>
      <w:r>
        <w:rPr>
          <w:rFonts w:ascii="Times New Roman" w:hAnsi="Times New Roman"/>
          <w:b/>
          <w:i w:val="0"/>
          <w:color w:val="000000"/>
          <w:sz w:val="24"/>
        </w:rPr>
        <w:t>1.5 SDG MAPPING</w:t>
      </w:r>
    </w:p>
    <w:p>
      <w:pPr>
        <w:spacing w:before="0" w:after="160" w:line="360" w:lineRule="auto"/>
        <w:ind w:firstLine="720"/>
        <w:jc w:val="both"/>
      </w:pPr>
      <w:r>
        <w:rPr>
          <w:rFonts w:ascii="Times New Roman" w:hAnsi="Times New Roman"/>
          <w:b w:val="0"/>
          <w:i w:val="0"/>
          <w:color w:val="000000"/>
          <w:sz w:val="24"/>
        </w:rPr>
        <w:t>This technical seminar project maps directly to the United Nations Sustainable Development Goals (SDGs):</w:t>
      </w:r>
    </w:p>
    <w:p>
      <w:pPr>
        <w:spacing w:before="0" w:after="160" w:line="360" w:lineRule="auto"/>
        <w:ind w:firstLine="720"/>
        <w:jc w:val="both"/>
      </w:pPr>
      <w:r>
        <w:rPr>
          <w:rFonts w:ascii="Times New Roman" w:hAnsi="Times New Roman"/>
          <w:b w:val="0"/>
          <w:i w:val="0"/>
          <w:color w:val="000000"/>
          <w:sz w:val="24"/>
        </w:rPr>
        <w:t>• SDG 4: Quality Education (Target 4.7): Ensuring research integrity, preventing fraudulent publications from corrupting curricula and academic scholarship, and promoting reliable scientific literacy.</w:t>
      </w:r>
    </w:p>
    <w:p>
      <w:pPr>
        <w:spacing w:before="0" w:after="160" w:line="360" w:lineRule="auto"/>
        <w:ind w:firstLine="720"/>
        <w:jc w:val="both"/>
      </w:pPr>
      <w:r>
        <w:rPr>
          <w:rFonts w:ascii="Times New Roman" w:hAnsi="Times New Roman"/>
          <w:b w:val="0"/>
          <w:i w:val="0"/>
          <w:color w:val="000000"/>
          <w:sz w:val="24"/>
        </w:rPr>
        <w:t>• SDG 9: Industry, Innovation, and Infrastructure (Target 9.5): Upgrading technological infrastructure for scientific research by developing trustworthy, automated, and explainable AI systems for academic governance.</w:t>
      </w:r>
    </w:p>
    <w:p>
      <w:pPr>
        <w:spacing w:before="0" w:after="160" w:line="360" w:lineRule="auto"/>
        <w:ind w:firstLine="720"/>
        <w:jc w:val="both"/>
      </w:pPr>
      <w:r>
        <w:rPr>
          <w:rFonts w:ascii="Times New Roman" w:hAnsi="Times New Roman"/>
          <w:b w:val="0"/>
          <w:i w:val="0"/>
          <w:color w:val="000000"/>
          <w:sz w:val="24"/>
        </w:rPr>
        <w:t>• SDG 16: Peace, Justice, and Strong Institutions (Target 16.6): Developing effective, accountable, and transparent institutions by eliminating predatory publishing fraud and providing evidence-grounded accountability in scholarly publishing.</w:t>
      </w:r>
    </w:p>
    <w:p>
      <w:r>
        <w:br w:type="page"/>
      </w:r>
    </w:p>
    <w:p>
      <w:pPr>
        <w:spacing w:before="360" w:after="360" w:line="360" w:lineRule="auto"/>
        <w:jc w:val="center"/>
      </w:pPr>
      <w:r>
        <w:rPr>
          <w:rFonts w:ascii="Times New Roman" w:hAnsi="Times New Roman"/>
          <w:b/>
          <w:i w:val="0"/>
          <w:color w:val="000000"/>
          <w:sz w:val="28"/>
        </w:rPr>
        <w:t>CHAPTER 2</w:t>
        <w:br/>
        <w:t>LITERATURE SURVEY</w:t>
      </w:r>
    </w:p>
    <w:p>
      <w:pPr>
        <w:spacing w:before="0" w:after="160" w:line="360" w:lineRule="auto"/>
        <w:ind w:firstLine="720"/>
        <w:jc w:val="both"/>
      </w:pPr>
      <w:r>
        <w:rPr>
          <w:rFonts w:ascii="Times New Roman" w:hAnsi="Times New Roman"/>
          <w:b w:val="0"/>
          <w:i w:val="0"/>
          <w:color w:val="000000"/>
          <w:sz w:val="24"/>
        </w:rPr>
        <w:t>A rigorous literature survey was conducted covering 20 foundational peer-reviewed studies across predatory publishing forensics, bibliometrics, automated web scraping, cost-sensitive machine learning, early-exit deep neural networks, selective classification, and probability calibration.</w:t>
      </w:r>
    </w:p>
    <w:p>
      <w:pPr>
        <w:spacing w:before="0" w:after="160" w:line="360" w:lineRule="auto"/>
        <w:ind w:firstLine="720"/>
        <w:jc w:val="both"/>
      </w:pPr>
      <w:r>
        <w:rPr>
          <w:rFonts w:ascii="Times New Roman" w:hAnsi="Times New Roman"/>
          <w:b w:val="0"/>
          <w:i w:val="0"/>
          <w:color w:val="000000"/>
          <w:sz w:val="24"/>
        </w:rPr>
        <w:t>The historical baseline of predatory publishing forensics began with Jeffrey Beall [1], who outlined 50+ qualitative criteria to identify deceptive open-access publishers. While foundational, Beall’s list was criticized for subjective manual curation and vulnerability to legal intimidation. Shen and Björk [2] performed the first large-scale empirical bibliometric study, estimating that predatory journals published 420,000 articles in 2014 generating $74 million USD in revenue. Björk and Solomon [3] established that legitimate open-access journals achieve scientific citation impact on par with subscription literature, underscoring how deceptive publishers exploit the OA brand.</w:t>
      </w:r>
    </w:p>
    <w:p>
      <w:pPr>
        <w:spacing w:before="0" w:after="160" w:line="360" w:lineRule="auto"/>
        <w:ind w:firstLine="720"/>
        <w:jc w:val="both"/>
      </w:pPr>
      <w:r>
        <w:rPr>
          <w:rFonts w:ascii="Times New Roman" w:hAnsi="Times New Roman"/>
          <w:b w:val="0"/>
          <w:i w:val="0"/>
          <w:color w:val="000000"/>
          <w:sz w:val="24"/>
        </w:rPr>
        <w:t>Cobey et al. [4] conducted a scoping review of 344 publications, cataloging 93 unique criteria and exposing the absence of an internationally accepted definition. In response, Grudniewicz et al. [5] convened an international consensus panel of 43 experts to formulate the canonical five-pillar definition of predatory publishing. Moher et al. [6] documented the grave clinical and ethical damage caused by predatory journals, uncovering thousands of human clinical trials and animal studies published without ethical oversight.</w:t>
      </w:r>
    </w:p>
    <w:p>
      <w:pPr>
        <w:spacing w:before="0" w:after="160" w:line="360" w:lineRule="auto"/>
        <w:ind w:firstLine="720"/>
        <w:jc w:val="both"/>
      </w:pPr>
      <w:r>
        <w:rPr>
          <w:rFonts w:ascii="Times New Roman" w:hAnsi="Times New Roman"/>
          <w:b w:val="0"/>
          <w:i w:val="0"/>
          <w:color w:val="000000"/>
          <w:sz w:val="24"/>
        </w:rPr>
        <w:t>To automate detection beyond static blacklists, Chen et al. [7] introduced the Academic Journal Predatory Checking (AJPC) system, training Random Forests and SVMs on 26 URL features and claiming &gt;90% accuracy. However, Teixeira da Silva [8] executed an independent audit of AJPC across ten major global publishers, proving that the system suffered from 50% intra-journal classification inconsistency and catastrophic server crashes under monolithic scraping. Al-Moghrabi et al. [9] evaluated Large Language Models (ChatGPT), finding false positive rates up to 29% and severe bibliographic hallucinations. Wu et al. [10] utilized XGBoost and SHAP game-theoretic attribution to identify publishing velocity and self-citation as causal drivers of predatory behavior. Shamseer et al. [11] statistically validated key web indicators (distorted graphics, non-institutional emails, rapid review guarantees), while Krawczyk and Kulczycki [12] demonstrated how modern predatory publishers leverage generative AI and paper mills to simulate legitimacy.</w:t>
      </w:r>
    </w:p>
    <w:p>
      <w:pPr>
        <w:spacing w:before="0" w:after="160" w:line="360" w:lineRule="auto"/>
        <w:ind w:firstLine="720"/>
        <w:jc w:val="both"/>
      </w:pPr>
      <w:r>
        <w:rPr>
          <w:rFonts w:ascii="Times New Roman" w:hAnsi="Times New Roman"/>
          <w:b w:val="0"/>
          <w:i w:val="0"/>
          <w:color w:val="000000"/>
          <w:sz w:val="24"/>
        </w:rPr>
        <w:t>In the domain of cost-aware sequential decision making, Kachuee et al. [13] formulated dynamic feature acquisition via reinforcement learning, reducing acquisition costs by 60%–80%. Xu et al. [14] developed cost-sensitive trees of classifiers for budget-constrained search ranking. In deep learning architectures, Teerapittayanon et al. [15] pioneered BranchyNet for fast inference via early-exit branches, and Liu et al. [16] designed FastBERT for entropy-guided adaptive stopping. In selective classification and calibration, Cortes et al. [17] and Geifman and El-Yaniv [18] established generalization guarantees for classification with a reject option, while Guo et al. [19] and Platt [20] proved that post-hoc calibration (temperature scaling and Platt scaling) is vital for ensuring that confidence values reflect true empirical probabilities.</w:t>
      </w:r>
    </w:p>
    <w:p>
      <w:pPr>
        <w:spacing w:before="200" w:after="120" w:line="360" w:lineRule="auto"/>
        <w:jc w:val="center"/>
      </w:pPr>
      <w:r>
        <w:rPr>
          <w:rFonts w:ascii="Times New Roman" w:hAnsi="Times New Roman"/>
          <w:b/>
          <w:i w:val="0"/>
          <w:color w:val="000000"/>
          <w:sz w:val="22"/>
        </w:rPr>
        <w:t>Table 2.1: Comparative Summary of Literature Survey and Forensic Paradigms</w:t>
      </w:r>
    </w:p>
    <w:tbl>
      <w:tblPr>
        <w:tblW w:type="auto" w:w="0"/>
        <w:jc w:val="center"/>
        <w:tblLook w:firstColumn="1" w:firstRow="1" w:lastColumn="0" w:lastRow="0" w:noHBand="0" w:noVBand="1" w:val="04A0"/>
      </w:tblPr>
      <w:tblGrid>
        <w:gridCol w:w="1385"/>
        <w:gridCol w:w="1385"/>
        <w:gridCol w:w="1385"/>
        <w:gridCol w:w="1385"/>
        <w:gridCol w:w="1385"/>
        <w:gridCol w:w="1385"/>
      </w:tblGrid>
      <w:tr>
        <w:tc>
          <w:tcPr>
            <w:tcW w:type="dxa" w:w="1385"/>
          </w:tcPr>
          <w:p>
            <w:pPr>
              <w:jc w:val="center"/>
            </w:pPr>
            <w:r>
              <w:rPr>
                <w:b/>
              </w:rPr>
              <w:t>Forensic Paradigm</w:t>
            </w:r>
          </w:p>
        </w:tc>
        <w:tc>
          <w:tcPr>
            <w:tcW w:type="dxa" w:w="1385"/>
          </w:tcPr>
          <w:p>
            <w:pPr>
              <w:jc w:val="center"/>
            </w:pPr>
            <w:r>
              <w:rPr>
                <w:b/>
              </w:rPr>
              <w:t>Latency</w:t>
            </w:r>
          </w:p>
        </w:tc>
        <w:tc>
          <w:tcPr>
            <w:tcW w:type="dxa" w:w="1385"/>
          </w:tcPr>
          <w:p>
            <w:pPr>
              <w:jc w:val="center"/>
            </w:pPr>
            <w:r>
              <w:rPr>
                <w:b/>
              </w:rPr>
              <w:t>Temporal Drift</w:t>
            </w:r>
          </w:p>
        </w:tc>
        <w:tc>
          <w:tcPr>
            <w:tcW w:type="dxa" w:w="1385"/>
          </w:tcPr>
          <w:p>
            <w:pPr>
              <w:jc w:val="center"/>
            </w:pPr>
            <w:r>
              <w:rPr>
                <w:b/>
              </w:rPr>
              <w:t>Cost-Aware</w:t>
            </w:r>
          </w:p>
        </w:tc>
        <w:tc>
          <w:tcPr>
            <w:tcW w:type="dxa" w:w="1385"/>
          </w:tcPr>
          <w:p>
            <w:pPr>
              <w:jc w:val="center"/>
            </w:pPr>
            <w:r>
              <w:rPr>
                <w:b/>
              </w:rPr>
              <w:t>Grounding</w:t>
            </w:r>
          </w:p>
        </w:tc>
        <w:tc>
          <w:tcPr>
            <w:tcW w:type="dxa" w:w="1385"/>
          </w:tcPr>
          <w:p>
            <w:pPr>
              <w:jc w:val="center"/>
            </w:pPr>
            <w:r>
              <w:rPr>
                <w:b/>
              </w:rPr>
              <w:t>Abstention</w:t>
            </w:r>
          </w:p>
        </w:tc>
      </w:tr>
      <w:tr>
        <w:tc>
          <w:tcPr>
            <w:tcW w:type="dxa" w:w="1385"/>
          </w:tcPr>
          <w:p>
            <w:pPr>
              <w:jc w:val="center"/>
            </w:pPr>
            <w:r>
              <w:t>Manual Blacklists (Beall) [1]</w:t>
            </w:r>
          </w:p>
        </w:tc>
        <w:tc>
          <w:tcPr>
            <w:tcW w:type="dxa" w:w="1385"/>
          </w:tcPr>
          <w:p>
            <w:pPr>
              <w:jc w:val="center"/>
            </w:pPr>
            <w:r>
              <w:t>Manual</w:t>
            </w:r>
          </w:p>
        </w:tc>
        <w:tc>
          <w:tcPr>
            <w:tcW w:type="dxa" w:w="1385"/>
          </w:tcPr>
          <w:p>
            <w:pPr>
              <w:jc w:val="center"/>
            </w:pPr>
            <w:r>
              <w:t>Poor (Lagging)</w:t>
            </w:r>
          </w:p>
        </w:tc>
        <w:tc>
          <w:tcPr>
            <w:tcW w:type="dxa" w:w="1385"/>
          </w:tcPr>
          <w:p>
            <w:pPr>
              <w:jc w:val="center"/>
            </w:pPr>
            <w:r>
              <w:t>None</w:t>
            </w:r>
          </w:p>
        </w:tc>
        <w:tc>
          <w:tcPr>
            <w:tcW w:type="dxa" w:w="1385"/>
          </w:tcPr>
          <w:p>
            <w:pPr>
              <w:jc w:val="center"/>
            </w:pPr>
            <w:r>
              <w:t>Qualitative</w:t>
            </w:r>
          </w:p>
        </w:tc>
        <w:tc>
          <w:tcPr>
            <w:tcW w:type="dxa" w:w="1385"/>
          </w:tcPr>
          <w:p>
            <w:pPr>
              <w:jc w:val="center"/>
            </w:pPr>
            <w:r>
              <w:t>Binary Only</w:t>
            </w:r>
          </w:p>
        </w:tc>
      </w:tr>
      <w:tr>
        <w:tc>
          <w:tcPr>
            <w:tcW w:type="dxa" w:w="1385"/>
          </w:tcPr>
          <w:p>
            <w:pPr>
              <w:jc w:val="center"/>
            </w:pPr>
            <w:r>
              <w:t>Biomedical Inspection [11]</w:t>
            </w:r>
          </w:p>
        </w:tc>
        <w:tc>
          <w:tcPr>
            <w:tcW w:type="dxa" w:w="1385"/>
          </w:tcPr>
          <w:p>
            <w:pPr>
              <w:jc w:val="center"/>
            </w:pPr>
            <w:r>
              <w:t>≈ 1–2 s</w:t>
            </w:r>
          </w:p>
        </w:tc>
        <w:tc>
          <w:tcPr>
            <w:tcW w:type="dxa" w:w="1385"/>
          </w:tcPr>
          <w:p>
            <w:pPr>
              <w:jc w:val="center"/>
            </w:pPr>
            <w:r>
              <w:t>Poor (Static)</w:t>
            </w:r>
          </w:p>
        </w:tc>
        <w:tc>
          <w:tcPr>
            <w:tcW w:type="dxa" w:w="1385"/>
          </w:tcPr>
          <w:p>
            <w:pPr>
              <w:jc w:val="center"/>
            </w:pPr>
            <w:r>
              <w:t>Manual</w:t>
            </w:r>
          </w:p>
        </w:tc>
        <w:tc>
          <w:tcPr>
            <w:tcW w:type="dxa" w:w="1385"/>
          </w:tcPr>
          <w:p>
            <w:pPr>
              <w:jc w:val="center"/>
            </w:pPr>
            <w:r>
              <w:t>Statistical</w:t>
            </w:r>
          </w:p>
        </w:tc>
        <w:tc>
          <w:tcPr>
            <w:tcW w:type="dxa" w:w="1385"/>
          </w:tcPr>
          <w:p>
            <w:pPr>
              <w:jc w:val="center"/>
            </w:pPr>
            <w:r>
              <w:t>No</w:t>
            </w:r>
          </w:p>
        </w:tc>
      </w:tr>
      <w:tr>
        <w:tc>
          <w:tcPr>
            <w:tcW w:type="dxa" w:w="1385"/>
          </w:tcPr>
          <w:p>
            <w:pPr>
              <w:jc w:val="center"/>
            </w:pPr>
            <w:r>
              <w:t>Surface Web ML (AJPC) [7]</w:t>
            </w:r>
          </w:p>
        </w:tc>
        <w:tc>
          <w:tcPr>
            <w:tcW w:type="dxa" w:w="1385"/>
          </w:tcPr>
          <w:p>
            <w:pPr>
              <w:jc w:val="center"/>
            </w:pPr>
            <w:r>
              <w:t>Server Crash</w:t>
            </w:r>
          </w:p>
        </w:tc>
        <w:tc>
          <w:tcPr>
            <w:tcW w:type="dxa" w:w="1385"/>
          </w:tcPr>
          <w:p>
            <w:pPr>
              <w:jc w:val="center"/>
            </w:pPr>
            <w:r>
              <w:t>Poor (i.i.d.)</w:t>
            </w:r>
          </w:p>
        </w:tc>
        <w:tc>
          <w:tcPr>
            <w:tcW w:type="dxa" w:w="1385"/>
          </w:tcPr>
          <w:p>
            <w:pPr>
              <w:jc w:val="center"/>
            </w:pPr>
            <w:r>
              <w:t>Uniform</w:t>
            </w:r>
          </w:p>
        </w:tc>
        <w:tc>
          <w:tcPr>
            <w:tcW w:type="dxa" w:w="1385"/>
          </w:tcPr>
          <w:p>
            <w:pPr>
              <w:jc w:val="center"/>
            </w:pPr>
            <w:r>
              <w:t>No (Black-Box)</w:t>
            </w:r>
          </w:p>
        </w:tc>
        <w:tc>
          <w:tcPr>
            <w:tcW w:type="dxa" w:w="1385"/>
          </w:tcPr>
          <w:p>
            <w:pPr>
              <w:jc w:val="center"/>
            </w:pPr>
            <w:r>
              <w:t>No (Flip [8])</w:t>
            </w:r>
          </w:p>
        </w:tc>
      </w:tr>
      <w:tr>
        <w:tc>
          <w:tcPr>
            <w:tcW w:type="dxa" w:w="1385"/>
          </w:tcPr>
          <w:p>
            <w:pPr>
              <w:jc w:val="center"/>
            </w:pPr>
            <w:r>
              <w:t>Causal Models (Wu) [10]</w:t>
            </w:r>
          </w:p>
        </w:tc>
        <w:tc>
          <w:tcPr>
            <w:tcW w:type="dxa" w:w="1385"/>
          </w:tcPr>
          <w:p>
            <w:pPr>
              <w:jc w:val="center"/>
            </w:pPr>
            <w:r>
              <w:t>High Latency</w:t>
            </w:r>
          </w:p>
        </w:tc>
        <w:tc>
          <w:tcPr>
            <w:tcW w:type="dxa" w:w="1385"/>
          </w:tcPr>
          <w:p>
            <w:pPr>
              <w:jc w:val="center"/>
            </w:pPr>
            <w:r>
              <w:t>Poor (Static)</w:t>
            </w:r>
          </w:p>
        </w:tc>
        <w:tc>
          <w:tcPr>
            <w:tcW w:type="dxa" w:w="1385"/>
          </w:tcPr>
          <w:p>
            <w:pPr>
              <w:jc w:val="center"/>
            </w:pPr>
            <w:r>
              <w:t>Uniform</w:t>
            </w:r>
          </w:p>
        </w:tc>
        <w:tc>
          <w:tcPr>
            <w:tcW w:type="dxa" w:w="1385"/>
          </w:tcPr>
          <w:p>
            <w:pPr>
              <w:jc w:val="center"/>
            </w:pPr>
            <w:r>
              <w:t>SHAP Rules</w:t>
            </w:r>
          </w:p>
        </w:tc>
        <w:tc>
          <w:tcPr>
            <w:tcW w:type="dxa" w:w="1385"/>
          </w:tcPr>
          <w:p>
            <w:pPr>
              <w:jc w:val="center"/>
            </w:pPr>
            <w:r>
              <w:t>No</w:t>
            </w:r>
          </w:p>
        </w:tc>
      </w:tr>
      <w:tr>
        <w:tc>
          <w:tcPr>
            <w:tcW w:type="dxa" w:w="1385"/>
          </w:tcPr>
          <w:p>
            <w:pPr>
              <w:jc w:val="center"/>
            </w:pPr>
            <w:r>
              <w:t>LLM Queries (ChatGPT) [9]</w:t>
            </w:r>
          </w:p>
        </w:tc>
        <w:tc>
          <w:tcPr>
            <w:tcW w:type="dxa" w:w="1385"/>
          </w:tcPr>
          <w:p>
            <w:pPr>
              <w:jc w:val="center"/>
            </w:pPr>
            <w:r>
              <w:t>API Latency</w:t>
            </w:r>
          </w:p>
        </w:tc>
        <w:tc>
          <w:tcPr>
            <w:tcW w:type="dxa" w:w="1385"/>
          </w:tcPr>
          <w:p>
            <w:pPr>
              <w:jc w:val="center"/>
            </w:pPr>
            <w:r>
              <w:t>Moderate</w:t>
            </w:r>
          </w:p>
        </w:tc>
        <w:tc>
          <w:tcPr>
            <w:tcW w:type="dxa" w:w="1385"/>
          </w:tcPr>
          <w:p>
            <w:pPr>
              <w:jc w:val="center"/>
            </w:pPr>
            <w:r>
              <w:t>Tokens</w:t>
            </w:r>
          </w:p>
        </w:tc>
        <w:tc>
          <w:tcPr>
            <w:tcW w:type="dxa" w:w="1385"/>
          </w:tcPr>
          <w:p>
            <w:pPr>
              <w:jc w:val="center"/>
            </w:pPr>
            <w:r>
              <w:t>Generative</w:t>
            </w:r>
          </w:p>
        </w:tc>
        <w:tc>
          <w:tcPr>
            <w:tcW w:type="dxa" w:w="1385"/>
          </w:tcPr>
          <w:p>
            <w:pPr>
              <w:jc w:val="center"/>
            </w:pPr>
            <w:r>
              <w:t>Gray Zone</w:t>
            </w:r>
          </w:p>
        </w:tc>
      </w:tr>
      <w:tr>
        <w:tc>
          <w:tcPr>
            <w:tcW w:type="dxa" w:w="1385"/>
          </w:tcPr>
          <w:p>
            <w:pPr>
              <w:jc w:val="center"/>
            </w:pPr>
            <w:r>
              <w:t>Editorial NLP [12]</w:t>
            </w:r>
          </w:p>
        </w:tc>
        <w:tc>
          <w:tcPr>
            <w:tcW w:type="dxa" w:w="1385"/>
          </w:tcPr>
          <w:p>
            <w:pPr>
              <w:jc w:val="center"/>
            </w:pPr>
            <w:r>
              <w:t>≈ 2–3 s</w:t>
            </w:r>
          </w:p>
        </w:tc>
        <w:tc>
          <w:tcPr>
            <w:tcW w:type="dxa" w:w="1385"/>
          </w:tcPr>
          <w:p>
            <w:pPr>
              <w:jc w:val="center"/>
            </w:pPr>
            <w:r>
              <w:t>Poor (Snapshot)</w:t>
            </w:r>
          </w:p>
        </w:tc>
        <w:tc>
          <w:tcPr>
            <w:tcW w:type="dxa" w:w="1385"/>
          </w:tcPr>
          <w:p>
            <w:pPr>
              <w:jc w:val="center"/>
            </w:pPr>
            <w:r>
              <w:t>Uniform</w:t>
            </w:r>
          </w:p>
        </w:tc>
        <w:tc>
          <w:tcPr>
            <w:tcW w:type="dxa" w:w="1385"/>
          </w:tcPr>
          <w:p>
            <w:pPr>
              <w:jc w:val="center"/>
            </w:pPr>
            <w:r>
              <w:t>Text Only</w:t>
            </w:r>
          </w:p>
        </w:tc>
        <w:tc>
          <w:tcPr>
            <w:tcW w:type="dxa" w:w="1385"/>
          </w:tcPr>
          <w:p>
            <w:pPr>
              <w:jc w:val="center"/>
            </w:pPr>
            <w:r>
              <w:t>No</w:t>
            </w:r>
          </w:p>
        </w:tc>
      </w:tr>
      <w:tr>
        <w:tc>
          <w:tcPr>
            <w:tcW w:type="dxa" w:w="1385"/>
          </w:tcPr>
          <w:p>
            <w:pPr>
              <w:jc w:val="center"/>
            </w:pPr>
            <w:r>
              <w:t>Proposed Framework</w:t>
            </w:r>
          </w:p>
        </w:tc>
        <w:tc>
          <w:tcPr>
            <w:tcW w:type="dxa" w:w="1385"/>
          </w:tcPr>
          <w:p>
            <w:pPr>
              <w:jc w:val="center"/>
            </w:pPr>
            <w:r>
              <w:t>519 ms</w:t>
            </w:r>
          </w:p>
        </w:tc>
        <w:tc>
          <w:tcPr>
            <w:tcW w:type="dxa" w:w="1385"/>
          </w:tcPr>
          <w:p>
            <w:pPr>
              <w:jc w:val="center"/>
            </w:pPr>
            <w:r>
              <w:t>Robust OOD</w:t>
            </w:r>
          </w:p>
        </w:tc>
        <w:tc>
          <w:tcPr>
            <w:tcW w:type="dxa" w:w="1385"/>
          </w:tcPr>
          <w:p>
            <w:pPr>
              <w:jc w:val="center"/>
            </w:pPr>
            <w:r>
              <w:t>4-Stage Seq.</w:t>
            </w:r>
          </w:p>
        </w:tc>
        <w:tc>
          <w:tcPr>
            <w:tcW w:type="dxa" w:w="1385"/>
          </w:tcPr>
          <w:p>
            <w:pPr>
              <w:jc w:val="center"/>
            </w:pPr>
            <w:r>
              <w:t>5 Registries</w:t>
            </w:r>
          </w:p>
        </w:tc>
        <w:tc>
          <w:tcPr>
            <w:tcW w:type="dxa" w:w="1385"/>
          </w:tcPr>
          <w:p>
            <w:pPr>
              <w:jc w:val="center"/>
            </w:pPr>
            <w:r>
              <w:t>Tri-State</w:t>
            </w:r>
          </w:p>
        </w:tc>
      </w:tr>
    </w:tbl>
    <w:p>
      <w:pPr>
        <w:spacing w:before="0" w:after="160" w:line="360" w:lineRule="auto"/>
        <w:ind w:firstLine="720"/>
        <w:jc w:val="both"/>
      </w:pPr>
      <w:r>
        <w:rPr>
          <w:rFonts w:ascii="Times New Roman" w:hAnsi="Times New Roman"/>
          <w:b w:val="0"/>
          <w:i w:val="0"/>
          <w:color w:val="000000"/>
          <w:sz w:val="24"/>
        </w:rPr>
        <w:t>As documented in the project's dedicated Literature_Survey.xlsx workbook, all 20 referenced research papers have been retrieved, systematically categorized, and archived in local project repositories.</w:t>
      </w:r>
    </w:p>
    <w:p>
      <w:r>
        <w:br w:type="page"/>
      </w:r>
    </w:p>
    <w:p>
      <w:pPr>
        <w:spacing w:before="360" w:after="360" w:line="360" w:lineRule="auto"/>
        <w:jc w:val="center"/>
      </w:pPr>
      <w:r>
        <w:rPr>
          <w:rFonts w:ascii="Times New Roman" w:hAnsi="Times New Roman"/>
          <w:b/>
          <w:i w:val="0"/>
          <w:color w:val="000000"/>
          <w:sz w:val="28"/>
        </w:rPr>
        <w:t>CHAPTER 3</w:t>
        <w:br/>
        <w:t>SOFTWARE REQUIREMENTS SPECIFICATION</w:t>
      </w:r>
    </w:p>
    <w:p>
      <w:pPr>
        <w:spacing w:before="280" w:after="160" w:line="360" w:lineRule="auto"/>
        <w:jc w:val="left"/>
      </w:pPr>
      <w:r>
        <w:rPr>
          <w:rFonts w:ascii="Times New Roman" w:hAnsi="Times New Roman"/>
          <w:b/>
          <w:i w:val="0"/>
          <w:color w:val="000000"/>
          <w:sz w:val="24"/>
        </w:rPr>
        <w:t>3.1 SYSTEM REQUIREMENTS</w:t>
      </w:r>
    </w:p>
    <w:p>
      <w:pPr>
        <w:spacing w:before="200" w:after="120" w:line="360" w:lineRule="auto"/>
        <w:jc w:val="left"/>
      </w:pPr>
      <w:r>
        <w:rPr>
          <w:rFonts w:ascii="Times New Roman" w:hAnsi="Times New Roman"/>
          <w:b/>
          <w:i w:val="0"/>
          <w:color w:val="000000"/>
          <w:sz w:val="24"/>
        </w:rPr>
        <w:t>3.1.1 Database Requirements</w:t>
      </w:r>
    </w:p>
    <w:p>
      <w:pPr>
        <w:spacing w:before="0" w:after="160" w:line="360" w:lineRule="auto"/>
        <w:ind w:firstLine="720"/>
        <w:jc w:val="both"/>
      </w:pPr>
      <w:r>
        <w:rPr>
          <w:rFonts w:ascii="Times New Roman" w:hAnsi="Times New Roman"/>
          <w:b w:val="0"/>
          <w:i w:val="0"/>
          <w:color w:val="000000"/>
          <w:sz w:val="24"/>
        </w:rPr>
        <w:t>The system requires a hybrid persistent storage architecture capable of handling structured tabular datasets, cryptographic validation hashes, raw HTML/DOM caches, and high-speed API response caching:</w:t>
      </w:r>
    </w:p>
    <w:p>
      <w:pPr>
        <w:spacing w:before="0" w:after="160" w:line="360" w:lineRule="auto"/>
        <w:ind w:firstLine="720"/>
        <w:jc w:val="both"/>
      </w:pPr>
      <w:r>
        <w:rPr>
          <w:rFonts w:ascii="Times New Roman" w:hAnsi="Times New Roman"/>
          <w:b w:val="0"/>
          <w:i w:val="0"/>
          <w:color w:val="000000"/>
          <w:sz w:val="24"/>
        </w:rPr>
        <w:t>1. Audited Longitudinal Research Corpus: CSV and Parquet structured storage for 5,528 journal serials, partitioned into Historical Train (1,636 records), Historical Validation (410 records), Temporal Test (1,800 records), and Quarantined Uncertain Pool (1,682 records). All dataset partitions are sealed with SHA-256 cryptographic digests.</w:t>
      </w:r>
    </w:p>
    <w:p>
      <w:pPr>
        <w:spacing w:before="0" w:after="160" w:line="360" w:lineRule="auto"/>
        <w:ind w:firstLine="720"/>
        <w:jc w:val="both"/>
      </w:pPr>
      <w:r>
        <w:rPr>
          <w:rFonts w:ascii="Times New Roman" w:hAnsi="Times New Roman"/>
          <w:b w:val="0"/>
          <w:i w:val="0"/>
          <w:color w:val="000000"/>
          <w:sz w:val="24"/>
        </w:rPr>
        <w:t>2. File-Based Feature Cache: High-performance JSON/pickle disk caching in data_cache/ to ensure idempotent feature extraction, eliminate duplicate external network queries, and protect external registry endpoints from rate exhaustion.</w:t>
      </w:r>
    </w:p>
    <w:p>
      <w:pPr>
        <w:spacing w:before="0" w:after="160" w:line="360" w:lineRule="auto"/>
        <w:ind w:firstLine="720"/>
        <w:jc w:val="both"/>
      </w:pPr>
      <w:r>
        <w:rPr>
          <w:rFonts w:ascii="Times New Roman" w:hAnsi="Times New Roman"/>
          <w:b w:val="0"/>
          <w:i w:val="0"/>
          <w:color w:val="000000"/>
          <w:sz w:val="24"/>
        </w:rPr>
        <w:t>3. Relational / State Storage: SQLite/JSON schema for persisting batch audit logs, single-journal audit reports, and human expert review triage queues.</w:t>
      </w:r>
    </w:p>
    <w:p>
      <w:pPr>
        <w:spacing w:before="200" w:after="120" w:line="360" w:lineRule="auto"/>
        <w:jc w:val="left"/>
      </w:pPr>
      <w:r>
        <w:rPr>
          <w:rFonts w:ascii="Times New Roman" w:hAnsi="Times New Roman"/>
          <w:b/>
          <w:i w:val="0"/>
          <w:color w:val="000000"/>
          <w:sz w:val="24"/>
        </w:rPr>
        <w:t>3.1.2 Software Requirements (Platform Choice)</w:t>
      </w:r>
    </w:p>
    <w:p>
      <w:pPr>
        <w:spacing w:before="0" w:after="160" w:line="360" w:lineRule="auto"/>
        <w:ind w:firstLine="720"/>
        <w:jc w:val="both"/>
      </w:pPr>
      <w:r>
        <w:rPr>
          <w:rFonts w:ascii="Times New Roman" w:hAnsi="Times New Roman"/>
          <w:b w:val="0"/>
          <w:i w:val="0"/>
          <w:color w:val="000000"/>
          <w:sz w:val="24"/>
        </w:rPr>
        <w:t>The software ecosystem is selected to ensure production reliability, high computational throughput, and modern user accessibility:</w:t>
      </w:r>
    </w:p>
    <w:p>
      <w:pPr>
        <w:spacing w:before="0" w:after="160" w:line="360" w:lineRule="auto"/>
        <w:ind w:firstLine="720"/>
        <w:jc w:val="both"/>
      </w:pPr>
      <w:r>
        <w:rPr>
          <w:rFonts w:ascii="Times New Roman" w:hAnsi="Times New Roman"/>
          <w:b w:val="0"/>
          <w:i w:val="0"/>
          <w:color w:val="000000"/>
          <w:sz w:val="24"/>
        </w:rPr>
        <w:t>• Operating System: Microsoft Windows 11 / Linux (Ubuntu 22.04 LTS / Debian 12).</w:t>
      </w:r>
    </w:p>
    <w:p>
      <w:pPr>
        <w:spacing w:before="0" w:after="160" w:line="360" w:lineRule="auto"/>
        <w:ind w:firstLine="720"/>
        <w:jc w:val="both"/>
      </w:pPr>
      <w:r>
        <w:rPr>
          <w:rFonts w:ascii="Times New Roman" w:hAnsi="Times New Roman"/>
          <w:b w:val="0"/>
          <w:i w:val="0"/>
          <w:color w:val="000000"/>
          <w:sz w:val="24"/>
        </w:rPr>
        <w:t>• Core Backend: Python 3.10+ runtime with PyTorch 2.1.2 for deep learning model execution and CUDA 12.1 GPU acceleration.</w:t>
      </w:r>
    </w:p>
    <w:p>
      <w:pPr>
        <w:spacing w:before="0" w:after="160" w:line="360" w:lineRule="auto"/>
        <w:ind w:firstLine="720"/>
        <w:jc w:val="both"/>
      </w:pPr>
      <w:r>
        <w:rPr>
          <w:rFonts w:ascii="Times New Roman" w:hAnsi="Times New Roman"/>
          <w:b w:val="0"/>
          <w:i w:val="0"/>
          <w:color w:val="000000"/>
          <w:sz w:val="24"/>
        </w:rPr>
        <w:t>• Web Crawling &amp; Feature Extraction: Requests with HTTP connection pooling, BeautifulSoup4 (lxml parser), tldextract for domain parsing, and Playwright Chromium headless engine for client-side JavaScript DOM rendering.</w:t>
      </w:r>
    </w:p>
    <w:p>
      <w:pPr>
        <w:spacing w:before="0" w:after="160" w:line="360" w:lineRule="auto"/>
        <w:ind w:firstLine="720"/>
        <w:jc w:val="both"/>
      </w:pPr>
      <w:r>
        <w:rPr>
          <w:rFonts w:ascii="Times New Roman" w:hAnsi="Times New Roman"/>
          <w:b w:val="0"/>
          <w:i w:val="0"/>
          <w:color w:val="000000"/>
          <w:sz w:val="24"/>
        </w:rPr>
        <w:t>• Machine Learning &amp; Calibration: Scikit-learn, SciPy, NumPy, Pandas, XGBoost, and LightGBM.</w:t>
      </w:r>
    </w:p>
    <w:p>
      <w:pPr>
        <w:spacing w:before="0" w:after="160" w:line="360" w:lineRule="auto"/>
        <w:ind w:firstLine="720"/>
        <w:jc w:val="both"/>
      </w:pPr>
      <w:r>
        <w:rPr>
          <w:rFonts w:ascii="Times New Roman" w:hAnsi="Times New Roman"/>
          <w:b w:val="0"/>
          <w:i w:val="0"/>
          <w:color w:val="000000"/>
          <w:sz w:val="24"/>
        </w:rPr>
        <w:t>• Backend API Server: FastAPI (ASGI framework) with Uvicorn high-concurrency worker threads and Pydantic data schemas.</w:t>
      </w:r>
    </w:p>
    <w:p>
      <w:pPr>
        <w:spacing w:before="0" w:after="160" w:line="360" w:lineRule="auto"/>
        <w:ind w:firstLine="720"/>
        <w:jc w:val="both"/>
      </w:pPr>
      <w:r>
        <w:rPr>
          <w:rFonts w:ascii="Times New Roman" w:hAnsi="Times New Roman"/>
          <w:b w:val="0"/>
          <w:i w:val="0"/>
          <w:color w:val="000000"/>
          <w:sz w:val="24"/>
        </w:rPr>
        <w:t>• Frontend Web Application: React 19 single-page application built with Vite build tools, Lucide React icons, and Vanilla CSS design tokens.</w:t>
      </w:r>
    </w:p>
    <w:p>
      <w:pPr>
        <w:spacing w:before="200" w:after="120" w:line="360" w:lineRule="auto"/>
        <w:jc w:val="left"/>
      </w:pPr>
      <w:r>
        <w:rPr>
          <w:rFonts w:ascii="Times New Roman" w:hAnsi="Times New Roman"/>
          <w:b/>
          <w:i w:val="0"/>
          <w:color w:val="000000"/>
          <w:sz w:val="24"/>
        </w:rPr>
        <w:t>3.1.3 Hardware Requirements</w:t>
      </w:r>
    </w:p>
    <w:p>
      <w:pPr>
        <w:spacing w:before="0" w:after="160" w:line="360" w:lineRule="auto"/>
        <w:ind w:firstLine="720"/>
        <w:jc w:val="both"/>
      </w:pPr>
      <w:r>
        <w:rPr>
          <w:rFonts w:ascii="Times New Roman" w:hAnsi="Times New Roman"/>
          <w:b w:val="0"/>
          <w:i w:val="0"/>
          <w:color w:val="000000"/>
          <w:sz w:val="24"/>
        </w:rPr>
        <w:t>• Processor: Intel Core i5/i7 (11th Gen or higher) or AMD Ryzen 5/7 (6 cores, 12 threads).</w:t>
      </w:r>
    </w:p>
    <w:p>
      <w:pPr>
        <w:spacing w:before="0" w:after="160" w:line="360" w:lineRule="auto"/>
        <w:ind w:firstLine="720"/>
        <w:jc w:val="both"/>
      </w:pPr>
      <w:r>
        <w:rPr>
          <w:rFonts w:ascii="Times New Roman" w:hAnsi="Times New Roman"/>
          <w:b w:val="0"/>
          <w:i w:val="0"/>
          <w:color w:val="000000"/>
          <w:sz w:val="24"/>
        </w:rPr>
        <w:t>• Memory (RAM): Minimum 16 GB DDR4/DDR5 (32 GB recommended for high-throughput headless browser clustering).</w:t>
      </w:r>
    </w:p>
    <w:p>
      <w:pPr>
        <w:spacing w:before="0" w:after="160" w:line="360" w:lineRule="auto"/>
        <w:ind w:firstLine="720"/>
        <w:jc w:val="both"/>
      </w:pPr>
      <w:r>
        <w:rPr>
          <w:rFonts w:ascii="Times New Roman" w:hAnsi="Times New Roman"/>
          <w:b w:val="0"/>
          <w:i w:val="0"/>
          <w:color w:val="000000"/>
          <w:sz w:val="24"/>
        </w:rPr>
        <w:t>• Storage: Minimum 50 GB available SSD space (NVMe PCIe Gen 4 recommended for fast cache I/O).</w:t>
      </w:r>
    </w:p>
    <w:p>
      <w:pPr>
        <w:spacing w:before="0" w:after="160" w:line="360" w:lineRule="auto"/>
        <w:ind w:firstLine="720"/>
        <w:jc w:val="both"/>
      </w:pPr>
      <w:r>
        <w:rPr>
          <w:rFonts w:ascii="Times New Roman" w:hAnsi="Times New Roman"/>
          <w:b w:val="0"/>
          <w:i w:val="0"/>
          <w:color w:val="000000"/>
          <w:sz w:val="24"/>
        </w:rPr>
        <w:t>• GPU Acceleration: NVIDIA GeForce RTX 3060 / 4060 with minimum 6 GB VRAM and CUDA capability 8.6+.</w:t>
      </w:r>
    </w:p>
    <w:p>
      <w:pPr>
        <w:spacing w:before="0" w:after="160" w:line="360" w:lineRule="auto"/>
        <w:ind w:firstLine="720"/>
        <w:jc w:val="both"/>
      </w:pPr>
      <w:r>
        <w:rPr>
          <w:rFonts w:ascii="Times New Roman" w:hAnsi="Times New Roman"/>
          <w:b w:val="0"/>
          <w:i w:val="0"/>
          <w:color w:val="000000"/>
          <w:sz w:val="24"/>
        </w:rPr>
        <w:t>• Network: High-speed broadband connection (minimum 25 Mbps) with low latency to international registry endpoints (Crossref, DOAJ, OpenAlex).</w:t>
      </w:r>
    </w:p>
    <w:p>
      <w:pPr>
        <w:spacing w:before="280" w:after="160" w:line="360" w:lineRule="auto"/>
        <w:jc w:val="left"/>
      </w:pPr>
      <w:r>
        <w:rPr>
          <w:rFonts w:ascii="Times New Roman" w:hAnsi="Times New Roman"/>
          <w:b/>
          <w:i w:val="0"/>
          <w:color w:val="000000"/>
          <w:sz w:val="24"/>
        </w:rPr>
        <w:t>3.2 ANALYSIS MODELS: SDLC MODEL TO BE APPLIED</w:t>
      </w:r>
    </w:p>
    <w:p>
      <w:pPr>
        <w:spacing w:before="0" w:after="160" w:line="360" w:lineRule="auto"/>
        <w:ind w:firstLine="720"/>
        <w:jc w:val="both"/>
      </w:pPr>
      <w:r>
        <w:rPr>
          <w:rFonts w:ascii="Times New Roman" w:hAnsi="Times New Roman"/>
          <w:b w:val="0"/>
          <w:i w:val="0"/>
          <w:color w:val="000000"/>
          <w:sz w:val="24"/>
        </w:rPr>
        <w:t>The project follows the Iterative and Incremental Agile SDLC model. In academic forensic software development, new adversarial deceptive tactics and shifts in publisher web infrastructure occur continuously. A rigid sequential Waterfall approach is inappropriate because feature extraction heuristics and machine learning models require continuous empirical stress-testing against newly registered domains.</w:t>
      </w:r>
    </w:p>
    <w:p>
      <w:pPr>
        <w:spacing w:before="0" w:after="160" w:line="360" w:lineRule="auto"/>
        <w:ind w:firstLine="720"/>
        <w:jc w:val="both"/>
      </w:pPr>
      <w:r>
        <w:rPr>
          <w:rFonts w:ascii="Times New Roman" w:hAnsi="Times New Roman"/>
          <w:b w:val="0"/>
          <w:i w:val="0"/>
          <w:color w:val="000000"/>
          <w:sz w:val="24"/>
        </w:rPr>
        <w:t>Under the Agile SDLC framework, the project proceeded through four structured development sprints:</w:t>
      </w:r>
    </w:p>
    <w:p>
      <w:pPr>
        <w:spacing w:before="0" w:after="160" w:line="360" w:lineRule="auto"/>
        <w:ind w:firstLine="720"/>
        <w:jc w:val="both"/>
      </w:pPr>
      <w:r>
        <w:rPr>
          <w:rFonts w:ascii="Times New Roman" w:hAnsi="Times New Roman"/>
          <w:b w:val="0"/>
          <w:i w:val="0"/>
          <w:color w:val="000000"/>
          <w:sz w:val="24"/>
        </w:rPr>
        <w:t>• Sprint 1 (Exploration &amp; Dataset Auditing): Gathering historical blacklists and whitelists, scraping modern 2021–2026 serials, auditing records, and freezing dataset splits with SHA-256 hashes.</w:t>
      </w:r>
    </w:p>
    <w:p>
      <w:pPr>
        <w:spacing w:before="0" w:after="160" w:line="360" w:lineRule="auto"/>
        <w:ind w:firstLine="720"/>
        <w:jc w:val="both"/>
      </w:pPr>
      <w:r>
        <w:rPr>
          <w:rFonts w:ascii="Times New Roman" w:hAnsi="Times New Roman"/>
          <w:b w:val="0"/>
          <w:i w:val="0"/>
          <w:color w:val="000000"/>
          <w:sz w:val="24"/>
        </w:rPr>
        <w:t>• Sprint 2 (Progressive Pipeline Architecture): Designing the 4-stage feature hierarchy (URL, HTML, Dynamic JS, Registries) and benchmarking baseline stage latencies.</w:t>
      </w:r>
    </w:p>
    <w:p>
      <w:pPr>
        <w:spacing w:before="0" w:after="160" w:line="360" w:lineRule="auto"/>
        <w:ind w:firstLine="720"/>
        <w:jc w:val="both"/>
      </w:pPr>
      <w:r>
        <w:rPr>
          <w:rFonts w:ascii="Times New Roman" w:hAnsi="Times New Roman"/>
          <w:b w:val="0"/>
          <w:i w:val="0"/>
          <w:color w:val="000000"/>
          <w:sz w:val="24"/>
        </w:rPr>
        <w:t>• Sprint 3 (Neural Network &amp; Adaptive Controller): Developing the shared progressive multi-head PyTorch model, implementing Platt probability calibration, and tuning the entropy-bounded early-exit controller.</w:t>
      </w:r>
    </w:p>
    <w:p>
      <w:pPr>
        <w:spacing w:before="0" w:after="160" w:line="360" w:lineRule="auto"/>
        <w:ind w:firstLine="720"/>
        <w:jc w:val="both"/>
      </w:pPr>
      <w:r>
        <w:rPr>
          <w:rFonts w:ascii="Times New Roman" w:hAnsi="Times New Roman"/>
          <w:b w:val="0"/>
          <w:i w:val="0"/>
          <w:color w:val="000000"/>
          <w:sz w:val="24"/>
        </w:rPr>
        <w:t>• Sprint 4 (Full-Stack System Integration &amp; Forensic Stress-Testing): Constructing the FastAPI server, building the React web dashboard, executing experiments E1–E6, and generating verification dossiers.</w:t>
      </w:r>
    </w:p>
    <w:p>
      <w:r>
        <w:br w:type="page"/>
      </w:r>
    </w:p>
    <w:p>
      <w:pPr>
        <w:spacing w:before="360" w:after="360" w:line="360" w:lineRule="auto"/>
        <w:jc w:val="center"/>
      </w:pPr>
      <w:r>
        <w:rPr>
          <w:rFonts w:ascii="Times New Roman" w:hAnsi="Times New Roman"/>
          <w:b/>
          <w:i w:val="0"/>
          <w:color w:val="000000"/>
          <w:sz w:val="28"/>
        </w:rPr>
        <w:t>CHAPTER 4</w:t>
        <w:br/>
        <w:t>SYSTEM DESIGN</w:t>
      </w:r>
    </w:p>
    <w:p>
      <w:pPr>
        <w:spacing w:before="280" w:after="160" w:line="360" w:lineRule="auto"/>
        <w:jc w:val="left"/>
      </w:pPr>
      <w:r>
        <w:rPr>
          <w:rFonts w:ascii="Times New Roman" w:hAnsi="Times New Roman"/>
          <w:b/>
          <w:i w:val="0"/>
          <w:color w:val="000000"/>
          <w:sz w:val="24"/>
        </w:rPr>
        <w:t>4.1 SYSTEM ARCHITECTURE</w:t>
      </w:r>
    </w:p>
    <w:p>
      <w:pPr>
        <w:spacing w:before="0" w:after="160" w:line="360" w:lineRule="auto"/>
        <w:ind w:firstLine="720"/>
        <w:jc w:val="both"/>
      </w:pPr>
      <w:r>
        <w:rPr>
          <w:rFonts w:ascii="Times New Roman" w:hAnsi="Times New Roman"/>
          <w:b w:val="0"/>
          <w:i w:val="0"/>
          <w:color w:val="000000"/>
          <w:sz w:val="24"/>
        </w:rPr>
        <w:t>The system architecture is organized around the principle of cost-aware progressive feature acquisition. Rather than executing synchronous exhaustive web scraping and external API queries for every incoming journal query, the architecture acquires signals sequentially across four discrete stages, ordered by ascending latency cost.</w:t>
      </w:r>
    </w:p>
    <w:p>
      <w:pPr>
        <w:spacing w:before="200" w:after="80"/>
        <w:jc w:val="center"/>
      </w:pPr>
      <w:r>
        <w:drawing>
          <wp:inline xmlns:a="http://schemas.openxmlformats.org/drawingml/2006/main" xmlns:pic="http://schemas.openxmlformats.org/drawingml/2006/picture">
            <wp:extent cx="4572000" cy="1780674"/>
            <wp:docPr id="3" name="Picture 3"/>
            <wp:cNvGraphicFramePr>
              <a:graphicFrameLocks noChangeAspect="1"/>
            </wp:cNvGraphicFramePr>
            <a:graphic>
              <a:graphicData uri="http://schemas.openxmlformats.org/drawingml/2006/picture">
                <pic:pic>
                  <pic:nvPicPr>
                    <pic:cNvPr id="0" name="fig1_progressive_framework.png"/>
                    <pic:cNvPicPr/>
                  </pic:nvPicPr>
                  <pic:blipFill>
                    <a:blip r:embed="rId10"/>
                    <a:stretch>
                      <a:fillRect/>
                    </a:stretch>
                  </pic:blipFill>
                  <pic:spPr>
                    <a:xfrm>
                      <a:off x="0" y="0"/>
                      <a:ext cx="4572000" cy="1780674"/>
                    </a:xfrm>
                    <a:prstGeom prst="rect"/>
                  </pic:spPr>
                </pic:pic>
              </a:graphicData>
            </a:graphic>
          </wp:inline>
        </w:drawing>
      </w:r>
    </w:p>
    <w:p>
      <w:pPr>
        <w:spacing w:before="40" w:after="40"/>
        <w:jc w:val="center"/>
      </w:pPr>
      <w:r>
        <w:rPr>
          <w:rFonts w:ascii="Times New Roman" w:hAnsi="Times New Roman"/>
          <w:b/>
          <w:sz w:val="24"/>
        </w:rPr>
        <w:t>Figure 4.1: Progressive Feature Acquisition &amp; Tri-State Triage Architecture</w:t>
      </w:r>
    </w:p>
    <w:p>
      <w:pPr>
        <w:spacing w:before="0" w:after="200"/>
        <w:jc w:val="center"/>
      </w:pPr>
      <w:r>
        <w:rPr>
          <w:rFonts w:ascii="Times New Roman" w:hAnsi="Times New Roman"/>
          <w:i/>
          <w:sz w:val="20"/>
        </w:rPr>
        <w:t>Hierarchical 4-stage feature pipeline coupled with shared progressive neural network and adaptive stopping controller.</w:t>
      </w:r>
    </w:p>
    <w:p>
      <w:pPr>
        <w:spacing w:before="0" w:after="160" w:line="360" w:lineRule="auto"/>
        <w:ind w:firstLine="720"/>
        <w:jc w:val="both"/>
      </w:pPr>
      <w:r>
        <w:rPr>
          <w:rFonts w:ascii="Times New Roman" w:hAnsi="Times New Roman"/>
          <w:b w:val="0"/>
          <w:i w:val="0"/>
          <w:color w:val="000000"/>
          <w:sz w:val="24"/>
        </w:rPr>
        <w:t>As illustrated in Figure 4.1, each academic journal serial query x is processed through the following architectural pipeline:</w:t>
      </w:r>
    </w:p>
    <w:p>
      <w:pPr>
        <w:spacing w:before="0" w:after="160" w:line="360" w:lineRule="auto"/>
        <w:ind w:firstLine="720"/>
        <w:jc w:val="both"/>
      </w:pPr>
      <w:r>
        <w:rPr>
          <w:rFonts w:ascii="Times New Roman" w:hAnsi="Times New Roman"/>
          <w:b w:val="0"/>
          <w:i w:val="0"/>
          <w:color w:val="000000"/>
          <w:sz w:val="24"/>
        </w:rPr>
        <w:t>1. Stage 1 (URL Geometry, 16 Features, Latency &lt; 0.01s): Extracts lexical and information-theoretic markers from the raw URL string without network calls (Shannon entropy, token length, hyphen counts, suspicious TLDs, IP patterns, path depth).</w:t>
      </w:r>
    </w:p>
    <w:p>
      <w:pPr>
        <w:spacing w:before="0" w:after="160" w:line="360" w:lineRule="auto"/>
        <w:ind w:firstLine="720"/>
        <w:jc w:val="both"/>
      </w:pPr>
      <w:r>
        <w:rPr>
          <w:rFonts w:ascii="Times New Roman" w:hAnsi="Times New Roman"/>
          <w:b w:val="0"/>
          <w:i w:val="0"/>
          <w:color w:val="000000"/>
          <w:sz w:val="24"/>
        </w:rPr>
        <w:t>2. Stage 2 (Static HTML Policy Disclosures, 13 Features, Latency ≈ 0.8s): Issues a single HTTP GET request to parse structural HTML policy disclosures (APC amount, currency, rapid review claims, editorial board contact emails, ISSN strings, peer-review disclosures).</w:t>
      </w:r>
    </w:p>
    <w:p>
      <w:pPr>
        <w:spacing w:before="0" w:after="160" w:line="360" w:lineRule="auto"/>
        <w:ind w:firstLine="720"/>
        <w:jc w:val="both"/>
      </w:pPr>
      <w:r>
        <w:rPr>
          <w:rFonts w:ascii="Times New Roman" w:hAnsi="Times New Roman"/>
          <w:b w:val="0"/>
          <w:i w:val="0"/>
          <w:color w:val="000000"/>
          <w:sz w:val="24"/>
        </w:rPr>
        <w:t>3. Stage 3 (Dynamic JavaScript &amp; DOM Forensics, 6 Features, Latency ≈ 3.5s): Launches a headless Chromium browser instance to execute client-side scripts, detecting script obfuscation, third-party advertising trackers, and DOM mutation deltas.</w:t>
      </w:r>
    </w:p>
    <w:p>
      <w:pPr>
        <w:spacing w:before="0" w:after="160" w:line="360" w:lineRule="auto"/>
        <w:ind w:firstLine="720"/>
        <w:jc w:val="both"/>
      </w:pPr>
      <w:r>
        <w:rPr>
          <w:rFonts w:ascii="Times New Roman" w:hAnsi="Times New Roman"/>
          <w:b w:val="0"/>
          <w:i w:val="0"/>
          <w:color w:val="000000"/>
          <w:sz w:val="24"/>
        </w:rPr>
        <w:t>4. Stage 4 (Scholarly Registry Corroboration, 7 Features, Latency ≈ 5.0s): Queries external authoritative APIs (Crossref API, OpenAlex bibliometrics, DOAJ directory, and official ISSN Portal) to verify legitimate indexing, DOI prefixes, and publication velocity.</w:t>
      </w:r>
    </w:p>
    <w:p>
      <w:pPr>
        <w:spacing w:before="0" w:after="160" w:line="360" w:lineRule="auto"/>
        <w:ind w:firstLine="720"/>
        <w:jc w:val="both"/>
      </w:pPr>
      <w:r>
        <w:rPr>
          <w:rFonts w:ascii="Times New Roman" w:hAnsi="Times New Roman"/>
          <w:b w:val="0"/>
          <w:i w:val="0"/>
          <w:color w:val="000000"/>
          <w:sz w:val="24"/>
        </w:rPr>
        <w:t>At each stage k, the newly extracted feature vector x_k is concatenated with the previous hidden state h_{k-1} and passed through the shared progressive neural network. The stage classification head emits an intermediate probability p̂_k, and the adaptive stopping controller evaluates whether the calibrated confidence c_k meets the early-exit threshold τ_k. If satisfied, feature acquisition halts immediately, saving immense computation time and network bandwidth.</w:t>
      </w:r>
    </w:p>
    <w:p>
      <w:r>
        <w:br w:type="page"/>
      </w:r>
    </w:p>
    <w:p>
      <w:pPr>
        <w:spacing w:before="360" w:after="360" w:line="360" w:lineRule="auto"/>
        <w:jc w:val="center"/>
      </w:pPr>
      <w:r>
        <w:rPr>
          <w:rFonts w:ascii="Times New Roman" w:hAnsi="Times New Roman"/>
          <w:b/>
          <w:i w:val="0"/>
          <w:color w:val="000000"/>
          <w:sz w:val="28"/>
        </w:rPr>
        <w:t>CHAPTER 5</w:t>
        <w:br/>
        <w:t>IMPLEMENTATION</w:t>
      </w:r>
    </w:p>
    <w:p>
      <w:pPr>
        <w:spacing w:before="280" w:after="160" w:line="360" w:lineRule="auto"/>
        <w:jc w:val="left"/>
      </w:pPr>
      <w:r>
        <w:rPr>
          <w:rFonts w:ascii="Times New Roman" w:hAnsi="Times New Roman"/>
          <w:b/>
          <w:i w:val="0"/>
          <w:color w:val="000000"/>
          <w:sz w:val="24"/>
        </w:rPr>
        <w:t>5.1 OVERVIEW OF MODULES</w:t>
      </w:r>
    </w:p>
    <w:p>
      <w:pPr>
        <w:spacing w:before="0" w:after="160" w:line="360" w:lineRule="auto"/>
        <w:ind w:firstLine="720"/>
        <w:jc w:val="both"/>
      </w:pPr>
      <w:r>
        <w:rPr>
          <w:rFonts w:ascii="Times New Roman" w:hAnsi="Times New Roman"/>
          <w:b w:val="0"/>
          <w:i w:val="0"/>
          <w:color w:val="000000"/>
          <w:sz w:val="24"/>
        </w:rPr>
        <w:t>The software architecture is decomposed into five core modules:</w:t>
      </w:r>
    </w:p>
    <w:p>
      <w:pPr>
        <w:spacing w:before="0" w:after="160" w:line="360" w:lineRule="auto"/>
        <w:ind w:firstLine="720"/>
        <w:jc w:val="both"/>
      </w:pPr>
      <w:r>
        <w:rPr>
          <w:rFonts w:ascii="Times New Roman" w:hAnsi="Times New Roman"/>
          <w:b w:val="0"/>
          <w:i w:val="0"/>
          <w:color w:val="000000"/>
          <w:sz w:val="24"/>
        </w:rPr>
        <w:t>1. Feature Extraction Module (src/features/): Comprises four specialized extractors: group_a_url.py (URL geometry and domain entropy), group_b_html.py (static HTML policy disclosure parsing), group_c_dynamic.py (headless Playwright JavaScript forensics), and group_d_registry.py (Crossref, OpenAlex, DOAJ, and ISSN API querying). Orchestrated through pipeline.py with automated disk caching.</w:t>
      </w:r>
    </w:p>
    <w:p>
      <w:pPr>
        <w:spacing w:before="0" w:after="160" w:line="360" w:lineRule="auto"/>
        <w:ind w:firstLine="720"/>
        <w:jc w:val="both"/>
      </w:pPr>
      <w:r>
        <w:rPr>
          <w:rFonts w:ascii="Times New Roman" w:hAnsi="Times New Roman"/>
          <w:b w:val="0"/>
          <w:i w:val="0"/>
          <w:color w:val="000000"/>
          <w:sz w:val="24"/>
        </w:rPr>
        <w:t>2. Deep Learning Model Module (src/models/): Implements the shared progressive multi-head neural network in multi_head_model.py, the Platt probability calibration engine in calibration.py, and the entropy-bounded early-exit controller in stopping_controller.py.</w:t>
      </w:r>
    </w:p>
    <w:p>
      <w:pPr>
        <w:spacing w:before="0" w:after="160" w:line="360" w:lineRule="auto"/>
        <w:ind w:firstLine="720"/>
        <w:jc w:val="both"/>
      </w:pPr>
      <w:r>
        <w:rPr>
          <w:rFonts w:ascii="Times New Roman" w:hAnsi="Times New Roman"/>
          <w:b w:val="0"/>
          <w:i w:val="0"/>
          <w:color w:val="000000"/>
          <w:sz w:val="24"/>
        </w:rPr>
        <w:t>3. Evidence Grounding &amp; Reporting Module (src/explainability/): Implements evidence_grounding.py and diagnostic_report.py to generate human-readable evidentiary dossiers corroborating claims against registry facts.</w:t>
      </w:r>
    </w:p>
    <w:p>
      <w:pPr>
        <w:spacing w:before="0" w:after="160" w:line="360" w:lineRule="auto"/>
        <w:ind w:firstLine="720"/>
        <w:jc w:val="both"/>
      </w:pPr>
      <w:r>
        <w:rPr>
          <w:rFonts w:ascii="Times New Roman" w:hAnsi="Times New Roman"/>
          <w:b w:val="0"/>
          <w:i w:val="0"/>
          <w:color w:val="000000"/>
          <w:sz w:val="24"/>
        </w:rPr>
        <w:t>4. Backend API Server Module (src/api_server.py): FastAPI REST service exposing endpoints /api/audit (single journal), /api/batch (bulk screening), /api/benchmarks (empirical metrics), and /api/cohorts (dataset exploration).</w:t>
      </w:r>
    </w:p>
    <w:p>
      <w:pPr>
        <w:spacing w:before="0" w:after="160" w:line="360" w:lineRule="auto"/>
        <w:ind w:firstLine="720"/>
        <w:jc w:val="both"/>
      </w:pPr>
      <w:r>
        <w:rPr>
          <w:rFonts w:ascii="Times New Roman" w:hAnsi="Times New Roman"/>
          <w:b w:val="0"/>
          <w:i w:val="0"/>
          <w:color w:val="000000"/>
          <w:sz w:val="24"/>
        </w:rPr>
        <w:t>5. Frontend User Interface Module (frontend/src/App.jsx): Interactive React dashboard with visual gauge components, stage progression bars, radar charts, and batch audit tables.</w:t>
      </w:r>
    </w:p>
    <w:p>
      <w:pPr>
        <w:spacing w:before="280" w:after="160" w:line="360" w:lineRule="auto"/>
        <w:jc w:val="left"/>
      </w:pPr>
      <w:r>
        <w:rPr>
          <w:rFonts w:ascii="Times New Roman" w:hAnsi="Times New Roman"/>
          <w:b/>
          <w:i w:val="0"/>
          <w:color w:val="000000"/>
          <w:sz w:val="24"/>
        </w:rPr>
        <w:t>5.2 TOOLS AND TECHNOLOGIES USED</w:t>
      </w:r>
    </w:p>
    <w:p>
      <w:pPr>
        <w:spacing w:before="0" w:after="160" w:line="360" w:lineRule="auto"/>
        <w:ind w:firstLine="720"/>
        <w:jc w:val="both"/>
      </w:pPr>
      <w:r>
        <w:rPr>
          <w:rFonts w:ascii="Times New Roman" w:hAnsi="Times New Roman"/>
          <w:b w:val="0"/>
          <w:i w:val="0"/>
          <w:color w:val="000000"/>
          <w:sz w:val="24"/>
        </w:rPr>
        <w:t>• PyTorch 2.1.2: Deep learning framework for tensor computations, progressive representation updates, and multi-task loss optimization.</w:t>
      </w:r>
    </w:p>
    <w:p>
      <w:pPr>
        <w:spacing w:before="0" w:after="160" w:line="360" w:lineRule="auto"/>
        <w:ind w:firstLine="720"/>
        <w:jc w:val="both"/>
      </w:pPr>
      <w:r>
        <w:rPr>
          <w:rFonts w:ascii="Times New Roman" w:hAnsi="Times New Roman"/>
          <w:b w:val="0"/>
          <w:i w:val="0"/>
          <w:color w:val="000000"/>
          <w:sz w:val="24"/>
        </w:rPr>
        <w:t>• Playwright: Modern browser automation engine for executing headless Chromium with disabled image rendering to audit dynamic JavaScript.</w:t>
      </w:r>
    </w:p>
    <w:p>
      <w:pPr>
        <w:spacing w:before="0" w:after="160" w:line="360" w:lineRule="auto"/>
        <w:ind w:firstLine="720"/>
        <w:jc w:val="both"/>
      </w:pPr>
      <w:r>
        <w:rPr>
          <w:rFonts w:ascii="Times New Roman" w:hAnsi="Times New Roman"/>
          <w:b w:val="0"/>
          <w:i w:val="0"/>
          <w:color w:val="000000"/>
          <w:sz w:val="24"/>
        </w:rPr>
        <w:t>• BeautifulSoup4 &amp; lxml: High-performance C-accelerated HTML parsing library for extracting editorial policies, APC tables, and email disclosures.</w:t>
      </w:r>
    </w:p>
    <w:p>
      <w:pPr>
        <w:spacing w:before="0" w:after="160" w:line="360" w:lineRule="auto"/>
        <w:ind w:firstLine="720"/>
        <w:jc w:val="both"/>
      </w:pPr>
      <w:r>
        <w:rPr>
          <w:rFonts w:ascii="Times New Roman" w:hAnsi="Times New Roman"/>
          <w:b w:val="0"/>
          <w:i w:val="0"/>
          <w:color w:val="000000"/>
          <w:sz w:val="24"/>
        </w:rPr>
        <w:t>• FastAPI &amp; Uvicorn: Asynchronous REST API framework offering automated OpenAPI documentation and non-blocking I/O.</w:t>
      </w:r>
    </w:p>
    <w:p>
      <w:pPr>
        <w:spacing w:before="0" w:after="160" w:line="360" w:lineRule="auto"/>
        <w:ind w:firstLine="720"/>
        <w:jc w:val="both"/>
      </w:pPr>
      <w:r>
        <w:rPr>
          <w:rFonts w:ascii="Times New Roman" w:hAnsi="Times New Roman"/>
          <w:b w:val="0"/>
          <w:i w:val="0"/>
          <w:color w:val="000000"/>
          <w:sz w:val="24"/>
        </w:rPr>
        <w:t>• Vite &amp; React 19: Next-generation frontend web development tooling providing instantaneous hot module replacement and lightweight production bundles.</w:t>
      </w:r>
    </w:p>
    <w:p>
      <w:pPr>
        <w:spacing w:before="280" w:after="160" w:line="360" w:lineRule="auto"/>
        <w:jc w:val="left"/>
      </w:pPr>
      <w:r>
        <w:rPr>
          <w:rFonts w:ascii="Times New Roman" w:hAnsi="Times New Roman"/>
          <w:b/>
          <w:i w:val="0"/>
          <w:color w:val="000000"/>
          <w:sz w:val="24"/>
        </w:rPr>
        <w:t>5.3 ALGORITHM DETAILS</w:t>
      </w:r>
    </w:p>
    <w:p>
      <w:pPr>
        <w:spacing w:before="0" w:after="160" w:line="360" w:lineRule="auto"/>
        <w:ind w:firstLine="720"/>
        <w:jc w:val="both"/>
      </w:pPr>
      <w:r>
        <w:rPr>
          <w:rFonts w:ascii="Times New Roman" w:hAnsi="Times New Roman"/>
          <w:b w:val="0"/>
          <w:i w:val="0"/>
          <w:color w:val="000000"/>
          <w:sz w:val="24"/>
        </w:rPr>
        <w:t>The core inference algorithm is governed by three mathematical formulations:</w:t>
      </w:r>
    </w:p>
    <w:p>
      <w:pPr>
        <w:spacing w:before="0" w:after="160" w:line="360" w:lineRule="auto"/>
        <w:ind w:firstLine="720"/>
        <w:jc w:val="both"/>
      </w:pPr>
      <w:r>
        <w:rPr>
          <w:rFonts w:ascii="Times New Roman" w:hAnsi="Times New Roman"/>
          <w:b w:val="0"/>
          <w:i w:val="0"/>
          <w:color w:val="000000"/>
          <w:sz w:val="24"/>
        </w:rPr>
        <w:t>1. Sequential Hidden State Representation:</w:t>
      </w:r>
    </w:p>
    <w:p>
      <w:pPr>
        <w:spacing w:before="0" w:after="160" w:line="360" w:lineRule="auto"/>
        <w:ind w:firstLine="720"/>
        <w:jc w:val="both"/>
      </w:pPr>
      <w:r>
        <w:rPr>
          <w:rFonts w:ascii="Times New Roman" w:hAnsi="Times New Roman"/>
          <w:b w:val="0"/>
          <w:i w:val="0"/>
          <w:color w:val="000000"/>
          <w:sz w:val="24"/>
        </w:rPr>
        <w:t>h_1 = ReLU(W_1 x_1 + b_1)</w:t>
      </w:r>
    </w:p>
    <w:p>
      <w:pPr>
        <w:spacing w:before="0" w:after="160" w:line="360" w:lineRule="auto"/>
        <w:ind w:firstLine="720"/>
        <w:jc w:val="both"/>
      </w:pPr>
      <w:r>
        <w:rPr>
          <w:rFonts w:ascii="Times New Roman" w:hAnsi="Times New Roman"/>
          <w:b w:val="0"/>
          <w:i w:val="0"/>
          <w:color w:val="000000"/>
          <w:sz w:val="24"/>
        </w:rPr>
        <w:t>h_k = ReLU(W_k [h_{k-1}; x_k] + b_k)  for k ∈ {2, 3, 4}</w:t>
      </w:r>
    </w:p>
    <w:p>
      <w:pPr>
        <w:spacing w:before="0" w:after="160" w:line="360" w:lineRule="auto"/>
        <w:ind w:firstLine="720"/>
        <w:jc w:val="both"/>
      </w:pPr>
      <w:r>
        <w:rPr>
          <w:rFonts w:ascii="Times New Roman" w:hAnsi="Times New Roman"/>
          <w:b w:val="0"/>
          <w:i w:val="0"/>
          <w:color w:val="000000"/>
          <w:sz w:val="24"/>
        </w:rPr>
        <w:t>where [h_{k-1}; x_k] represents the concatenation of the previous hidden representation with the newly acquired stage feature vector, W_k is the stage weight matrix, and b_k is the bias vector. All representations project to unified latent dimension h = 64.</w:t>
      </w:r>
    </w:p>
    <w:p>
      <w:pPr>
        <w:spacing w:before="0" w:after="160" w:line="360" w:lineRule="auto"/>
        <w:ind w:firstLine="720"/>
        <w:jc w:val="both"/>
      </w:pPr>
      <w:r>
        <w:rPr>
          <w:rFonts w:ascii="Times New Roman" w:hAnsi="Times New Roman"/>
          <w:b w:val="0"/>
          <w:i w:val="0"/>
          <w:color w:val="000000"/>
          <w:sz w:val="24"/>
        </w:rPr>
        <w:t>2. Multi-Task Objective Loss during Training:</w:t>
      </w:r>
    </w:p>
    <w:p>
      <w:pPr>
        <w:spacing w:before="0" w:after="160" w:line="360" w:lineRule="auto"/>
        <w:ind w:firstLine="720"/>
        <w:jc w:val="both"/>
      </w:pPr>
      <w:r>
        <w:rPr>
          <w:rFonts w:ascii="Times New Roman" w:hAnsi="Times New Roman"/>
          <w:b w:val="0"/>
          <w:i w:val="0"/>
          <w:color w:val="000000"/>
          <w:sz w:val="24"/>
        </w:rPr>
        <w:t>Loss_total = α_1 CE(p̂_1, y) + α_2 CE(p̂_2, y) + α_3 CE(p̂_3, y) + α_4 CE(p̂_4, y)</w:t>
      </w:r>
    </w:p>
    <w:p>
      <w:pPr>
        <w:spacing w:before="0" w:after="160" w:line="360" w:lineRule="auto"/>
        <w:ind w:firstLine="720"/>
        <w:jc w:val="both"/>
      </w:pPr>
      <w:r>
        <w:rPr>
          <w:rFonts w:ascii="Times New Roman" w:hAnsi="Times New Roman"/>
          <w:b w:val="0"/>
          <w:i w:val="0"/>
          <w:color w:val="000000"/>
          <w:sz w:val="24"/>
        </w:rPr>
        <w:t>where CE(p̂_k, y) = -[y log p̂_k + (1 - y) log(1 - p̂_k)] is binary cross-entropy, and α_k = 1.0. This joint objective ensures that early layer representations W_1 and W_2 receive gradient feedback from both early and late classification heads, regularizing the shared latent space against temporal distribution shift.</w:t>
      </w:r>
    </w:p>
    <w:p>
      <w:pPr>
        <w:spacing w:before="0" w:after="160" w:line="360" w:lineRule="auto"/>
        <w:ind w:firstLine="720"/>
        <w:jc w:val="both"/>
      </w:pPr>
      <w:r>
        <w:rPr>
          <w:rFonts w:ascii="Times New Roman" w:hAnsi="Times New Roman"/>
          <w:b w:val="0"/>
          <w:i w:val="0"/>
          <w:color w:val="000000"/>
          <w:sz w:val="24"/>
        </w:rPr>
        <w:t>3. Adaptive Stopping Policy:</w:t>
      </w:r>
    </w:p>
    <w:p>
      <w:pPr>
        <w:spacing w:before="0" w:after="160" w:line="360" w:lineRule="auto"/>
        <w:ind w:firstLine="720"/>
        <w:jc w:val="both"/>
      </w:pPr>
      <w:r>
        <w:rPr>
          <w:rFonts w:ascii="Times New Roman" w:hAnsi="Times New Roman"/>
          <w:b w:val="0"/>
          <w:i w:val="0"/>
          <w:color w:val="000000"/>
          <w:sz w:val="24"/>
        </w:rPr>
        <w:t>At each stage k, the calibrated confidence c_k = max(p̂_k, 1 - p̂_k) is evaluated against adaptive threshold τ_k:</w:t>
      </w:r>
    </w:p>
    <w:p>
      <w:pPr>
        <w:spacing w:before="0" w:after="160" w:line="360" w:lineRule="auto"/>
        <w:ind w:firstLine="720"/>
        <w:jc w:val="both"/>
      </w:pPr>
      <w:r>
        <w:rPr>
          <w:rFonts w:ascii="Times New Roman" w:hAnsi="Times New Roman"/>
          <w:b w:val="0"/>
          <w:i w:val="0"/>
          <w:color w:val="000000"/>
          <w:sz w:val="24"/>
        </w:rPr>
        <w:t>• If c_k ≥ τ_k: Halt acquisition immediately and output prediction p̂_k.</w:t>
      </w:r>
    </w:p>
    <w:p>
      <w:pPr>
        <w:spacing w:before="0" w:after="160" w:line="360" w:lineRule="auto"/>
        <w:ind w:firstLine="720"/>
        <w:jc w:val="both"/>
      </w:pPr>
      <w:r>
        <w:rPr>
          <w:rFonts w:ascii="Times New Roman" w:hAnsi="Times New Roman"/>
          <w:b w:val="0"/>
          <w:i w:val="0"/>
          <w:color w:val="000000"/>
          <w:sz w:val="24"/>
        </w:rPr>
        <w:t>• If c_k &lt; τ_k: Advance to Stage k+1 and acquire feature vector x_{k+1}.</w:t>
      </w:r>
    </w:p>
    <w:p>
      <w:pPr>
        <w:spacing w:before="0" w:after="160" w:line="360" w:lineRule="auto"/>
        <w:ind w:firstLine="720"/>
        <w:jc w:val="both"/>
      </w:pPr>
      <w:r>
        <w:rPr>
          <w:rFonts w:ascii="Times New Roman" w:hAnsi="Times New Roman"/>
          <w:b w:val="0"/>
          <w:i w:val="0"/>
          <w:color w:val="000000"/>
          <w:sz w:val="24"/>
        </w:rPr>
        <w:t>• At Stage 4 (final stage): Halt acquisition unconditionally and output p̂_4.</w:t>
      </w:r>
    </w:p>
    <w:p>
      <w:pPr>
        <w:spacing w:before="0" w:after="160" w:line="360" w:lineRule="auto"/>
        <w:ind w:firstLine="720"/>
        <w:jc w:val="both"/>
      </w:pPr>
      <w:r>
        <w:rPr>
          <w:rFonts w:ascii="Times New Roman" w:hAnsi="Times New Roman"/>
          <w:b w:val="0"/>
          <w:i w:val="0"/>
          <w:color w:val="000000"/>
          <w:sz w:val="24"/>
        </w:rPr>
        <w:t>• Tri-State Triage Decision: If p̂ ≥ 0.60 → Predatory Warning; if p̂ ≤ 0.40 → Legitimate Whitelist; if 0.40 &lt; p̂ &lt; 0.60 → Selective Abstention for Human Review.</w:t>
      </w:r>
    </w:p>
    <w:p>
      <w:r>
        <w:br w:type="page"/>
      </w:r>
    </w:p>
    <w:p>
      <w:pPr>
        <w:spacing w:before="360" w:after="360" w:line="360" w:lineRule="auto"/>
        <w:jc w:val="center"/>
      </w:pPr>
      <w:r>
        <w:rPr>
          <w:rFonts w:ascii="Times New Roman" w:hAnsi="Times New Roman"/>
          <w:b/>
          <w:i w:val="0"/>
          <w:color w:val="000000"/>
          <w:sz w:val="28"/>
        </w:rPr>
        <w:t>CHAPTER 6</w:t>
        <w:br/>
        <w:t>RESULTS</w:t>
      </w:r>
    </w:p>
    <w:p>
      <w:pPr>
        <w:spacing w:before="280" w:after="160" w:line="360" w:lineRule="auto"/>
        <w:jc w:val="left"/>
      </w:pPr>
      <w:r>
        <w:rPr>
          <w:rFonts w:ascii="Times New Roman" w:hAnsi="Times New Roman"/>
          <w:b/>
          <w:i w:val="0"/>
          <w:color w:val="000000"/>
          <w:sz w:val="24"/>
        </w:rPr>
        <w:t>6.1 OUTCOMES</w:t>
      </w:r>
    </w:p>
    <w:p>
      <w:pPr>
        <w:spacing w:before="0" w:after="160" w:line="360" w:lineRule="auto"/>
        <w:ind w:firstLine="720"/>
        <w:jc w:val="both"/>
      </w:pPr>
      <w:r>
        <w:rPr>
          <w:rFonts w:ascii="Times New Roman" w:hAnsi="Times New Roman"/>
          <w:b w:val="0"/>
          <w:i w:val="0"/>
          <w:color w:val="000000"/>
          <w:sz w:val="24"/>
        </w:rPr>
        <w:t>The proposed architecture was evaluated across six controlled experiments (E1 through E6) using the audited research corpus of 5,528 serials:</w:t>
      </w:r>
    </w:p>
    <w:p>
      <w:pPr>
        <w:spacing w:before="160" w:after="120" w:line="360" w:lineRule="auto"/>
        <w:jc w:val="center"/>
      </w:pPr>
      <w:r>
        <w:rPr>
          <w:rFonts w:ascii="Times New Roman" w:hAnsi="Times New Roman"/>
          <w:b/>
          <w:i w:val="0"/>
          <w:color w:val="000000"/>
          <w:sz w:val="22"/>
        </w:rPr>
        <w:t>Table 6.1: Primary Experimental Benchmark Results (E1 to E6)</w:t>
      </w:r>
    </w:p>
    <w:tbl>
      <w:tblPr>
        <w:tblW w:type="auto" w:w="0"/>
        <w:jc w:val="center"/>
        <w:tblLook w:firstColumn="1" w:firstRow="1" w:lastColumn="0" w:lastRow="0" w:noHBand="0" w:noVBand="1" w:val="04A0"/>
      </w:tblPr>
      <w:tblGrid>
        <w:gridCol w:w="1187"/>
        <w:gridCol w:w="1187"/>
        <w:gridCol w:w="1187"/>
        <w:gridCol w:w="1187"/>
        <w:gridCol w:w="1187"/>
        <w:gridCol w:w="1187"/>
        <w:gridCol w:w="1187"/>
      </w:tblGrid>
      <w:tr>
        <w:tc>
          <w:tcPr>
            <w:tcW w:type="dxa" w:w="1187"/>
          </w:tcPr>
          <w:p>
            <w:pPr>
              <w:jc w:val="center"/>
            </w:pPr>
            <w:r>
              <w:rPr>
                <w:b/>
              </w:rPr>
              <w:t>Exp</w:t>
            </w:r>
          </w:p>
        </w:tc>
        <w:tc>
          <w:tcPr>
            <w:tcW w:type="dxa" w:w="1187"/>
          </w:tcPr>
          <w:p>
            <w:pPr>
              <w:jc w:val="center"/>
            </w:pPr>
            <w:r>
              <w:rPr>
                <w:b/>
              </w:rPr>
              <w:t>Configuration</w:t>
            </w:r>
          </w:p>
        </w:tc>
        <w:tc>
          <w:tcPr>
            <w:tcW w:type="dxa" w:w="1187"/>
          </w:tcPr>
          <w:p>
            <w:pPr>
              <w:jc w:val="center"/>
            </w:pPr>
            <w:r>
              <w:rPr>
                <w:b/>
              </w:rPr>
              <w:t>Precision</w:t>
            </w:r>
          </w:p>
        </w:tc>
        <w:tc>
          <w:tcPr>
            <w:tcW w:type="dxa" w:w="1187"/>
          </w:tcPr>
          <w:p>
            <w:pPr>
              <w:jc w:val="center"/>
            </w:pPr>
            <w:r>
              <w:rPr>
                <w:b/>
              </w:rPr>
              <w:t>Recall</w:t>
            </w:r>
          </w:p>
        </w:tc>
        <w:tc>
          <w:tcPr>
            <w:tcW w:type="dxa" w:w="1187"/>
          </w:tcPr>
          <w:p>
            <w:pPr>
              <w:jc w:val="center"/>
            </w:pPr>
            <w:r>
              <w:rPr>
                <w:b/>
              </w:rPr>
              <w:t>Macro-F1</w:t>
            </w:r>
          </w:p>
        </w:tc>
        <w:tc>
          <w:tcPr>
            <w:tcW w:type="dxa" w:w="1187"/>
          </w:tcPr>
          <w:p>
            <w:pPr>
              <w:jc w:val="center"/>
            </w:pPr>
            <w:r>
              <w:rPr>
                <w:b/>
              </w:rPr>
              <w:t>ROC-AUC</w:t>
            </w:r>
          </w:p>
        </w:tc>
        <w:tc>
          <w:tcPr>
            <w:tcW w:type="dxa" w:w="1187"/>
          </w:tcPr>
          <w:p>
            <w:pPr>
              <w:jc w:val="center"/>
            </w:pPr>
            <w:r>
              <w:rPr>
                <w:b/>
              </w:rPr>
              <w:t>Latency</w:t>
            </w:r>
          </w:p>
        </w:tc>
      </w:tr>
      <w:tr>
        <w:tc>
          <w:tcPr>
            <w:tcW w:type="dxa" w:w="1187"/>
          </w:tcPr>
          <w:p>
            <w:pPr>
              <w:jc w:val="center"/>
            </w:pPr>
            <w:r>
              <w:t>E1</w:t>
            </w:r>
          </w:p>
        </w:tc>
        <w:tc>
          <w:tcPr>
            <w:tcW w:type="dxa" w:w="1187"/>
          </w:tcPr>
          <w:p>
            <w:pPr>
              <w:jc w:val="center"/>
            </w:pPr>
            <w:r>
              <w:t>Group A (URL Geometry)</w:t>
            </w:r>
          </w:p>
        </w:tc>
        <w:tc>
          <w:tcPr>
            <w:tcW w:type="dxa" w:w="1187"/>
          </w:tcPr>
          <w:p>
            <w:pPr>
              <w:jc w:val="center"/>
            </w:pPr>
            <w:r>
              <w:t>0.1233</w:t>
            </w:r>
          </w:p>
        </w:tc>
        <w:tc>
          <w:tcPr>
            <w:tcW w:type="dxa" w:w="1187"/>
          </w:tcPr>
          <w:p>
            <w:pPr>
              <w:jc w:val="center"/>
            </w:pPr>
            <w:r>
              <w:t>0.4078</w:t>
            </w:r>
          </w:p>
        </w:tc>
        <w:tc>
          <w:tcPr>
            <w:tcW w:type="dxa" w:w="1187"/>
          </w:tcPr>
          <w:p>
            <w:pPr>
              <w:jc w:val="center"/>
            </w:pPr>
            <w:r>
              <w:t>0.4842</w:t>
            </w:r>
          </w:p>
        </w:tc>
        <w:tc>
          <w:tcPr>
            <w:tcW w:type="dxa" w:w="1187"/>
          </w:tcPr>
          <w:p>
            <w:pPr>
              <w:jc w:val="center"/>
            </w:pPr>
            <w:r>
              <w:t>0.5721</w:t>
            </w:r>
          </w:p>
        </w:tc>
        <w:tc>
          <w:tcPr>
            <w:tcW w:type="dxa" w:w="1187"/>
          </w:tcPr>
          <w:p>
            <w:pPr>
              <w:jc w:val="center"/>
            </w:pPr>
            <w:r>
              <w:t>10.0 ms</w:t>
            </w:r>
          </w:p>
        </w:tc>
      </w:tr>
      <w:tr>
        <w:tc>
          <w:tcPr>
            <w:tcW w:type="dxa" w:w="1187"/>
          </w:tcPr>
          <w:p>
            <w:pPr>
              <w:jc w:val="center"/>
            </w:pPr>
            <w:r>
              <w:t>E2</w:t>
            </w:r>
          </w:p>
        </w:tc>
        <w:tc>
          <w:tcPr>
            <w:tcW w:type="dxa" w:w="1187"/>
          </w:tcPr>
          <w:p>
            <w:pPr>
              <w:jc w:val="center"/>
            </w:pPr>
            <w:r>
              <w:t>Monolithic Full (A+B+C+D)</w:t>
            </w:r>
          </w:p>
        </w:tc>
        <w:tc>
          <w:tcPr>
            <w:tcW w:type="dxa" w:w="1187"/>
          </w:tcPr>
          <w:p>
            <w:pPr>
              <w:jc w:val="center"/>
            </w:pPr>
            <w:r>
              <w:t>0.1463</w:t>
            </w:r>
          </w:p>
        </w:tc>
        <w:tc>
          <w:tcPr>
            <w:tcW w:type="dxa" w:w="1187"/>
          </w:tcPr>
          <w:p>
            <w:pPr>
              <w:jc w:val="center"/>
            </w:pPr>
            <w:r>
              <w:t>0.7542</w:t>
            </w:r>
          </w:p>
        </w:tc>
        <w:tc>
          <w:tcPr>
            <w:tcW w:type="dxa" w:w="1187"/>
          </w:tcPr>
          <w:p>
            <w:pPr>
              <w:jc w:val="center"/>
            </w:pPr>
            <w:r>
              <w:t>0.4560</w:t>
            </w:r>
          </w:p>
        </w:tc>
        <w:tc>
          <w:tcPr>
            <w:tcW w:type="dxa" w:w="1187"/>
          </w:tcPr>
          <w:p>
            <w:pPr>
              <w:jc w:val="center"/>
            </w:pPr>
            <w:r>
              <w:t>0.6326</w:t>
            </w:r>
          </w:p>
        </w:tc>
        <w:tc>
          <w:tcPr>
            <w:tcW w:type="dxa" w:w="1187"/>
          </w:tcPr>
          <w:p>
            <w:pPr>
              <w:jc w:val="center"/>
            </w:pPr>
            <w:r>
              <w:t>9,310.0 ms</w:t>
            </w:r>
          </w:p>
        </w:tc>
      </w:tr>
      <w:tr>
        <w:tc>
          <w:tcPr>
            <w:tcW w:type="dxa" w:w="1187"/>
          </w:tcPr>
          <w:p>
            <w:pPr>
              <w:jc w:val="center"/>
            </w:pPr>
            <w:r>
              <w:t>E3</w:t>
            </w:r>
          </w:p>
        </w:tc>
        <w:tc>
          <w:tcPr>
            <w:tcW w:type="dxa" w:w="1187"/>
          </w:tcPr>
          <w:p>
            <w:pPr>
              <w:jc w:val="center"/>
            </w:pPr>
            <w:r>
              <w:t>Adaptive Progressive (Proposed)</w:t>
            </w:r>
          </w:p>
        </w:tc>
        <w:tc>
          <w:tcPr>
            <w:tcW w:type="dxa" w:w="1187"/>
          </w:tcPr>
          <w:p>
            <w:pPr>
              <w:jc w:val="center"/>
            </w:pPr>
            <w:r>
              <w:t>0.1724</w:t>
            </w:r>
          </w:p>
        </w:tc>
        <w:tc>
          <w:tcPr>
            <w:tcW w:type="dxa" w:w="1187"/>
          </w:tcPr>
          <w:p>
            <w:pPr>
              <w:jc w:val="center"/>
            </w:pPr>
            <w:r>
              <w:t>0.5642</w:t>
            </w:r>
          </w:p>
        </w:tc>
        <w:tc>
          <w:tcPr>
            <w:tcW w:type="dxa" w:w="1187"/>
          </w:tcPr>
          <w:p>
            <w:pPr>
              <w:jc w:val="center"/>
            </w:pPr>
            <w:r>
              <w:t>0.5327</w:t>
            </w:r>
          </w:p>
        </w:tc>
        <w:tc>
          <w:tcPr>
            <w:tcW w:type="dxa" w:w="1187"/>
          </w:tcPr>
          <w:p>
            <w:pPr>
              <w:jc w:val="center"/>
            </w:pPr>
            <w:r>
              <w:t>0.6771</w:t>
            </w:r>
          </w:p>
        </w:tc>
        <w:tc>
          <w:tcPr>
            <w:tcW w:type="dxa" w:w="1187"/>
          </w:tcPr>
          <w:p>
            <w:pPr>
              <w:jc w:val="center"/>
            </w:pPr>
            <w:r>
              <w:t>519.0 ms</w:t>
            </w:r>
          </w:p>
        </w:tc>
      </w:tr>
      <w:tr>
        <w:tc>
          <w:tcPr>
            <w:tcW w:type="dxa" w:w="1187"/>
          </w:tcPr>
          <w:p>
            <w:pPr>
              <w:jc w:val="center"/>
            </w:pPr>
            <w:r>
              <w:t>E4-1</w:t>
            </w:r>
          </w:p>
        </w:tc>
        <w:tc>
          <w:tcPr>
            <w:tcW w:type="dxa" w:w="1187"/>
          </w:tcPr>
          <w:p>
            <w:pPr>
              <w:jc w:val="center"/>
            </w:pPr>
            <w:r>
              <w:t>Fixed Stage 1 (Group A)</w:t>
            </w:r>
          </w:p>
        </w:tc>
        <w:tc>
          <w:tcPr>
            <w:tcW w:type="dxa" w:w="1187"/>
          </w:tcPr>
          <w:p>
            <w:pPr>
              <w:jc w:val="center"/>
            </w:pPr>
            <w:r>
              <w:t>0.1233</w:t>
            </w:r>
          </w:p>
        </w:tc>
        <w:tc>
          <w:tcPr>
            <w:tcW w:type="dxa" w:w="1187"/>
          </w:tcPr>
          <w:p>
            <w:pPr>
              <w:jc w:val="center"/>
            </w:pPr>
            <w:r>
              <w:t>0.4078</w:t>
            </w:r>
          </w:p>
        </w:tc>
        <w:tc>
          <w:tcPr>
            <w:tcW w:type="dxa" w:w="1187"/>
          </w:tcPr>
          <w:p>
            <w:pPr>
              <w:jc w:val="center"/>
            </w:pPr>
            <w:r>
              <w:t>0.4842</w:t>
            </w:r>
          </w:p>
        </w:tc>
        <w:tc>
          <w:tcPr>
            <w:tcW w:type="dxa" w:w="1187"/>
          </w:tcPr>
          <w:p>
            <w:pPr>
              <w:jc w:val="center"/>
            </w:pPr>
            <w:r>
              <w:t>0.5721</w:t>
            </w:r>
          </w:p>
        </w:tc>
        <w:tc>
          <w:tcPr>
            <w:tcW w:type="dxa" w:w="1187"/>
          </w:tcPr>
          <w:p>
            <w:pPr>
              <w:jc w:val="center"/>
            </w:pPr>
            <w:r>
              <w:t>10.0 ms</w:t>
            </w:r>
          </w:p>
        </w:tc>
      </w:tr>
      <w:tr>
        <w:tc>
          <w:tcPr>
            <w:tcW w:type="dxa" w:w="1187"/>
          </w:tcPr>
          <w:p>
            <w:pPr>
              <w:jc w:val="center"/>
            </w:pPr>
            <w:r>
              <w:t>E4-2</w:t>
            </w:r>
          </w:p>
        </w:tc>
        <w:tc>
          <w:tcPr>
            <w:tcW w:type="dxa" w:w="1187"/>
          </w:tcPr>
          <w:p>
            <w:pPr>
              <w:jc w:val="center"/>
            </w:pPr>
            <w:r>
              <w:t>Fixed Stage 2 (A+B)</w:t>
            </w:r>
          </w:p>
        </w:tc>
        <w:tc>
          <w:tcPr>
            <w:tcW w:type="dxa" w:w="1187"/>
          </w:tcPr>
          <w:p>
            <w:pPr>
              <w:jc w:val="center"/>
            </w:pPr>
            <w:r>
              <w:t>0.1463</w:t>
            </w:r>
          </w:p>
        </w:tc>
        <w:tc>
          <w:tcPr>
            <w:tcW w:type="dxa" w:w="1187"/>
          </w:tcPr>
          <w:p>
            <w:pPr>
              <w:jc w:val="center"/>
            </w:pPr>
            <w:r>
              <w:t>0.7542</w:t>
            </w:r>
          </w:p>
        </w:tc>
        <w:tc>
          <w:tcPr>
            <w:tcW w:type="dxa" w:w="1187"/>
          </w:tcPr>
          <w:p>
            <w:pPr>
              <w:jc w:val="center"/>
            </w:pPr>
            <w:r>
              <w:t>0.4560</w:t>
            </w:r>
          </w:p>
        </w:tc>
        <w:tc>
          <w:tcPr>
            <w:tcW w:type="dxa" w:w="1187"/>
          </w:tcPr>
          <w:p>
            <w:pPr>
              <w:jc w:val="center"/>
            </w:pPr>
            <w:r>
              <w:t>0.6326</w:t>
            </w:r>
          </w:p>
        </w:tc>
        <w:tc>
          <w:tcPr>
            <w:tcW w:type="dxa" w:w="1187"/>
          </w:tcPr>
          <w:p>
            <w:pPr>
              <w:jc w:val="center"/>
            </w:pPr>
            <w:r>
              <w:t>810.0 ms</w:t>
            </w:r>
          </w:p>
        </w:tc>
      </w:tr>
      <w:tr>
        <w:tc>
          <w:tcPr>
            <w:tcW w:type="dxa" w:w="1187"/>
          </w:tcPr>
          <w:p>
            <w:pPr>
              <w:jc w:val="center"/>
            </w:pPr>
            <w:r>
              <w:t>E4-3</w:t>
            </w:r>
          </w:p>
        </w:tc>
        <w:tc>
          <w:tcPr>
            <w:tcW w:type="dxa" w:w="1187"/>
          </w:tcPr>
          <w:p>
            <w:pPr>
              <w:jc w:val="center"/>
            </w:pPr>
            <w:r>
              <w:t>Fixed Stage 3 (A+B+C)</w:t>
            </w:r>
          </w:p>
        </w:tc>
        <w:tc>
          <w:tcPr>
            <w:tcW w:type="dxa" w:w="1187"/>
          </w:tcPr>
          <w:p>
            <w:pPr>
              <w:jc w:val="center"/>
            </w:pPr>
            <w:r>
              <w:t>0.1463</w:t>
            </w:r>
          </w:p>
        </w:tc>
        <w:tc>
          <w:tcPr>
            <w:tcW w:type="dxa" w:w="1187"/>
          </w:tcPr>
          <w:p>
            <w:pPr>
              <w:jc w:val="center"/>
            </w:pPr>
            <w:r>
              <w:t>0.7542</w:t>
            </w:r>
          </w:p>
        </w:tc>
        <w:tc>
          <w:tcPr>
            <w:tcW w:type="dxa" w:w="1187"/>
          </w:tcPr>
          <w:p>
            <w:pPr>
              <w:jc w:val="center"/>
            </w:pPr>
            <w:r>
              <w:t>0.4560</w:t>
            </w:r>
          </w:p>
        </w:tc>
        <w:tc>
          <w:tcPr>
            <w:tcW w:type="dxa" w:w="1187"/>
          </w:tcPr>
          <w:p>
            <w:pPr>
              <w:jc w:val="center"/>
            </w:pPr>
            <w:r>
              <w:t>0.6326</w:t>
            </w:r>
          </w:p>
        </w:tc>
        <w:tc>
          <w:tcPr>
            <w:tcW w:type="dxa" w:w="1187"/>
          </w:tcPr>
          <w:p>
            <w:pPr>
              <w:jc w:val="center"/>
            </w:pPr>
            <w:r>
              <w:t>4,310.0 ms</w:t>
            </w:r>
          </w:p>
        </w:tc>
      </w:tr>
      <w:tr>
        <w:tc>
          <w:tcPr>
            <w:tcW w:type="dxa" w:w="1187"/>
          </w:tcPr>
          <w:p>
            <w:pPr>
              <w:jc w:val="center"/>
            </w:pPr>
            <w:r>
              <w:t>E4-4</w:t>
            </w:r>
          </w:p>
        </w:tc>
        <w:tc>
          <w:tcPr>
            <w:tcW w:type="dxa" w:w="1187"/>
          </w:tcPr>
          <w:p>
            <w:pPr>
              <w:jc w:val="center"/>
            </w:pPr>
            <w:r>
              <w:t>Fixed Stage 4 (A+B+C+D)</w:t>
            </w:r>
          </w:p>
        </w:tc>
        <w:tc>
          <w:tcPr>
            <w:tcW w:type="dxa" w:w="1187"/>
          </w:tcPr>
          <w:p>
            <w:pPr>
              <w:jc w:val="center"/>
            </w:pPr>
            <w:r>
              <w:t>0.1463</w:t>
            </w:r>
          </w:p>
        </w:tc>
        <w:tc>
          <w:tcPr>
            <w:tcW w:type="dxa" w:w="1187"/>
          </w:tcPr>
          <w:p>
            <w:pPr>
              <w:jc w:val="center"/>
            </w:pPr>
            <w:r>
              <w:t>0.7542</w:t>
            </w:r>
          </w:p>
        </w:tc>
        <w:tc>
          <w:tcPr>
            <w:tcW w:type="dxa" w:w="1187"/>
          </w:tcPr>
          <w:p>
            <w:pPr>
              <w:jc w:val="center"/>
            </w:pPr>
            <w:r>
              <w:t>0.4560</w:t>
            </w:r>
          </w:p>
        </w:tc>
        <w:tc>
          <w:tcPr>
            <w:tcW w:type="dxa" w:w="1187"/>
          </w:tcPr>
          <w:p>
            <w:pPr>
              <w:jc w:val="center"/>
            </w:pPr>
            <w:r>
              <w:t>0.6326</w:t>
            </w:r>
          </w:p>
        </w:tc>
        <w:tc>
          <w:tcPr>
            <w:tcW w:type="dxa" w:w="1187"/>
          </w:tcPr>
          <w:p>
            <w:pPr>
              <w:jc w:val="center"/>
            </w:pPr>
            <w:r>
              <w:t>9,310.0 ms</w:t>
            </w:r>
          </w:p>
        </w:tc>
      </w:tr>
      <w:tr>
        <w:tc>
          <w:tcPr>
            <w:tcW w:type="dxa" w:w="1187"/>
          </w:tcPr>
          <w:p>
            <w:pPr>
              <w:jc w:val="center"/>
            </w:pPr>
            <w:r>
              <w:t>E5-X</w:t>
            </w:r>
          </w:p>
        </w:tc>
        <w:tc>
          <w:tcPr>
            <w:tcW w:type="dxa" w:w="1187"/>
          </w:tcPr>
          <w:p>
            <w:pPr>
              <w:jc w:val="center"/>
            </w:pPr>
            <w:r>
              <w:t>Stage 4 XGBoost Baseline</w:t>
            </w:r>
          </w:p>
        </w:tc>
        <w:tc>
          <w:tcPr>
            <w:tcW w:type="dxa" w:w="1187"/>
          </w:tcPr>
          <w:p>
            <w:pPr>
              <w:jc w:val="center"/>
            </w:pPr>
            <w:r>
              <w:t>0.0994</w:t>
            </w:r>
          </w:p>
        </w:tc>
        <w:tc>
          <w:tcPr>
            <w:tcW w:type="dxa" w:w="1187"/>
          </w:tcPr>
          <w:p>
            <w:pPr>
              <w:jc w:val="center"/>
            </w:pPr>
            <w:r>
              <w:t>1.0000</w:t>
            </w:r>
          </w:p>
        </w:tc>
        <w:tc>
          <w:tcPr>
            <w:tcW w:type="dxa" w:w="1187"/>
          </w:tcPr>
          <w:p>
            <w:pPr>
              <w:jc w:val="center"/>
            </w:pPr>
            <w:r>
              <w:t>0.0904</w:t>
            </w:r>
          </w:p>
        </w:tc>
        <w:tc>
          <w:tcPr>
            <w:tcW w:type="dxa" w:w="1187"/>
          </w:tcPr>
          <w:p>
            <w:pPr>
              <w:jc w:val="center"/>
            </w:pPr>
            <w:r>
              <w:t>0.5860</w:t>
            </w:r>
          </w:p>
        </w:tc>
        <w:tc>
          <w:tcPr>
            <w:tcW w:type="dxa" w:w="1187"/>
          </w:tcPr>
          <w:p>
            <w:pPr>
              <w:jc w:val="center"/>
            </w:pPr>
            <w:r>
              <w:t>9,310.0 ms</w:t>
            </w:r>
          </w:p>
        </w:tc>
      </w:tr>
      <w:tr>
        <w:tc>
          <w:tcPr>
            <w:tcW w:type="dxa" w:w="1187"/>
          </w:tcPr>
          <w:p>
            <w:pPr>
              <w:jc w:val="center"/>
            </w:pPr>
            <w:r>
              <w:t>E6-H</w:t>
            </w:r>
          </w:p>
        </w:tc>
        <w:tc>
          <w:tcPr>
            <w:tcW w:type="dxa" w:w="1187"/>
          </w:tcPr>
          <w:p>
            <w:pPr>
              <w:jc w:val="center"/>
            </w:pPr>
            <w:r>
              <w:t>Historical In-Dist. Validation</w:t>
            </w:r>
          </w:p>
        </w:tc>
        <w:tc>
          <w:tcPr>
            <w:tcW w:type="dxa" w:w="1187"/>
          </w:tcPr>
          <w:p>
            <w:pPr>
              <w:jc w:val="center"/>
            </w:pPr>
            <w:r>
              <w:t>1.0000</w:t>
            </w:r>
          </w:p>
        </w:tc>
        <w:tc>
          <w:tcPr>
            <w:tcW w:type="dxa" w:w="1187"/>
          </w:tcPr>
          <w:p>
            <w:pPr>
              <w:jc w:val="center"/>
            </w:pPr>
            <w:r>
              <w:t>0.9880</w:t>
            </w:r>
          </w:p>
        </w:tc>
        <w:tc>
          <w:tcPr>
            <w:tcW w:type="dxa" w:w="1187"/>
          </w:tcPr>
          <w:p>
            <w:pPr>
              <w:jc w:val="center"/>
            </w:pPr>
            <w:r>
              <w:t>0.9949</w:t>
            </w:r>
          </w:p>
        </w:tc>
        <w:tc>
          <w:tcPr>
            <w:tcW w:type="dxa" w:w="1187"/>
          </w:tcPr>
          <w:p>
            <w:pPr>
              <w:jc w:val="center"/>
            </w:pPr>
            <w:r>
              <w:t>0.9951</w:t>
            </w:r>
          </w:p>
        </w:tc>
        <w:tc>
          <w:tcPr>
            <w:tcW w:type="dxa" w:w="1187"/>
          </w:tcPr>
          <w:p>
            <w:pPr>
              <w:jc w:val="center"/>
            </w:pPr>
            <w:r>
              <w:t>426.0 ms</w:t>
            </w:r>
          </w:p>
        </w:tc>
      </w:tr>
    </w:tbl>
    <w:p>
      <w:pPr>
        <w:spacing w:before="0" w:after="160" w:line="360" w:lineRule="auto"/>
        <w:ind w:firstLine="720"/>
        <w:jc w:val="both"/>
      </w:pPr>
      <w:r>
        <w:rPr>
          <w:rFonts w:ascii="Times New Roman" w:hAnsi="Times New Roman"/>
          <w:b w:val="0"/>
          <w:i w:val="0"/>
          <w:color w:val="000000"/>
          <w:sz w:val="24"/>
        </w:rPr>
        <w:t>Key Empirical Findings:</w:t>
      </w:r>
    </w:p>
    <w:p>
      <w:pPr>
        <w:spacing w:before="0" w:after="160" w:line="360" w:lineRule="auto"/>
        <w:ind w:firstLine="720"/>
        <w:jc w:val="both"/>
      </w:pPr>
      <w:r>
        <w:rPr>
          <w:rFonts w:ascii="Times New Roman" w:hAnsi="Times New Roman"/>
          <w:b w:val="0"/>
          <w:i w:val="0"/>
          <w:color w:val="000000"/>
          <w:sz w:val="24"/>
        </w:rPr>
        <w:t>1. Pareto Latency Reduction (E1, E2, E3): As shown in Table 6.1 and Figure 6.1, monolithic exhaustive acquisition (E2) requires 9,310.0 ms per serial. Our proposed adaptive progressive approach (E3) resolves 36.3% of journals at Stage 1 (&lt;10 ms) and 63.7% at Stage 2 (≈810 ms). Exactly 0.0% of candidates required escalation to expensive Stage 3/4. This yields an average inference latency of 519.0 ms, achieving a 94.4% latency reduction (17.9× throughput acceleration).</w:t>
      </w:r>
    </w:p>
    <w:p>
      <w:pPr>
        <w:spacing w:before="200" w:after="80"/>
        <w:jc w:val="center"/>
      </w:pPr>
      <w:r>
        <w:drawing>
          <wp:inline xmlns:a="http://schemas.openxmlformats.org/drawingml/2006/main" xmlns:pic="http://schemas.openxmlformats.org/drawingml/2006/picture">
            <wp:extent cx="4572000" cy="2512560"/>
            <wp:docPr id="4" name="Picture 4"/>
            <wp:cNvGraphicFramePr>
              <a:graphicFrameLocks noChangeAspect="1"/>
            </wp:cNvGraphicFramePr>
            <a:graphic>
              <a:graphicData uri="http://schemas.openxmlformats.org/drawingml/2006/picture">
                <pic:pic>
                  <pic:nvPicPr>
                    <pic:cNvPr id="0" name="fig2_pareto_latency_f1.png"/>
                    <pic:cNvPicPr/>
                  </pic:nvPicPr>
                  <pic:blipFill>
                    <a:blip r:embed="rId11"/>
                    <a:stretch>
                      <a:fillRect/>
                    </a:stretch>
                  </pic:blipFill>
                  <pic:spPr>
                    <a:xfrm>
                      <a:off x="0" y="0"/>
                      <a:ext cx="4572000" cy="2512560"/>
                    </a:xfrm>
                    <a:prstGeom prst="rect"/>
                  </pic:spPr>
                </pic:pic>
              </a:graphicData>
            </a:graphic>
          </wp:inline>
        </w:drawing>
      </w:r>
    </w:p>
    <w:p>
      <w:pPr>
        <w:spacing w:before="40" w:after="40"/>
        <w:jc w:val="center"/>
      </w:pPr>
      <w:r>
        <w:rPr>
          <w:rFonts w:ascii="Times New Roman" w:hAnsi="Times New Roman"/>
          <w:b/>
          <w:sz w:val="24"/>
        </w:rPr>
        <w:t>Figure 6.1: Macro-F1 Generalization vs. Inference Latency Across Architectures</w:t>
      </w:r>
    </w:p>
    <w:p>
      <w:pPr>
        <w:spacing w:before="0" w:after="200"/>
        <w:jc w:val="center"/>
      </w:pPr>
      <w:r>
        <w:rPr>
          <w:rFonts w:ascii="Times New Roman" w:hAnsi="Times New Roman"/>
          <w:i/>
          <w:sz w:val="20"/>
        </w:rPr>
        <w:t>Trade-off showing our adaptive architecture achieving superior F1 with 94.4% latency reduction.</w:t>
      </w:r>
    </w:p>
    <w:p>
      <w:pPr>
        <w:spacing w:before="200" w:after="80"/>
        <w:jc w:val="center"/>
      </w:pPr>
      <w:r>
        <w:drawing>
          <wp:inline xmlns:a="http://schemas.openxmlformats.org/drawingml/2006/main" xmlns:pic="http://schemas.openxmlformats.org/drawingml/2006/picture">
            <wp:extent cx="4572000" cy="2680771"/>
            <wp:docPr id="5" name="Picture 5"/>
            <wp:cNvGraphicFramePr>
              <a:graphicFrameLocks noChangeAspect="1"/>
            </wp:cNvGraphicFramePr>
            <a:graphic>
              <a:graphicData uri="http://schemas.openxmlformats.org/drawingml/2006/picture">
                <pic:pic>
                  <pic:nvPicPr>
                    <pic:cNvPr id="0" name="fig3_stopping_distribution.png"/>
                    <pic:cNvPicPr/>
                  </pic:nvPicPr>
                  <pic:blipFill>
                    <a:blip r:embed="rId12"/>
                    <a:stretch>
                      <a:fillRect/>
                    </a:stretch>
                  </pic:blipFill>
                  <pic:spPr>
                    <a:xfrm>
                      <a:off x="0" y="0"/>
                      <a:ext cx="4572000" cy="2680771"/>
                    </a:xfrm>
                    <a:prstGeom prst="rect"/>
                  </pic:spPr>
                </pic:pic>
              </a:graphicData>
            </a:graphic>
          </wp:inline>
        </w:drawing>
      </w:r>
    </w:p>
    <w:p>
      <w:pPr>
        <w:spacing w:before="40" w:after="40"/>
        <w:jc w:val="center"/>
      </w:pPr>
      <w:r>
        <w:rPr>
          <w:rFonts w:ascii="Times New Roman" w:hAnsi="Times New Roman"/>
          <w:b/>
          <w:sz w:val="24"/>
        </w:rPr>
        <w:t>Figure 6.2: Sequential Exit Distribution and Class Resolution</w:t>
      </w:r>
    </w:p>
    <w:p>
      <w:pPr>
        <w:spacing w:before="0" w:after="200"/>
        <w:jc w:val="center"/>
      </w:pPr>
      <w:r>
        <w:rPr>
          <w:rFonts w:ascii="Times New Roman" w:hAnsi="Times New Roman"/>
          <w:i/>
          <w:sz w:val="20"/>
        </w:rPr>
        <w:t>Resolution distribution across stages showing 36.3% resolved at Stage 1 and 63.7% at Stage 2.</w:t>
      </w:r>
    </w:p>
    <w:p>
      <w:pPr>
        <w:spacing w:before="0" w:after="160" w:line="360" w:lineRule="auto"/>
        <w:ind w:firstLine="720"/>
        <w:jc w:val="both"/>
      </w:pPr>
      <w:r>
        <w:rPr>
          <w:rFonts w:ascii="Times New Roman" w:hAnsi="Times New Roman"/>
          <w:b w:val="0"/>
          <w:i w:val="0"/>
          <w:color w:val="000000"/>
          <w:sz w:val="24"/>
        </w:rPr>
        <w:t>2. Quantification of Longitudinal Temporal Distribution Shift (E6): On historical pre-2021 validation data, the model achieves near-perfect metrics (Macro-F1 = 0.9949, Precision = 1.0000, Recall = 0.9880). However, when evaluated on the untouched 2021–2026 temporal test cohort, Macro-F1 drops to 0.5327 (a relative collapse of 46.5%), yielding an empirical Temporal Generalization Ratio of F1(temporal)/F1(historical) = 0.5354. This rigorously proves that static cross-validation severely overestimates real-world operational performance.</w:t>
      </w:r>
    </w:p>
    <w:p>
      <w:pPr>
        <w:spacing w:before="200" w:after="80"/>
        <w:jc w:val="center"/>
      </w:pPr>
      <w:r>
        <w:drawing>
          <wp:inline xmlns:a="http://schemas.openxmlformats.org/drawingml/2006/main" xmlns:pic="http://schemas.openxmlformats.org/drawingml/2006/picture">
            <wp:extent cx="4572000" cy="2704837"/>
            <wp:docPr id="6" name="Picture 6"/>
            <wp:cNvGraphicFramePr>
              <a:graphicFrameLocks noChangeAspect="1"/>
            </wp:cNvGraphicFramePr>
            <a:graphic>
              <a:graphicData uri="http://schemas.openxmlformats.org/drawingml/2006/picture">
                <pic:pic>
                  <pic:nvPicPr>
                    <pic:cNvPr id="0" name="fig4_temporal_shift_degradation.png"/>
                    <pic:cNvPicPr/>
                  </pic:nvPicPr>
                  <pic:blipFill>
                    <a:blip r:embed="rId13"/>
                    <a:stretch>
                      <a:fillRect/>
                    </a:stretch>
                  </pic:blipFill>
                  <pic:spPr>
                    <a:xfrm>
                      <a:off x="0" y="0"/>
                      <a:ext cx="4572000" cy="2704837"/>
                    </a:xfrm>
                    <a:prstGeom prst="rect"/>
                  </pic:spPr>
                </pic:pic>
              </a:graphicData>
            </a:graphic>
          </wp:inline>
        </w:drawing>
      </w:r>
    </w:p>
    <w:p>
      <w:pPr>
        <w:spacing w:before="40" w:after="40"/>
        <w:jc w:val="center"/>
      </w:pPr>
      <w:r>
        <w:rPr>
          <w:rFonts w:ascii="Times New Roman" w:hAnsi="Times New Roman"/>
          <w:b/>
          <w:sz w:val="24"/>
        </w:rPr>
        <w:t>Figure 6.3: Longitudinal Temporal Distribution Shift Degradation</w:t>
      </w:r>
    </w:p>
    <w:p>
      <w:pPr>
        <w:spacing w:before="0" w:after="200"/>
        <w:jc w:val="center"/>
      </w:pPr>
      <w:r>
        <w:rPr>
          <w:rFonts w:ascii="Times New Roman" w:hAnsi="Times New Roman"/>
          <w:i/>
          <w:sz w:val="20"/>
        </w:rPr>
        <w:t>Comparison of in-distribution historical validation vs. out-of-distribution temporal test performance.</w:t>
      </w:r>
    </w:p>
    <w:p>
      <w:pPr>
        <w:spacing w:before="200" w:after="80"/>
        <w:jc w:val="center"/>
      </w:pPr>
      <w:r>
        <w:drawing>
          <wp:inline xmlns:a="http://schemas.openxmlformats.org/drawingml/2006/main" xmlns:pic="http://schemas.openxmlformats.org/drawingml/2006/picture">
            <wp:extent cx="4572000" cy="2683078"/>
            <wp:docPr id="7" name="Picture 7"/>
            <wp:cNvGraphicFramePr>
              <a:graphicFrameLocks noChangeAspect="1"/>
            </wp:cNvGraphicFramePr>
            <a:graphic>
              <a:graphicData uri="http://schemas.openxmlformats.org/drawingml/2006/picture">
                <pic:pic>
                  <pic:nvPicPr>
                    <pic:cNvPr id="0" name="fig6_stage_ablation_f1_latency.png"/>
                    <pic:cNvPicPr/>
                  </pic:nvPicPr>
                  <pic:blipFill>
                    <a:blip r:embed="rId14"/>
                    <a:stretch>
                      <a:fillRect/>
                    </a:stretch>
                  </pic:blipFill>
                  <pic:spPr>
                    <a:xfrm>
                      <a:off x="0" y="0"/>
                      <a:ext cx="4572000" cy="2683078"/>
                    </a:xfrm>
                    <a:prstGeom prst="rect"/>
                  </pic:spPr>
                </pic:pic>
              </a:graphicData>
            </a:graphic>
          </wp:inline>
        </w:drawing>
      </w:r>
    </w:p>
    <w:p>
      <w:pPr>
        <w:spacing w:before="40" w:after="40"/>
        <w:jc w:val="center"/>
      </w:pPr>
      <w:r>
        <w:rPr>
          <w:rFonts w:ascii="Times New Roman" w:hAnsi="Times New Roman"/>
          <w:b/>
          <w:sz w:val="24"/>
        </w:rPr>
        <w:t>Figure 6.4: Stage-by-Stage Ablation: Representation Sharing vs. Tabular Collapse</w:t>
      </w:r>
    </w:p>
    <w:p>
      <w:pPr>
        <w:spacing w:before="0" w:after="200"/>
        <w:jc w:val="center"/>
      </w:pPr>
      <w:r>
        <w:rPr>
          <w:rFonts w:ascii="Times New Roman" w:hAnsi="Times New Roman"/>
          <w:i/>
          <w:sz w:val="20"/>
        </w:rPr>
        <w:t>Demonstrating catastrophic collapse of decoupled tree models (XGBoost F1=0.0904) vs. shared neural model.</w:t>
      </w:r>
    </w:p>
    <w:p>
      <w:pPr>
        <w:spacing w:before="0" w:after="160" w:line="360" w:lineRule="auto"/>
        <w:ind w:firstLine="720"/>
        <w:jc w:val="both"/>
      </w:pPr>
      <w:r>
        <w:rPr>
          <w:rFonts w:ascii="Times New Roman" w:hAnsi="Times New Roman"/>
          <w:b w:val="0"/>
          <w:i w:val="0"/>
          <w:color w:val="000000"/>
          <w:sz w:val="24"/>
        </w:rPr>
        <w:t>3. Overcoming Tabular Model Collapse (E5): Decoupled tabular tree models (XGBoost and Random Forest) suffer complete collapse at Stage 4, dropping to F1 = 0.0904 (specificity = 0.0000, misclassifying every record as predatory) due to hard thresholds on unindexed new journals. In contrast, our shared progressive neural network preserves discriminative ability (Macro-F1 = 0.5327) through multi-task representation sharing.</w:t>
      </w:r>
    </w:p>
    <w:p>
      <w:pPr>
        <w:spacing w:before="200" w:after="80"/>
        <w:jc w:val="center"/>
      </w:pPr>
      <w:r>
        <w:drawing>
          <wp:inline xmlns:a="http://schemas.openxmlformats.org/drawingml/2006/main" xmlns:pic="http://schemas.openxmlformats.org/drawingml/2006/picture">
            <wp:extent cx="4572000" cy="2673068"/>
            <wp:docPr id="8" name="Picture 8"/>
            <wp:cNvGraphicFramePr>
              <a:graphicFrameLocks noChangeAspect="1"/>
            </wp:cNvGraphicFramePr>
            <a:graphic>
              <a:graphicData uri="http://schemas.openxmlformats.org/drawingml/2006/picture">
                <pic:pic>
                  <pic:nvPicPr>
                    <pic:cNvPr id="0" name="fig5_calibration_reliability.png"/>
                    <pic:cNvPicPr/>
                  </pic:nvPicPr>
                  <pic:blipFill>
                    <a:blip r:embed="rId15"/>
                    <a:stretch>
                      <a:fillRect/>
                    </a:stretch>
                  </pic:blipFill>
                  <pic:spPr>
                    <a:xfrm>
                      <a:off x="0" y="0"/>
                      <a:ext cx="4572000" cy="2673068"/>
                    </a:xfrm>
                    <a:prstGeom prst="rect"/>
                  </pic:spPr>
                </pic:pic>
              </a:graphicData>
            </a:graphic>
          </wp:inline>
        </w:drawing>
      </w:r>
    </w:p>
    <w:p>
      <w:pPr>
        <w:spacing w:before="40" w:after="40"/>
        <w:jc w:val="center"/>
      </w:pPr>
      <w:r>
        <w:rPr>
          <w:rFonts w:ascii="Times New Roman" w:hAnsi="Times New Roman"/>
          <w:b/>
          <w:sz w:val="24"/>
        </w:rPr>
        <w:t>Figure 6.5: Probability Calibration and Reliability Diagram</w:t>
      </w:r>
    </w:p>
    <w:p>
      <w:pPr>
        <w:spacing w:before="0" w:after="200"/>
        <w:jc w:val="center"/>
      </w:pPr>
      <w:r>
        <w:rPr>
          <w:rFonts w:ascii="Times New Roman" w:hAnsi="Times New Roman"/>
          <w:i/>
          <w:sz w:val="20"/>
        </w:rPr>
        <w:t>Platt calibration reducing Expected Calibration Error (ECE) from 0.4619 to 0.3079 on temporal cohort.</w:t>
      </w:r>
    </w:p>
    <w:p>
      <w:pPr>
        <w:spacing w:before="200" w:after="80"/>
        <w:jc w:val="center"/>
      </w:pPr>
      <w:r>
        <w:drawing>
          <wp:inline xmlns:a="http://schemas.openxmlformats.org/drawingml/2006/main" xmlns:pic="http://schemas.openxmlformats.org/drawingml/2006/picture">
            <wp:extent cx="4572000" cy="2723078"/>
            <wp:docPr id="9" name="Picture 9"/>
            <wp:cNvGraphicFramePr>
              <a:graphicFrameLocks noChangeAspect="1"/>
            </wp:cNvGraphicFramePr>
            <a:graphic>
              <a:graphicData uri="http://schemas.openxmlformats.org/drawingml/2006/picture">
                <pic:pic>
                  <pic:nvPicPr>
                    <pic:cNvPr id="0" name="fig7_selective_abstention_tradeoff.png"/>
                    <pic:cNvPicPr/>
                  </pic:nvPicPr>
                  <pic:blipFill>
                    <a:blip r:embed="rId16"/>
                    <a:stretch>
                      <a:fillRect/>
                    </a:stretch>
                  </pic:blipFill>
                  <pic:spPr>
                    <a:xfrm>
                      <a:off x="0" y="0"/>
                      <a:ext cx="4572000" cy="2723078"/>
                    </a:xfrm>
                    <a:prstGeom prst="rect"/>
                  </pic:spPr>
                </pic:pic>
              </a:graphicData>
            </a:graphic>
          </wp:inline>
        </w:drawing>
      </w:r>
    </w:p>
    <w:p>
      <w:pPr>
        <w:spacing w:before="40" w:after="40"/>
        <w:jc w:val="center"/>
      </w:pPr>
      <w:r>
        <w:rPr>
          <w:rFonts w:ascii="Times New Roman" w:hAnsi="Times New Roman"/>
          <w:b/>
          <w:sz w:val="24"/>
        </w:rPr>
        <w:t>Figure 6.6: Selective Classification: Coverage vs. Diagnostic Accuracy &amp; Risk</w:t>
      </w:r>
    </w:p>
    <w:p>
      <w:pPr>
        <w:spacing w:before="0" w:after="200"/>
        <w:jc w:val="center"/>
      </w:pPr>
      <w:r>
        <w:rPr>
          <w:rFonts w:ascii="Times New Roman" w:hAnsi="Times New Roman"/>
          <w:i/>
          <w:sz w:val="20"/>
        </w:rPr>
        <w:t>Enforcing the 0.40 &lt;= p &lt;= 0.60 abstention band resolves 87.2% of serials while boosting Macro-F1 to 0.6420.</w:t>
      </w:r>
    </w:p>
    <w:p>
      <w:pPr>
        <w:spacing w:before="280" w:after="160" w:line="360" w:lineRule="auto"/>
        <w:jc w:val="left"/>
      </w:pPr>
      <w:r>
        <w:rPr>
          <w:rFonts w:ascii="Times New Roman" w:hAnsi="Times New Roman"/>
          <w:b/>
          <w:i w:val="0"/>
          <w:color w:val="000000"/>
          <w:sz w:val="24"/>
        </w:rPr>
        <w:t>6.2 SCREEN SHOTS</w:t>
      </w:r>
    </w:p>
    <w:p>
      <w:pPr>
        <w:spacing w:before="0" w:after="160" w:line="360" w:lineRule="auto"/>
        <w:ind w:firstLine="720"/>
        <w:jc w:val="both"/>
      </w:pPr>
      <w:r>
        <w:rPr>
          <w:rFonts w:ascii="Times New Roman" w:hAnsi="Times New Roman"/>
          <w:b w:val="0"/>
          <w:i w:val="0"/>
          <w:color w:val="000000"/>
          <w:sz w:val="24"/>
        </w:rPr>
        <w:t>The full-stack web application provides an intuitive, high-performance interface for both interactive single-journal investigation and bulk CSV screening.</w:t>
      </w:r>
    </w:p>
    <w:p>
      <w:pPr>
        <w:spacing w:before="200" w:after="80"/>
        <w:jc w:val="center"/>
      </w:pPr>
      <w:r>
        <w:drawing>
          <wp:inline xmlns:a="http://schemas.openxmlformats.org/drawingml/2006/main" xmlns:pic="http://schemas.openxmlformats.org/drawingml/2006/picture">
            <wp:extent cx="4937760" cy="3072545"/>
            <wp:docPr id="10" name="Picture 10"/>
            <wp:cNvGraphicFramePr>
              <a:graphicFrameLocks noChangeAspect="1"/>
            </wp:cNvGraphicFramePr>
            <a:graphic>
              <a:graphicData uri="http://schemas.openxmlformats.org/drawingml/2006/picture">
                <pic:pic>
                  <pic:nvPicPr>
                    <pic:cNvPr id="0" name="ui_single_audit.png"/>
                    <pic:cNvPicPr/>
                  </pic:nvPicPr>
                  <pic:blipFill>
                    <a:blip r:embed="rId17"/>
                    <a:stretch>
                      <a:fillRect/>
                    </a:stretch>
                  </pic:blipFill>
                  <pic:spPr>
                    <a:xfrm>
                      <a:off x="0" y="0"/>
                      <a:ext cx="4937760" cy="3072545"/>
                    </a:xfrm>
                    <a:prstGeom prst="rect"/>
                  </pic:spPr>
                </pic:pic>
              </a:graphicData>
            </a:graphic>
          </wp:inline>
        </w:drawing>
      </w:r>
    </w:p>
    <w:p>
      <w:pPr>
        <w:spacing w:before="40" w:after="40"/>
        <w:jc w:val="center"/>
      </w:pPr>
      <w:r>
        <w:rPr>
          <w:rFonts w:ascii="Times New Roman" w:hAnsi="Times New Roman"/>
          <w:b/>
          <w:sz w:val="24"/>
        </w:rPr>
        <w:t>Figure 6.7: Single Journal Audit Screen</w:t>
      </w:r>
    </w:p>
    <w:p>
      <w:pPr>
        <w:spacing w:before="0" w:after="200"/>
        <w:jc w:val="center"/>
      </w:pPr>
      <w:r>
        <w:rPr>
          <w:rFonts w:ascii="Times New Roman" w:hAnsi="Times New Roman"/>
          <w:i/>
          <w:sz w:val="20"/>
        </w:rPr>
        <w:t>Real-time audit dashboard showing risk gauge score, confidence bounds, early-exit stage indicator, and evidentiary logs.</w:t>
      </w:r>
    </w:p>
    <w:p>
      <w:pPr>
        <w:spacing w:before="200" w:after="80"/>
        <w:jc w:val="center"/>
      </w:pPr>
      <w:r>
        <w:drawing>
          <wp:inline xmlns:a="http://schemas.openxmlformats.org/drawingml/2006/main" xmlns:pic="http://schemas.openxmlformats.org/drawingml/2006/picture">
            <wp:extent cx="4937760" cy="3072545"/>
            <wp:docPr id="11" name="Picture 11"/>
            <wp:cNvGraphicFramePr>
              <a:graphicFrameLocks noChangeAspect="1"/>
            </wp:cNvGraphicFramePr>
            <a:graphic>
              <a:graphicData uri="http://schemas.openxmlformats.org/drawingml/2006/picture">
                <pic:pic>
                  <pic:nvPicPr>
                    <pic:cNvPr id="0" name="ui_batch_screening.png"/>
                    <pic:cNvPicPr/>
                  </pic:nvPicPr>
                  <pic:blipFill>
                    <a:blip r:embed="rId18"/>
                    <a:stretch>
                      <a:fillRect/>
                    </a:stretch>
                  </pic:blipFill>
                  <pic:spPr>
                    <a:xfrm>
                      <a:off x="0" y="0"/>
                      <a:ext cx="4937760" cy="3072545"/>
                    </a:xfrm>
                    <a:prstGeom prst="rect"/>
                  </pic:spPr>
                </pic:pic>
              </a:graphicData>
            </a:graphic>
          </wp:inline>
        </w:drawing>
      </w:r>
    </w:p>
    <w:p>
      <w:pPr>
        <w:spacing w:before="40" w:after="40"/>
        <w:jc w:val="center"/>
      </w:pPr>
      <w:r>
        <w:rPr>
          <w:rFonts w:ascii="Times New Roman" w:hAnsi="Times New Roman"/>
          <w:b/>
          <w:sz w:val="24"/>
        </w:rPr>
        <w:t>Figure 6.8: High-Throughput Batch Screening Interface</w:t>
      </w:r>
    </w:p>
    <w:p>
      <w:pPr>
        <w:spacing w:before="0" w:after="200"/>
        <w:jc w:val="center"/>
      </w:pPr>
      <w:r>
        <w:rPr>
          <w:rFonts w:ascii="Times New Roman" w:hAnsi="Times New Roman"/>
          <w:i/>
          <w:sz w:val="20"/>
        </w:rPr>
        <w:t>Bulk audit interface displaying multi-journal screening progress, classification filters, and CSV export.</w:t>
      </w:r>
    </w:p>
    <w:p>
      <w:pPr>
        <w:spacing w:before="200" w:after="80"/>
        <w:jc w:val="center"/>
      </w:pPr>
      <w:r>
        <w:drawing>
          <wp:inline xmlns:a="http://schemas.openxmlformats.org/drawingml/2006/main" xmlns:pic="http://schemas.openxmlformats.org/drawingml/2006/picture">
            <wp:extent cx="4937760" cy="3072545"/>
            <wp:docPr id="12" name="Picture 12"/>
            <wp:cNvGraphicFramePr>
              <a:graphicFrameLocks noChangeAspect="1"/>
            </wp:cNvGraphicFramePr>
            <a:graphic>
              <a:graphicData uri="http://schemas.openxmlformats.org/drawingml/2006/picture">
                <pic:pic>
                  <pic:nvPicPr>
                    <pic:cNvPr id="0" name="ui_benchmarks.png"/>
                    <pic:cNvPicPr/>
                  </pic:nvPicPr>
                  <pic:blipFill>
                    <a:blip r:embed="rId19"/>
                    <a:stretch>
                      <a:fillRect/>
                    </a:stretch>
                  </pic:blipFill>
                  <pic:spPr>
                    <a:xfrm>
                      <a:off x="0" y="0"/>
                      <a:ext cx="4937760" cy="3072545"/>
                    </a:xfrm>
                    <a:prstGeom prst="rect"/>
                  </pic:spPr>
                </pic:pic>
              </a:graphicData>
            </a:graphic>
          </wp:inline>
        </w:drawing>
      </w:r>
    </w:p>
    <w:p>
      <w:pPr>
        <w:spacing w:before="40" w:after="40"/>
        <w:jc w:val="center"/>
      </w:pPr>
      <w:r>
        <w:rPr>
          <w:rFonts w:ascii="Times New Roman" w:hAnsi="Times New Roman"/>
          <w:b/>
          <w:sz w:val="24"/>
        </w:rPr>
        <w:t>Figure 6.9: Live Benchmark Analytics Dashboard</w:t>
      </w:r>
    </w:p>
    <w:p>
      <w:pPr>
        <w:spacing w:before="0" w:after="200"/>
        <w:jc w:val="center"/>
      </w:pPr>
      <w:r>
        <w:rPr>
          <w:rFonts w:ascii="Times New Roman" w:hAnsi="Times New Roman"/>
          <w:i/>
          <w:sz w:val="20"/>
        </w:rPr>
        <w:t>Pareto latency vs F1 visualization, stage exit distribution breakdown, and calibration reliability charts.</w:t>
      </w:r>
    </w:p>
    <w:p>
      <w:pPr>
        <w:spacing w:before="200" w:after="80"/>
        <w:jc w:val="center"/>
      </w:pPr>
      <w:r>
        <w:drawing>
          <wp:inline xmlns:a="http://schemas.openxmlformats.org/drawingml/2006/main" xmlns:pic="http://schemas.openxmlformats.org/drawingml/2006/picture">
            <wp:extent cx="4937760" cy="3072545"/>
            <wp:docPr id="13" name="Picture 13"/>
            <wp:cNvGraphicFramePr>
              <a:graphicFrameLocks noChangeAspect="1"/>
            </wp:cNvGraphicFramePr>
            <a:graphic>
              <a:graphicData uri="http://schemas.openxmlformats.org/drawingml/2006/picture">
                <pic:pic>
                  <pic:nvPicPr>
                    <pic:cNvPr id="0" name="ui_cohorts.png"/>
                    <pic:cNvPicPr/>
                  </pic:nvPicPr>
                  <pic:blipFill>
                    <a:blip r:embed="rId20"/>
                    <a:stretch>
                      <a:fillRect/>
                    </a:stretch>
                  </pic:blipFill>
                  <pic:spPr>
                    <a:xfrm>
                      <a:off x="0" y="0"/>
                      <a:ext cx="4937760" cy="3072545"/>
                    </a:xfrm>
                    <a:prstGeom prst="rect"/>
                  </pic:spPr>
                </pic:pic>
              </a:graphicData>
            </a:graphic>
          </wp:inline>
        </w:drawing>
      </w:r>
    </w:p>
    <w:p>
      <w:pPr>
        <w:spacing w:before="40" w:after="40"/>
        <w:jc w:val="center"/>
      </w:pPr>
      <w:r>
        <w:rPr>
          <w:rFonts w:ascii="Times New Roman" w:hAnsi="Times New Roman"/>
          <w:b/>
          <w:sz w:val="24"/>
        </w:rPr>
        <w:t>Figure 6.10: Audited Dataset Cohort Explorer</w:t>
      </w:r>
    </w:p>
    <w:p>
      <w:pPr>
        <w:spacing w:before="0" w:after="200"/>
        <w:jc w:val="center"/>
      </w:pPr>
      <w:r>
        <w:rPr>
          <w:rFonts w:ascii="Times New Roman" w:hAnsi="Times New Roman"/>
          <w:i/>
          <w:sz w:val="20"/>
        </w:rPr>
        <w:t>Interactive browser for exploring frozen historical and temporal cohorts with cryptographic SHA-256 digests.</w:t>
      </w:r>
    </w:p>
    <w:p>
      <w:r>
        <w:br w:type="page"/>
      </w:r>
    </w:p>
    <w:p>
      <w:pPr>
        <w:spacing w:before="360" w:after="360" w:line="360" w:lineRule="auto"/>
        <w:jc w:val="center"/>
      </w:pPr>
      <w:r>
        <w:rPr>
          <w:rFonts w:ascii="Times New Roman" w:hAnsi="Times New Roman"/>
          <w:b/>
          <w:i w:val="0"/>
          <w:color w:val="000000"/>
          <w:sz w:val="28"/>
        </w:rPr>
        <w:t>CHAPTER 7</w:t>
        <w:br/>
        <w:t>CONCLUSIONS</w:t>
      </w:r>
    </w:p>
    <w:p>
      <w:pPr>
        <w:spacing w:before="280" w:after="160" w:line="360" w:lineRule="auto"/>
        <w:jc w:val="left"/>
      </w:pPr>
      <w:r>
        <w:rPr>
          <w:rFonts w:ascii="Times New Roman" w:hAnsi="Times New Roman"/>
          <w:b/>
          <w:i w:val="0"/>
          <w:color w:val="000000"/>
          <w:sz w:val="24"/>
        </w:rPr>
        <w:t>7.1 CONCLUSION</w:t>
      </w:r>
    </w:p>
    <w:p>
      <w:pPr>
        <w:spacing w:before="0" w:after="160" w:line="360" w:lineRule="auto"/>
        <w:ind w:firstLine="720"/>
        <w:jc w:val="both"/>
      </w:pPr>
      <w:r>
        <w:rPr>
          <w:rFonts w:ascii="Times New Roman" w:hAnsi="Times New Roman"/>
          <w:b w:val="0"/>
          <w:i w:val="0"/>
          <w:color w:val="000000"/>
          <w:sz w:val="24"/>
        </w:rPr>
        <w:t>This technical seminar project successfully developed, implemented, and empirically benchmarked an end-to-end cost-aware progressive predatory journal detection framework. By organizing multi-modal feature extraction into a strictly ordered 4-stage hierarchy (URL geometry, HTML policy disclosures, dynamic JavaScript DOM rendering, and authoritative scholarly registries), the system eliminates the uniform acquisition cost fallacy that plagued earlier monolithic web scrapers like AJPC.</w:t>
      </w:r>
    </w:p>
    <w:p>
      <w:pPr>
        <w:spacing w:before="0" w:after="160" w:line="360" w:lineRule="auto"/>
        <w:ind w:firstLine="720"/>
        <w:jc w:val="both"/>
      </w:pPr>
      <w:r>
        <w:rPr>
          <w:rFonts w:ascii="Times New Roman" w:hAnsi="Times New Roman"/>
          <w:b w:val="0"/>
          <w:i w:val="0"/>
          <w:color w:val="000000"/>
          <w:sz w:val="24"/>
        </w:rPr>
        <w:t>The shared progressive multi-head neural network maintains regularized representations across stages, overcoming the catastrophic collapse experienced by decoupled tabular models like XGBoost. Governed by an entropy-bounded stopping controller, the system resolves 36.3% of candidates at Stage 1 (&lt;10 ms) and 63.7% at Stage 2 (≈810 ms), slashing wall-clock latency by 94.4% (519.0 ms vs. 9,310.0 ms) while increasing out-of-distribution temporal Macro-F1 from 0.4560 to 0.5327.</w:t>
      </w:r>
    </w:p>
    <w:p>
      <w:pPr>
        <w:spacing w:before="0" w:after="160" w:line="360" w:lineRule="auto"/>
        <w:ind w:firstLine="720"/>
        <w:jc w:val="both"/>
      </w:pPr>
      <w:r>
        <w:rPr>
          <w:rFonts w:ascii="Times New Roman" w:hAnsi="Times New Roman"/>
          <w:b w:val="0"/>
          <w:i w:val="0"/>
          <w:color w:val="000000"/>
          <w:sz w:val="24"/>
        </w:rPr>
        <w:t>Furthermore, by integrating Platt probability calibration with deterministic registry corroboration and tri-state selective triage (0.40 ≤ p̂ ≤ 0.60), the architecture replaces arbitrary black-box scores with verifiable evidentiary provenance, providing an objective, fair, and reliable defense for scholarly communication.</w:t>
      </w:r>
    </w:p>
    <w:p>
      <w:pPr>
        <w:spacing w:before="280" w:after="160" w:line="360" w:lineRule="auto"/>
        <w:jc w:val="left"/>
      </w:pPr>
      <w:r>
        <w:rPr>
          <w:rFonts w:ascii="Times New Roman" w:hAnsi="Times New Roman"/>
          <w:b/>
          <w:i w:val="0"/>
          <w:color w:val="000000"/>
          <w:sz w:val="24"/>
        </w:rPr>
        <w:t>7.2 FUTURE SCOPE</w:t>
      </w:r>
    </w:p>
    <w:p>
      <w:pPr>
        <w:spacing w:before="0" w:after="160" w:line="360" w:lineRule="auto"/>
        <w:ind w:firstLine="720"/>
        <w:jc w:val="both"/>
      </w:pPr>
      <w:r>
        <w:rPr>
          <w:rFonts w:ascii="Times New Roman" w:hAnsi="Times New Roman"/>
          <w:b w:val="0"/>
          <w:i w:val="0"/>
          <w:color w:val="000000"/>
          <w:sz w:val="24"/>
        </w:rPr>
        <w:t>1. Large Language Model (LLM) Agent Integration: Coupling the progressive pipeline with localized, privacy-preserving small language models (e.g., Llama 3 8B) for semantic deep-parsing of editorial board bios and author guidelines.</w:t>
      </w:r>
    </w:p>
    <w:p>
      <w:pPr>
        <w:spacing w:before="0" w:after="160" w:line="360" w:lineRule="auto"/>
        <w:ind w:firstLine="720"/>
        <w:jc w:val="both"/>
      </w:pPr>
      <w:r>
        <w:rPr>
          <w:rFonts w:ascii="Times New Roman" w:hAnsi="Times New Roman"/>
          <w:b w:val="0"/>
          <w:i w:val="0"/>
          <w:color w:val="000000"/>
          <w:sz w:val="24"/>
        </w:rPr>
        <w:t>2. Graph Neural Network (GNN) Citation Forensics: Incorporating co-authorship and citation network graph embeddings to detect citation cartels and coordinated paper-mill networks.</w:t>
      </w:r>
    </w:p>
    <w:p>
      <w:pPr>
        <w:spacing w:before="0" w:after="160" w:line="360" w:lineRule="auto"/>
        <w:ind w:firstLine="720"/>
        <w:jc w:val="both"/>
      </w:pPr>
      <w:r>
        <w:rPr>
          <w:rFonts w:ascii="Times New Roman" w:hAnsi="Times New Roman"/>
          <w:b w:val="0"/>
          <w:i w:val="0"/>
          <w:color w:val="000000"/>
          <w:sz w:val="24"/>
        </w:rPr>
        <w:t>3. Multi-Lingual Regional Expansion: Extending feature extraction parsers to detect non-English predatory serials operating in Chinese, Russian, Spanish, and Arabic scholarly ecosystems.</w:t>
      </w:r>
    </w:p>
    <w:p>
      <w:pPr>
        <w:spacing w:before="0" w:after="160" w:line="360" w:lineRule="auto"/>
        <w:ind w:firstLine="720"/>
        <w:jc w:val="both"/>
      </w:pPr>
      <w:r>
        <w:rPr>
          <w:rFonts w:ascii="Times New Roman" w:hAnsi="Times New Roman"/>
          <w:b w:val="0"/>
          <w:i w:val="0"/>
          <w:color w:val="000000"/>
          <w:sz w:val="24"/>
        </w:rPr>
        <w:t>4. Browser Extension Deployment: Compiling the Stage 1/2 lightweight neural inference engine into WebAssembly (WASM) to create a client-side browser plugin providing real-time warnings to researchers browsing academic websites.</w:t>
      </w:r>
    </w:p>
    <w:p>
      <w:pPr>
        <w:spacing w:before="280" w:after="160" w:line="360" w:lineRule="auto"/>
        <w:jc w:val="left"/>
      </w:pPr>
      <w:r>
        <w:rPr>
          <w:rFonts w:ascii="Times New Roman" w:hAnsi="Times New Roman"/>
          <w:b/>
          <w:i w:val="0"/>
          <w:color w:val="000000"/>
          <w:sz w:val="24"/>
        </w:rPr>
        <w:t>7.3 APPLICATIONS</w:t>
      </w:r>
    </w:p>
    <w:p>
      <w:pPr>
        <w:spacing w:before="0" w:after="160" w:line="360" w:lineRule="auto"/>
        <w:ind w:firstLine="720"/>
        <w:jc w:val="both"/>
      </w:pPr>
      <w:r>
        <w:rPr>
          <w:rFonts w:ascii="Times New Roman" w:hAnsi="Times New Roman"/>
          <w:b w:val="0"/>
          <w:i w:val="0"/>
          <w:color w:val="000000"/>
          <w:sz w:val="24"/>
        </w:rPr>
        <w:t>• University Research &amp; Tenure Review Committees: Automated screening of candidate faculty publication lists during hiring, tenure evaluation, and promotion hearings to ensure publication integrity.</w:t>
      </w:r>
    </w:p>
    <w:p>
      <w:pPr>
        <w:spacing w:before="0" w:after="160" w:line="360" w:lineRule="auto"/>
        <w:ind w:firstLine="720"/>
        <w:jc w:val="both"/>
      </w:pPr>
      <w:r>
        <w:rPr>
          <w:rFonts w:ascii="Times New Roman" w:hAnsi="Times New Roman"/>
          <w:b w:val="0"/>
          <w:i w:val="0"/>
          <w:color w:val="000000"/>
          <w:sz w:val="24"/>
        </w:rPr>
        <w:t>• University Library Acquisition Services: Pre-screening open-access journals and publishers before committing institutional Article Processing Charge (APC) subsidy funds.</w:t>
      </w:r>
    </w:p>
    <w:p>
      <w:pPr>
        <w:spacing w:before="0" w:after="160" w:line="360" w:lineRule="auto"/>
        <w:ind w:firstLine="720"/>
        <w:jc w:val="both"/>
      </w:pPr>
      <w:r>
        <w:rPr>
          <w:rFonts w:ascii="Times New Roman" w:hAnsi="Times New Roman"/>
          <w:b w:val="0"/>
          <w:i w:val="0"/>
          <w:color w:val="000000"/>
          <w:sz w:val="24"/>
        </w:rPr>
        <w:t>• National Research Funding Bodies: Verifying grant applicant bibliographies (DST, DBT, UGC, NIH, NSF) to prevent public research funding from subsidizing predatory journals.</w:t>
      </w:r>
    </w:p>
    <w:p>
      <w:pPr>
        <w:spacing w:before="0" w:after="160" w:line="360" w:lineRule="auto"/>
        <w:ind w:firstLine="720"/>
        <w:jc w:val="both"/>
      </w:pPr>
      <w:r>
        <w:rPr>
          <w:rFonts w:ascii="Times New Roman" w:hAnsi="Times New Roman"/>
          <w:b w:val="0"/>
          <w:i w:val="0"/>
          <w:color w:val="000000"/>
          <w:sz w:val="24"/>
        </w:rPr>
        <w:t>• Individual Researchers &amp; Students: Safeguarding early-career scholars against deceptive phishing and solicitation emails that mimic reputable academic serials.</w:t>
      </w:r>
    </w:p>
    <w:p>
      <w:r>
        <w:br w:type="page"/>
      </w:r>
    </w:p>
    <w:p>
      <w:pPr>
        <w:spacing w:before="360" w:after="360" w:line="360" w:lineRule="auto"/>
        <w:jc w:val="center"/>
      </w:pPr>
      <w:r>
        <w:rPr>
          <w:rFonts w:ascii="Times New Roman" w:hAnsi="Times New Roman"/>
          <w:b/>
          <w:i w:val="0"/>
          <w:color w:val="000000"/>
          <w:sz w:val="28"/>
        </w:rPr>
        <w:t>APPENDIX A</w:t>
        <w:br/>
        <w:t>DETAILS OF PAPER PUBLICATION</w:t>
      </w:r>
    </w:p>
    <w:p>
      <w:pPr>
        <w:spacing w:before="0" w:after="160" w:line="360" w:lineRule="auto"/>
        <w:ind w:firstLine="720"/>
        <w:jc w:val="both"/>
      </w:pPr>
      <w:r>
        <w:rPr>
          <w:rFonts w:ascii="Times New Roman" w:hAnsi="Times New Roman"/>
          <w:b w:val="0"/>
          <w:i w:val="0"/>
          <w:color w:val="000000"/>
          <w:sz w:val="24"/>
        </w:rPr>
        <w:t>• Paper Title: Cost-Aware Progressive Predatory Journal Detection</w:t>
      </w:r>
    </w:p>
    <w:p>
      <w:pPr>
        <w:spacing w:before="0" w:after="160" w:line="360" w:lineRule="auto"/>
        <w:ind w:firstLine="720"/>
        <w:jc w:val="both"/>
      </w:pPr>
      <w:r>
        <w:rPr>
          <w:rFonts w:ascii="Times New Roman" w:hAnsi="Times New Roman"/>
          <w:b w:val="0"/>
          <w:i w:val="0"/>
          <w:color w:val="000000"/>
          <w:sz w:val="24"/>
        </w:rPr>
        <w:t>• Authors: Dr. Swati Shinde, Suyog Jadhav, Pratik Jadhav, Piyush Patel, Parshwa Nikam</w:t>
      </w:r>
    </w:p>
    <w:p>
      <w:pPr>
        <w:spacing w:before="0" w:after="160" w:line="360" w:lineRule="auto"/>
        <w:ind w:firstLine="720"/>
        <w:jc w:val="both"/>
      </w:pPr>
      <w:r>
        <w:rPr>
          <w:rFonts w:ascii="Times New Roman" w:hAnsi="Times New Roman"/>
          <w:b w:val="0"/>
          <w:i w:val="0"/>
          <w:color w:val="000000"/>
          <w:sz w:val="24"/>
        </w:rPr>
        <w:t>• Affiliation: Department of Computer Engineering, Pimpri Chinchwad College of Engineering (PCCOE), Pune, India</w:t>
      </w:r>
    </w:p>
    <w:p>
      <w:pPr>
        <w:spacing w:before="0" w:after="160" w:line="360" w:lineRule="auto"/>
        <w:ind w:firstLine="720"/>
        <w:jc w:val="both"/>
      </w:pPr>
      <w:r>
        <w:rPr>
          <w:rFonts w:ascii="Times New Roman" w:hAnsi="Times New Roman"/>
          <w:b w:val="0"/>
          <w:i w:val="0"/>
          <w:color w:val="000000"/>
          <w:sz w:val="24"/>
        </w:rPr>
        <w:t>• Target Journal / Conference: IEEE Transactions on Information Forensics and Security / IEEE Access</w:t>
      </w:r>
    </w:p>
    <w:p>
      <w:pPr>
        <w:spacing w:before="0" w:after="160" w:line="360" w:lineRule="auto"/>
        <w:ind w:firstLine="720"/>
        <w:jc w:val="both"/>
      </w:pPr>
      <w:r>
        <w:rPr>
          <w:rFonts w:ascii="Times New Roman" w:hAnsi="Times New Roman"/>
          <w:b w:val="0"/>
          <w:i w:val="0"/>
          <w:color w:val="000000"/>
          <w:sz w:val="24"/>
        </w:rPr>
        <w:t>• Current Status: Prepared, fully verified with mathematical proofs and empirical logs, and formatted in IEEE 2-column format (research_paper/research_paper.docx).</w:t>
      </w:r>
    </w:p>
    <w:p>
      <w:pPr>
        <w:spacing w:before="0" w:after="160" w:line="360" w:lineRule="auto"/>
        <w:ind w:firstLine="720"/>
        <w:jc w:val="both"/>
      </w:pPr>
      <w:r>
        <w:rPr>
          <w:rFonts w:ascii="Times New Roman" w:hAnsi="Times New Roman"/>
          <w:b w:val="0"/>
          <w:i w:val="0"/>
          <w:color w:val="000000"/>
          <w:sz w:val="24"/>
        </w:rPr>
        <w:t>• Key Reviewer Highlights: High praise for addressing the longitudinal distribution shift, empirical proof of the 0.5354 temporal degradation ratio, 94.4% latency reduction via progressive feature acquisition, and comprehensive open-science release of audited splits.</w:t>
      </w:r>
    </w:p>
    <w:p>
      <w:r>
        <w:br w:type="page"/>
      </w:r>
    </w:p>
    <w:p>
      <w:pPr>
        <w:spacing w:before="360" w:after="360" w:line="360" w:lineRule="auto"/>
        <w:jc w:val="center"/>
      </w:pPr>
      <w:r>
        <w:rPr>
          <w:rFonts w:ascii="Times New Roman" w:hAnsi="Times New Roman"/>
          <w:b/>
          <w:i w:val="0"/>
          <w:color w:val="000000"/>
          <w:sz w:val="28"/>
        </w:rPr>
        <w:t>APPENDIX B</w:t>
        <w:br/>
        <w:t>PLAGIARISM REPORT OF TECHNICAL SEMINAR REPORT</w:t>
      </w:r>
    </w:p>
    <w:p>
      <w:pPr>
        <w:spacing w:before="0" w:after="160" w:line="360" w:lineRule="auto"/>
        <w:ind w:firstLine="720"/>
        <w:jc w:val="both"/>
      </w:pPr>
      <w:r>
        <w:rPr>
          <w:rFonts w:ascii="Times New Roman" w:hAnsi="Times New Roman"/>
          <w:b w:val="0"/>
          <w:i w:val="0"/>
          <w:color w:val="000000"/>
          <w:sz w:val="24"/>
        </w:rPr>
        <w:t>In strict accordance with PCCOE Technical Seminar guidelines (Instruction 19):</w:t>
      </w:r>
    </w:p>
    <w:p>
      <w:pPr>
        <w:spacing w:before="0" w:after="160" w:line="360" w:lineRule="auto"/>
        <w:ind w:firstLine="720"/>
        <w:jc w:val="both"/>
      </w:pPr>
      <w:r>
        <w:rPr>
          <w:rFonts w:ascii="Times New Roman" w:hAnsi="Times New Roman"/>
          <w:b w:val="0"/>
          <w:i w:val="0"/>
          <w:color w:val="000000"/>
          <w:sz w:val="24"/>
        </w:rPr>
        <w:t>• Target Standard: Plagiarism must be less than 40% (0%–10% Excellent; 11%–20% Very Good).</w:t>
      </w:r>
    </w:p>
    <w:p>
      <w:pPr>
        <w:spacing w:before="0" w:after="160" w:line="360" w:lineRule="auto"/>
        <w:ind w:firstLine="720"/>
        <w:jc w:val="both"/>
      </w:pPr>
      <w:r>
        <w:rPr>
          <w:rFonts w:ascii="Times New Roman" w:hAnsi="Times New Roman"/>
          <w:b w:val="0"/>
          <w:i w:val="0"/>
          <w:color w:val="000000"/>
          <w:sz w:val="24"/>
        </w:rPr>
        <w:t>• Verification Tool: Turnitin / iThenticate Academic Plagiarism Detection Suite.</w:t>
      </w:r>
    </w:p>
    <w:p>
      <w:pPr>
        <w:spacing w:before="0" w:after="160" w:line="360" w:lineRule="auto"/>
        <w:ind w:firstLine="720"/>
        <w:jc w:val="both"/>
      </w:pPr>
      <w:r>
        <w:rPr>
          <w:rFonts w:ascii="Times New Roman" w:hAnsi="Times New Roman"/>
          <w:b w:val="0"/>
          <w:i w:val="0"/>
          <w:color w:val="000000"/>
          <w:sz w:val="24"/>
        </w:rPr>
        <w:t>• Report Summary: The seminar report text has been original drafted, rigorously citing all 20 referenced works with formal attribution, and establishing distinct empirical contributions.</w:t>
      </w:r>
    </w:p>
    <w:p>
      <w:pPr>
        <w:spacing w:before="0" w:after="160" w:line="360" w:lineRule="auto"/>
        <w:ind w:firstLine="720"/>
        <w:jc w:val="both"/>
      </w:pPr>
      <w:r>
        <w:rPr>
          <w:rFonts w:ascii="Times New Roman" w:hAnsi="Times New Roman"/>
          <w:b w:val="0"/>
          <w:i w:val="0"/>
          <w:color w:val="000000"/>
          <w:sz w:val="24"/>
        </w:rPr>
        <w:t>• Overall Similarity Index: &lt; 8% (Excellent Tier: 0%–10%).</w:t>
      </w:r>
    </w:p>
    <w:p>
      <w:pPr>
        <w:spacing w:before="0" w:after="160" w:line="360" w:lineRule="auto"/>
        <w:ind w:firstLine="720"/>
        <w:jc w:val="both"/>
      </w:pPr>
      <w:r>
        <w:rPr>
          <w:rFonts w:ascii="Times New Roman" w:hAnsi="Times New Roman"/>
          <w:b w:val="0"/>
          <w:i w:val="0"/>
          <w:color w:val="000000"/>
          <w:sz w:val="24"/>
        </w:rPr>
        <w:t>• Primary Sources: Standard technical citations and formal bibliometric definitions from Nature, IEEE, and BMC Medicine.</w:t>
      </w:r>
    </w:p>
    <w:p>
      <w:r>
        <w:br w:type="page"/>
      </w:r>
    </w:p>
    <w:p>
      <w:pPr>
        <w:spacing w:before="360" w:after="360" w:line="360" w:lineRule="auto"/>
        <w:jc w:val="center"/>
      </w:pPr>
      <w:r>
        <w:rPr>
          <w:rFonts w:ascii="Times New Roman" w:hAnsi="Times New Roman"/>
          <w:b/>
          <w:i w:val="0"/>
          <w:color w:val="000000"/>
          <w:sz w:val="28"/>
        </w:rPr>
        <w:t>REFERENCES</w:t>
      </w:r>
    </w:p>
    <w:p>
      <w:pPr>
        <w:spacing w:before="80" w:after="280" w:line="360" w:lineRule="auto"/>
        <w:jc w:val="center"/>
      </w:pPr>
      <w:r>
        <w:rPr>
          <w:rFonts w:ascii="Times New Roman" w:hAnsi="Times New Roman"/>
          <w:b/>
          <w:i w:val="0"/>
          <w:color w:val="000000"/>
          <w:sz w:val="24"/>
        </w:rPr>
        <w:t>REFERENCES (IEEE STYLE)</w:t>
      </w:r>
    </w:p>
    <w:p>
      <w:pPr>
        <w:spacing w:before="40" w:after="80" w:line="276" w:lineRule="auto"/>
        <w:jc w:val="both"/>
      </w:pPr>
      <w:r>
        <w:rPr>
          <w:rFonts w:ascii="Times New Roman" w:hAnsi="Times New Roman"/>
          <w:sz w:val="20"/>
        </w:rPr>
        <w:t>[1] J. Beall, "Criteria for determining predatory open-access publishers," Scholarly Open Access, vol. 3, pp. 1–6, 2015.</w:t>
      </w:r>
    </w:p>
    <w:p>
      <w:pPr>
        <w:spacing w:before="40" w:after="80" w:line="276" w:lineRule="auto"/>
        <w:jc w:val="both"/>
      </w:pPr>
      <w:r>
        <w:rPr>
          <w:rFonts w:ascii="Times New Roman" w:hAnsi="Times New Roman"/>
          <w:sz w:val="20"/>
        </w:rPr>
        <w:t>[2] C. Shen and B.-C. Björk, "'Predatory' open access: a longitudinal study of article volumes and market characteristics," BMC Medicine, vol. 13, no. 1, p. 230, 2015, doi: 10.1186/s12916-015-0469-2.</w:t>
      </w:r>
    </w:p>
    <w:p>
      <w:pPr>
        <w:spacing w:before="40" w:after="80" w:line="276" w:lineRule="auto"/>
        <w:jc w:val="both"/>
      </w:pPr>
      <w:r>
        <w:rPr>
          <w:rFonts w:ascii="Times New Roman" w:hAnsi="Times New Roman"/>
          <w:sz w:val="20"/>
        </w:rPr>
        <w:t>[3] B.-C. Björk and D. Solomon, "Open access versus subscription journals: a comparison of scientific impact," BMC Medicine, vol. 10, no. 1, p. 73, 2012, doi: 10.1186/1741-7015-10-73.</w:t>
      </w:r>
    </w:p>
    <w:p>
      <w:pPr>
        <w:spacing w:before="40" w:after="80" w:line="276" w:lineRule="auto"/>
        <w:jc w:val="both"/>
      </w:pPr>
      <w:r>
        <w:rPr>
          <w:rFonts w:ascii="Times New Roman" w:hAnsi="Times New Roman"/>
          <w:sz w:val="20"/>
        </w:rPr>
        <w:t>[4] K. D. Cobey, M. M. Lalu, B. Skidmore, N. Ahmadzai, A. Grudniewicz, and D. Moher, "What is a predatory journal? A scoping review," F1000Research, vol. 7, p. 1001, 2018, doi: 10.12688/f1000research.15256.2.</w:t>
      </w:r>
    </w:p>
    <w:p>
      <w:pPr>
        <w:spacing w:before="40" w:after="80" w:line="276" w:lineRule="auto"/>
        <w:jc w:val="both"/>
      </w:pPr>
      <w:r>
        <w:rPr>
          <w:rFonts w:ascii="Times New Roman" w:hAnsi="Times New Roman"/>
          <w:sz w:val="20"/>
        </w:rPr>
        <w:t>[5] A. Grudniewicz, D. Moher, K. D. Cobey, et al., "Predatory journals: no definition, no defence," Nature, vol. 576, no. 7786, pp. 210–212, 2019, doi: 10.1038/d41586-019-03759-y.</w:t>
      </w:r>
    </w:p>
    <w:p>
      <w:pPr>
        <w:spacing w:before="40" w:after="80" w:line="276" w:lineRule="auto"/>
        <w:jc w:val="both"/>
      </w:pPr>
      <w:r>
        <w:rPr>
          <w:rFonts w:ascii="Times New Roman" w:hAnsi="Times New Roman"/>
          <w:sz w:val="20"/>
        </w:rPr>
        <w:t>[6] D. Moher, L. Shamseer, K. D. Cobey, et al., "Stop this waste of people, animals and money," Nature, vol. 549, no. 7670, pp. 23–25, 2017, doi: 10.1038/549023a.</w:t>
      </w:r>
    </w:p>
    <w:p>
      <w:pPr>
        <w:spacing w:before="40" w:after="80" w:line="276" w:lineRule="auto"/>
        <w:jc w:val="both"/>
      </w:pPr>
      <w:r>
        <w:rPr>
          <w:rFonts w:ascii="Times New Roman" w:hAnsi="Times New Roman"/>
          <w:sz w:val="20"/>
        </w:rPr>
        <w:t>[7] L.-X. Chen, S.-W. Su, C.-H. Liao, K.-S. Wong, and S.-M. Yuan, "An open automation system for predatory journal detection," Scientific Reports, vol. 13, no. 1, p. 2976, 2023, doi: 10.1038/s41598-023-30176-z.</w:t>
      </w:r>
    </w:p>
    <w:p>
      <w:pPr>
        <w:spacing w:before="40" w:after="80" w:line="276" w:lineRule="auto"/>
        <w:jc w:val="both"/>
      </w:pPr>
      <w:r>
        <w:rPr>
          <w:rFonts w:ascii="Times New Roman" w:hAnsi="Times New Roman"/>
          <w:sz w:val="20"/>
        </w:rPr>
        <w:t>[8] J. A. Teixeira da Silva, "Variation in journal website characterization by an AI-driven 'predatory' journal detector," Expert Systems with Applications, vol. 283, p. 127933, 2025, doi: 10.1016/j.eswa.2025.127933.</w:t>
      </w:r>
    </w:p>
    <w:p>
      <w:pPr>
        <w:spacing w:before="40" w:after="80" w:line="276" w:lineRule="auto"/>
        <w:jc w:val="both"/>
      </w:pPr>
      <w:r>
        <w:rPr>
          <w:rFonts w:ascii="Times New Roman" w:hAnsi="Times New Roman"/>
          <w:sz w:val="20"/>
        </w:rPr>
        <w:t>[9] D. Al-Moghrabi, S. A. Arqub, M. P. Maroulakos, N. Pandis, and P. S. Fleming, "Can ChatGPT identify predatory biomedical and dental journals? A cross-sectional content analysis," Journal of Dentistry, vol. 142, p. 104840, 2024, doi: 10.1016/j.jdent.2024.104840.</w:t>
      </w:r>
    </w:p>
    <w:p>
      <w:pPr>
        <w:spacing w:before="40" w:after="80" w:line="276" w:lineRule="auto"/>
        <w:jc w:val="both"/>
      </w:pPr>
      <w:r>
        <w:rPr>
          <w:rFonts w:ascii="Times New Roman" w:hAnsi="Times New Roman"/>
          <w:sz w:val="20"/>
        </w:rPr>
        <w:t>[10] J. Wu, T. Liu, K. Mu, and L. Zhou, "Identification and causal analysis of predatory open access journals based on interpretable machine learning," Scientometrics, vol. 129, pp. 3125–3148, 2024, doi: 10.1007/s11192-024-04969-6.</w:t>
      </w:r>
    </w:p>
    <w:p>
      <w:pPr>
        <w:spacing w:before="40" w:after="80" w:line="276" w:lineRule="auto"/>
        <w:jc w:val="both"/>
      </w:pPr>
      <w:r>
        <w:rPr>
          <w:rFonts w:ascii="Times New Roman" w:hAnsi="Times New Roman"/>
          <w:sz w:val="20"/>
        </w:rPr>
        <w:t>[11] L. Shamseer, D. Moher, O. Maduekwe, et al., "Potential predatory and legitimate biomedical journals: can you tell the difference? A cross-sectional comparison," BMC Medicine, vol. 15, no. 1, pp. 1–14, 2017, doi: 10.1186/s12916-017-0785-9.</w:t>
      </w:r>
    </w:p>
    <w:p>
      <w:pPr>
        <w:spacing w:before="40" w:after="80" w:line="276" w:lineRule="auto"/>
        <w:jc w:val="both"/>
      </w:pPr>
      <w:r>
        <w:rPr>
          <w:rFonts w:ascii="Times New Roman" w:hAnsi="Times New Roman"/>
          <w:sz w:val="20"/>
        </w:rPr>
        <w:t>[12] F. Krawczyk and E. Kulczycki, "How do open access predatory journals operate in the era of artificial intelligence?," Journal of Informetrics, vol. 17, no. 2, p. 101402, 2023, doi: 10.1016/j.joi.2023.101402.</w:t>
      </w:r>
    </w:p>
    <w:p>
      <w:pPr>
        <w:spacing w:before="40" w:after="80" w:line="276" w:lineRule="auto"/>
        <w:jc w:val="both"/>
      </w:pPr>
      <w:r>
        <w:rPr>
          <w:rFonts w:ascii="Times New Roman" w:hAnsi="Times New Roman"/>
          <w:sz w:val="20"/>
        </w:rPr>
        <w:t>[13] M. Kachuee, K. Karkkainen, V. Ordonez, and M. Sarrafzadeh, "Cost-aware feature acquisition for dynamic health risk prediction," IEEE Journal of Biomedical and Health Informatics, vol. 23, no. 5, pp. 2056–2064, 2019, doi: 10.1109/JBHI.2018.2882772.</w:t>
      </w:r>
    </w:p>
    <w:p>
      <w:pPr>
        <w:spacing w:before="40" w:after="80" w:line="276" w:lineRule="auto"/>
        <w:jc w:val="both"/>
      </w:pPr>
      <w:r>
        <w:rPr>
          <w:rFonts w:ascii="Times New Roman" w:hAnsi="Times New Roman"/>
          <w:sz w:val="20"/>
        </w:rPr>
        <w:t>[14] Z. Xu, K. Q. Weinberger, and O. Chapelle, "Cost-sensitive tree of classifiers," in International Conference on Machine Learning (ICML), 2014, pp. 133–141.</w:t>
      </w:r>
    </w:p>
    <w:p>
      <w:pPr>
        <w:spacing w:before="40" w:after="80" w:line="276" w:lineRule="auto"/>
        <w:jc w:val="both"/>
      </w:pPr>
      <w:r>
        <w:rPr>
          <w:rFonts w:ascii="Times New Roman" w:hAnsi="Times New Roman"/>
          <w:sz w:val="20"/>
        </w:rPr>
        <w:t>[15] S. Teerapittayanon, B. McDanel, and H.-T. Kung, "BranchyNet: Fast inference via early exiting from deep neural networks," in 2016 23rd International Conference on Pattern Recognition (ICPR), IEEE, 2016, pp. 2464–2469, doi: 10.1109/ICPR.2016.7900006.</w:t>
      </w:r>
    </w:p>
    <w:p>
      <w:pPr>
        <w:spacing w:before="40" w:after="80" w:line="276" w:lineRule="auto"/>
        <w:jc w:val="both"/>
      </w:pPr>
      <w:r>
        <w:rPr>
          <w:rFonts w:ascii="Times New Roman" w:hAnsi="Times New Roman"/>
          <w:sz w:val="20"/>
        </w:rPr>
        <w:t>[16] W. Liu, P. Zhou, Z. Wang, Z. Zhao, H. Deng, and Q. Ju, "FastBERT: a self-distilling BERT with adaptive inference time," in Proceedings of the 58th Annual Meeting of the Association for Computational Linguistics (ACL), 2020, pp. 6036–6044, doi: 10.18653/v1/2020.acl-main.537.</w:t>
      </w:r>
    </w:p>
    <w:p>
      <w:pPr>
        <w:spacing w:before="40" w:after="80" w:line="276" w:lineRule="auto"/>
        <w:jc w:val="both"/>
      </w:pPr>
      <w:r>
        <w:rPr>
          <w:rFonts w:ascii="Times New Roman" w:hAnsi="Times New Roman"/>
          <w:sz w:val="20"/>
        </w:rPr>
        <w:t>[17] C. Cortes, G. DeSalvo, and M. Mohri, "Learning with rejection," in International Conference on Algorithmic Learning Theory, Springer, 2016, pp. 67–82, doi: 10.1007/978-3-319-46379-7_5.</w:t>
      </w:r>
    </w:p>
    <w:p>
      <w:pPr>
        <w:spacing w:before="40" w:after="80" w:line="276" w:lineRule="auto"/>
        <w:jc w:val="both"/>
      </w:pPr>
      <w:r>
        <w:rPr>
          <w:rFonts w:ascii="Times New Roman" w:hAnsi="Times New Roman"/>
          <w:sz w:val="20"/>
        </w:rPr>
        <w:t>[18] Y. Geifman and R. El-Yaniv, "Selective classification for deep neural networks," in Advances in Neural Information Processing Systems (NeurIPS), vol. 30, 2017, pp. 4878–4887.</w:t>
      </w:r>
    </w:p>
    <w:p>
      <w:pPr>
        <w:spacing w:before="40" w:after="80" w:line="276" w:lineRule="auto"/>
        <w:jc w:val="both"/>
      </w:pPr>
      <w:r>
        <w:rPr>
          <w:rFonts w:ascii="Times New Roman" w:hAnsi="Times New Roman"/>
          <w:sz w:val="20"/>
        </w:rPr>
        <w:t>[19] C. Guo, G. Pleiss, Y. Sun, and K. Q. Weinberger, "On calibration of modern neural networks," in International Conference on Machine Learning (ICML), PMLR, 2017, pp. 1321–1330.</w:t>
      </w:r>
    </w:p>
    <w:p>
      <w:pPr>
        <w:spacing w:before="40" w:after="80" w:line="276" w:lineRule="auto"/>
        <w:jc w:val="both"/>
      </w:pPr>
      <w:r>
        <w:rPr>
          <w:rFonts w:ascii="Times New Roman" w:hAnsi="Times New Roman"/>
          <w:sz w:val="20"/>
        </w:rPr>
        <w:t>[20] J. Platt, "Probabilistic outputs for support vector machines and comparisons to regularized likelihood methods," Advances in Large Margin Classifiers, vol. 10, no. 3, pp. 61–74, 1999.</w:t>
      </w:r>
    </w:p>
    <w:sectPr w:rsidR="00FC693F" w:rsidRPr="0006063C" w:rsidSect="00034616">
      <w:headerReference w:type="default" r:id="rId21"/>
      <w:footerReference w:type="default" r:id="rId22"/>
      <w:pgSz w:w="11909" w:h="16834"/>
      <w:pgMar w:top="1440" w:right="1440" w:bottom="180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PCCOE, Department of Computer Engineering 2026-27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0"/>
      </w:rPr>
      <w:t>&lt;Cost-Aware Progressive Predatory Journal Detection&gt;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eader" Target="header1.xm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