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7AE60"/>
          <w:sz w:val="44"/>
        </w:rPr>
        <w:t>Rice Paddy Growth Stage Classification Report</w:t>
      </w:r>
    </w:p>
    <w:p>
      <w:pPr>
        <w:jc w:val="center"/>
      </w:pPr>
      <w:r>
        <w:rPr>
          <w:color w:val="7F8C8D"/>
          <w:sz w:val="24"/>
        </w:rPr>
        <w:t>Deep Learning with EfficientNet-B0 and Enhanced Multi-Layer ANN Head</w:t>
        <w:br/>
        <w:t>UAV Aerial RGB Imagery Analysis</w:t>
      </w:r>
    </w:p>
    <w:p/>
    <w:p>
      <w:pPr>
        <w:pStyle w:val="Heading1"/>
      </w:pPr>
      <w:r>
        <w:rPr>
          <w:color w:val="2C3E50"/>
        </w:rPr>
        <w:t>1. Executive Summary</w:t>
      </w:r>
    </w:p>
    <w:p>
      <w:pPr>
        <w:spacing w:line="276" w:lineRule="auto"/>
      </w:pPr>
      <w:r>
        <w:t>This project develops an automated high-resolution UAV aerial classification system to monitor and identify the phenological growth stages of rice paddy crops across multiple flight sessions throughout the crop lifecycle. Using drone imagery collected across two distinct agricultural fields (Field 1 and Field 2), the pipeline processes raw high-resolution captures into 1024x1024 tiles and trains a deep convolutional neural network to classify crops into 4 key stages: Seedling, Vegetative, Flowering (including Booting), and Mature.</w:t>
      </w:r>
    </w:p>
    <w:p>
      <w:pPr>
        <w:pStyle w:val="Heading1"/>
      </w:pPr>
      <w:r>
        <w:rPr>
          <w:color w:val="2C3E50"/>
        </w:rPr>
        <w:t>2. Dataset Architecture &amp; Image Quantification</w:t>
      </w:r>
    </w:p>
    <w:p>
      <w:r>
        <w:t>The aerial dataset consists of 2,000 raw source UAV captures partitioned into standardized 1024x1024 tiles with 25% overlap (768px step), producing 35 tiles per source capture.</w:t>
      </w:r>
    </w:p>
    <w:p>
      <w:pPr>
        <w:pStyle w:val="Heading2"/>
      </w:pPr>
      <w:r>
        <w:t>A. Phenological Class Consolidation</w:t>
      </w:r>
    </w:p>
    <w:tbl>
      <w:tblPr>
        <w:tblW w:type="auto" w:w="0"/>
        <w:jc w:val="center"/>
        <w:tblLook w:firstColumn="1" w:firstRow="1" w:lastColumn="0" w:lastRow="0" w:noHBand="0" w:noVBand="1" w:val="04A0"/>
      </w:tblPr>
      <w:tblGrid>
        <w:gridCol w:w="2340"/>
        <w:gridCol w:w="2340"/>
        <w:gridCol w:w="2340"/>
        <w:gridCol w:w="2340"/>
      </w:tblGrid>
      <w:tr>
        <w:tc>
          <w:tcPr>
            <w:tcW w:type="dxa" w:w="2340"/>
            <w:shd w:fill="27AE60"/>
          </w:tcPr>
          <w:p>
            <w:pPr>
              <w:jc w:val="center"/>
            </w:pPr>
            <w:r>
              <w:rPr>
                <w:b/>
                <w:color w:val="FFFFFF"/>
                <w:sz w:val="20"/>
              </w:rPr>
              <w:t>Original Raw Stage</w:t>
            </w:r>
          </w:p>
        </w:tc>
        <w:tc>
          <w:tcPr>
            <w:tcW w:type="dxa" w:w="2340"/>
            <w:shd w:fill="27AE60"/>
          </w:tcPr>
          <w:p>
            <w:pPr>
              <w:jc w:val="center"/>
            </w:pPr>
            <w:r>
              <w:rPr>
                <w:b/>
                <w:color w:val="FFFFFF"/>
                <w:sz w:val="20"/>
              </w:rPr>
              <w:t>Consolidated Class</w:t>
            </w:r>
          </w:p>
        </w:tc>
        <w:tc>
          <w:tcPr>
            <w:tcW w:type="dxa" w:w="2340"/>
            <w:shd w:fill="27AE60"/>
          </w:tcPr>
          <w:p>
            <w:pPr>
              <w:jc w:val="center"/>
            </w:pPr>
            <w:r>
              <w:rPr>
                <w:b/>
                <w:color w:val="FFFFFF"/>
                <w:sz w:val="20"/>
              </w:rPr>
              <w:t>Ordinal Rank</w:t>
            </w:r>
          </w:p>
        </w:tc>
        <w:tc>
          <w:tcPr>
            <w:tcW w:type="dxa" w:w="2340"/>
            <w:shd w:fill="27AE60"/>
          </w:tcPr>
          <w:p>
            <w:pPr>
              <w:jc w:val="center"/>
            </w:pPr>
            <w:r>
              <w:rPr>
                <w:b/>
                <w:color w:val="FFFFFF"/>
                <w:sz w:val="20"/>
              </w:rPr>
              <w:t>Agronomic Justification</w:t>
            </w:r>
          </w:p>
        </w:tc>
      </w:tr>
      <w:tr>
        <w:tc>
          <w:tcPr>
            <w:tcW w:type="dxa" w:w="2340"/>
            <w:shd w:fill="F8F9F9"/>
            <w:vAlign w:val="center"/>
          </w:tcPr>
          <w:p>
            <w:r>
              <w:rPr>
                <w:sz w:val="19"/>
              </w:rPr>
              <w:t>Nursery_Stage</w:t>
            </w:r>
          </w:p>
        </w:tc>
        <w:tc>
          <w:tcPr>
            <w:tcW w:type="dxa" w:w="2340"/>
            <w:shd w:fill="F8F9F9"/>
            <w:vAlign w:val="center"/>
          </w:tcPr>
          <w:p>
            <w:r>
              <w:rPr>
                <w:sz w:val="19"/>
              </w:rPr>
              <w:t>Seedling</w:t>
            </w:r>
          </w:p>
        </w:tc>
        <w:tc>
          <w:tcPr>
            <w:tcW w:type="dxa" w:w="2340"/>
            <w:shd w:fill="F8F9F9"/>
            <w:vAlign w:val="center"/>
          </w:tcPr>
          <w:p>
            <w:r>
              <w:rPr>
                <w:sz w:val="19"/>
              </w:rPr>
              <w:t>0</w:t>
            </w:r>
          </w:p>
        </w:tc>
        <w:tc>
          <w:tcPr>
            <w:tcW w:type="dxa" w:w="2340"/>
            <w:shd w:fill="F8F9F9"/>
            <w:vAlign w:val="center"/>
          </w:tcPr>
          <w:p>
            <w:r>
              <w:rPr>
                <w:sz w:val="19"/>
              </w:rPr>
              <w:t>Early emergence, open canopy, high water/soil visibility</w:t>
            </w:r>
          </w:p>
        </w:tc>
      </w:tr>
      <w:tr>
        <w:tc>
          <w:tcPr>
            <w:tcW w:type="dxa" w:w="2340"/>
            <w:shd w:fill="FFFFFF"/>
            <w:vAlign w:val="center"/>
          </w:tcPr>
          <w:p>
            <w:r>
              <w:rPr>
                <w:sz w:val="19"/>
              </w:rPr>
              <w:t>Vegetative_Stage</w:t>
            </w:r>
          </w:p>
        </w:tc>
        <w:tc>
          <w:tcPr>
            <w:tcW w:type="dxa" w:w="2340"/>
            <w:shd w:fill="FFFFFF"/>
            <w:vAlign w:val="center"/>
          </w:tcPr>
          <w:p>
            <w:r>
              <w:rPr>
                <w:sz w:val="19"/>
              </w:rPr>
              <w:t>Vegetative</w:t>
            </w:r>
          </w:p>
        </w:tc>
        <w:tc>
          <w:tcPr>
            <w:tcW w:type="dxa" w:w="2340"/>
            <w:shd w:fill="FFFFFF"/>
            <w:vAlign w:val="center"/>
          </w:tcPr>
          <w:p>
            <w:r>
              <w:rPr>
                <w:sz w:val="19"/>
              </w:rPr>
              <w:t>1</w:t>
            </w:r>
          </w:p>
        </w:tc>
        <w:tc>
          <w:tcPr>
            <w:tcW w:type="dxa" w:w="2340"/>
            <w:shd w:fill="FFFFFF"/>
            <w:vAlign w:val="center"/>
          </w:tcPr>
          <w:p>
            <w:r>
              <w:rPr>
                <w:sz w:val="19"/>
              </w:rPr>
              <w:t>Tillering, canopy closure, dense green foliage</w:t>
            </w:r>
          </w:p>
        </w:tc>
      </w:tr>
      <w:tr>
        <w:tc>
          <w:tcPr>
            <w:tcW w:type="dxa" w:w="2340"/>
            <w:shd w:fill="F8F9F9"/>
            <w:vAlign w:val="center"/>
          </w:tcPr>
          <w:p>
            <w:r>
              <w:rPr>
                <w:sz w:val="19"/>
              </w:rPr>
              <w:t>Booting_Stage / Flowering_Stage</w:t>
            </w:r>
          </w:p>
        </w:tc>
        <w:tc>
          <w:tcPr>
            <w:tcW w:type="dxa" w:w="2340"/>
            <w:shd w:fill="F8F9F9"/>
            <w:vAlign w:val="center"/>
          </w:tcPr>
          <w:p>
            <w:r>
              <w:rPr>
                <w:sz w:val="19"/>
              </w:rPr>
              <w:t>Flowering</w:t>
            </w:r>
          </w:p>
        </w:tc>
        <w:tc>
          <w:tcPr>
            <w:tcW w:type="dxa" w:w="2340"/>
            <w:shd w:fill="F8F9F9"/>
            <w:vAlign w:val="center"/>
          </w:tcPr>
          <w:p>
            <w:r>
              <w:rPr>
                <w:sz w:val="19"/>
              </w:rPr>
              <w:t>2</w:t>
            </w:r>
          </w:p>
        </w:tc>
        <w:tc>
          <w:tcPr>
            <w:tcW w:type="dxa" w:w="2340"/>
            <w:shd w:fill="F8F9F9"/>
            <w:vAlign w:val="center"/>
          </w:tcPr>
          <w:p>
            <w:r>
              <w:rPr>
                <w:sz w:val="19"/>
              </w:rPr>
              <w:t>Panicle initiation, heading, and flowering anthesis</w:t>
            </w:r>
          </w:p>
        </w:tc>
      </w:tr>
      <w:tr>
        <w:tc>
          <w:tcPr>
            <w:tcW w:type="dxa" w:w="2340"/>
            <w:shd w:fill="FFFFFF"/>
            <w:vAlign w:val="center"/>
          </w:tcPr>
          <w:p>
            <w:r>
              <w:rPr>
                <w:sz w:val="19"/>
              </w:rPr>
              <w:t>Mature_Stage / Mature_stage</w:t>
            </w:r>
          </w:p>
        </w:tc>
        <w:tc>
          <w:tcPr>
            <w:tcW w:type="dxa" w:w="2340"/>
            <w:shd w:fill="FFFFFF"/>
            <w:vAlign w:val="center"/>
          </w:tcPr>
          <w:p>
            <w:r>
              <w:rPr>
                <w:sz w:val="19"/>
              </w:rPr>
              <w:t>Mature</w:t>
            </w:r>
          </w:p>
        </w:tc>
        <w:tc>
          <w:tcPr>
            <w:tcW w:type="dxa" w:w="2340"/>
            <w:shd w:fill="FFFFFF"/>
            <w:vAlign w:val="center"/>
          </w:tcPr>
          <w:p>
            <w:r>
              <w:rPr>
                <w:sz w:val="19"/>
              </w:rPr>
              <w:t>3</w:t>
            </w:r>
          </w:p>
        </w:tc>
        <w:tc>
          <w:tcPr>
            <w:tcW w:type="dxa" w:w="2340"/>
            <w:shd w:fill="FFFFFF"/>
            <w:vAlign w:val="center"/>
          </w:tcPr>
          <w:p>
            <w:r>
              <w:rPr>
                <w:sz w:val="19"/>
              </w:rPr>
              <w:t>Grain filling, ripening, canopy yellowing/senescence</w:t>
            </w:r>
          </w:p>
        </w:tc>
      </w:tr>
    </w:tbl>
    <w:p/>
    <w:p>
      <w:pPr>
        <w:pStyle w:val="Heading2"/>
      </w:pPr>
      <w:r>
        <w:t>B. Dataset Partitioning &amp; Leakage Prevention</w:t>
      </w:r>
    </w:p>
    <w:p>
      <w:r>
        <w:t>To ensure robust generalization and prevent spatial data leakage, Field 2 was completely held out as an external test set. Within Field 1, train and validation sets were created using GroupShuffleSplit on source photo IDs, ensuring overlapping tiles from the same source image never appear in both train and validation splits.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2C3E50"/>
          </w:tcPr>
          <w:p>
            <w:pPr>
              <w:jc w:val="center"/>
            </w:pPr>
            <w:r>
              <w:rPr>
                <w:b/>
                <w:color w:val="FFFFFF"/>
                <w:sz w:val="20"/>
              </w:rPr>
              <w:t>Split Partition</w:t>
            </w:r>
          </w:p>
        </w:tc>
        <w:tc>
          <w:tcPr>
            <w:tcW w:type="dxa" w:w="1560"/>
            <w:shd w:fill="2C3E50"/>
          </w:tcPr>
          <w:p>
            <w:pPr>
              <w:jc w:val="center"/>
            </w:pPr>
            <w:r>
              <w:rPr>
                <w:b/>
                <w:color w:val="FFFFFF"/>
                <w:sz w:val="20"/>
              </w:rPr>
              <w:t>Total Tiles</w:t>
            </w:r>
          </w:p>
        </w:tc>
        <w:tc>
          <w:tcPr>
            <w:tcW w:type="dxa" w:w="1560"/>
            <w:shd w:fill="2C3E50"/>
          </w:tcPr>
          <w:p>
            <w:pPr>
              <w:jc w:val="center"/>
            </w:pPr>
            <w:r>
              <w:rPr>
                <w:b/>
                <w:color w:val="FFFFFF"/>
                <w:sz w:val="20"/>
              </w:rPr>
              <w:t>Seedling</w:t>
            </w:r>
          </w:p>
        </w:tc>
        <w:tc>
          <w:tcPr>
            <w:tcW w:type="dxa" w:w="1560"/>
            <w:shd w:fill="2C3E50"/>
          </w:tcPr>
          <w:p>
            <w:pPr>
              <w:jc w:val="center"/>
            </w:pPr>
            <w:r>
              <w:rPr>
                <w:b/>
                <w:color w:val="FFFFFF"/>
                <w:sz w:val="20"/>
              </w:rPr>
              <w:t>Vegetative</w:t>
            </w:r>
          </w:p>
        </w:tc>
        <w:tc>
          <w:tcPr>
            <w:tcW w:type="dxa" w:w="1560"/>
            <w:shd w:fill="2C3E50"/>
          </w:tcPr>
          <w:p>
            <w:pPr>
              <w:jc w:val="center"/>
            </w:pPr>
            <w:r>
              <w:rPr>
                <w:b/>
                <w:color w:val="FFFFFF"/>
                <w:sz w:val="20"/>
              </w:rPr>
              <w:t>Flowering</w:t>
            </w:r>
          </w:p>
        </w:tc>
        <w:tc>
          <w:tcPr>
            <w:tcW w:type="dxa" w:w="1560"/>
            <w:shd w:fill="2C3E50"/>
          </w:tcPr>
          <w:p>
            <w:pPr>
              <w:jc w:val="center"/>
            </w:pPr>
            <w:r>
              <w:rPr>
                <w:b/>
                <w:color w:val="FFFFFF"/>
                <w:sz w:val="20"/>
              </w:rPr>
              <w:t>Mature</w:t>
            </w:r>
          </w:p>
        </w:tc>
      </w:tr>
      <w:tr>
        <w:tc>
          <w:tcPr>
            <w:tcW w:type="dxa" w:w="1560"/>
            <w:shd w:fill="F8F9F9"/>
            <w:vAlign w:val="center"/>
          </w:tcPr>
          <w:p>
            <w:r>
              <w:rPr>
                <w:sz w:val="19"/>
              </w:rPr>
              <w:t>Field 1 Train</w:t>
            </w:r>
          </w:p>
        </w:tc>
        <w:tc>
          <w:tcPr>
            <w:tcW w:type="dxa" w:w="1560"/>
            <w:shd w:fill="F8F9F9"/>
            <w:vAlign w:val="center"/>
          </w:tcPr>
          <w:p>
            <w:r>
              <w:rPr>
                <w:sz w:val="19"/>
              </w:rPr>
              <w:t>33,915</w:t>
            </w:r>
          </w:p>
        </w:tc>
        <w:tc>
          <w:tcPr>
            <w:tcW w:type="dxa" w:w="1560"/>
            <w:shd w:fill="F8F9F9"/>
            <w:vAlign w:val="center"/>
          </w:tcPr>
          <w:p>
            <w:r>
              <w:rPr>
                <w:sz w:val="19"/>
              </w:rPr>
              <w:t>6,930</w:t>
            </w:r>
          </w:p>
        </w:tc>
        <w:tc>
          <w:tcPr>
            <w:tcW w:type="dxa" w:w="1560"/>
            <w:shd w:fill="F8F9F9"/>
            <w:vAlign w:val="center"/>
          </w:tcPr>
          <w:p>
            <w:r>
              <w:rPr>
                <w:sz w:val="19"/>
              </w:rPr>
              <w:t>6,650</w:t>
            </w:r>
          </w:p>
        </w:tc>
        <w:tc>
          <w:tcPr>
            <w:tcW w:type="dxa" w:w="1560"/>
            <w:shd w:fill="F8F9F9"/>
            <w:vAlign w:val="center"/>
          </w:tcPr>
          <w:p>
            <w:r>
              <w:rPr>
                <w:sz w:val="19"/>
              </w:rPr>
              <w:t>13,300</w:t>
            </w:r>
          </w:p>
        </w:tc>
        <w:tc>
          <w:tcPr>
            <w:tcW w:type="dxa" w:w="1560"/>
            <w:shd w:fill="F8F9F9"/>
            <w:vAlign w:val="center"/>
          </w:tcPr>
          <w:p>
            <w:r>
              <w:rPr>
                <w:sz w:val="19"/>
              </w:rPr>
              <w:t>7,035</w:t>
            </w:r>
          </w:p>
        </w:tc>
      </w:tr>
      <w:tr>
        <w:tc>
          <w:tcPr>
            <w:tcW w:type="dxa" w:w="1560"/>
            <w:shd w:fill="FFFFFF"/>
            <w:vAlign w:val="center"/>
          </w:tcPr>
          <w:p>
            <w:r>
              <w:rPr>
                <w:sz w:val="19"/>
              </w:rPr>
              <w:t>Field 1 Validation (Fixed)</w:t>
            </w:r>
          </w:p>
        </w:tc>
        <w:tc>
          <w:tcPr>
            <w:tcW w:type="dxa" w:w="1560"/>
            <w:shd w:fill="FFFFFF"/>
            <w:vAlign w:val="center"/>
          </w:tcPr>
          <w:p>
            <w:r>
              <w:rPr>
                <w:sz w:val="19"/>
              </w:rPr>
              <w:t>7,455</w:t>
            </w:r>
          </w:p>
        </w:tc>
        <w:tc>
          <w:tcPr>
            <w:tcW w:type="dxa" w:w="1560"/>
            <w:shd w:fill="FFFFFF"/>
            <w:vAlign w:val="center"/>
          </w:tcPr>
          <w:p>
            <w:r>
              <w:rPr>
                <w:sz w:val="19"/>
              </w:rPr>
              <w:t>1,400</w:t>
            </w:r>
          </w:p>
        </w:tc>
        <w:tc>
          <w:tcPr>
            <w:tcW w:type="dxa" w:w="1560"/>
            <w:shd w:fill="FFFFFF"/>
            <w:vAlign w:val="center"/>
          </w:tcPr>
          <w:p>
            <w:r>
              <w:rPr>
                <w:sz w:val="19"/>
              </w:rPr>
              <w:t>1,610</w:t>
            </w:r>
          </w:p>
        </w:tc>
        <w:tc>
          <w:tcPr>
            <w:tcW w:type="dxa" w:w="1560"/>
            <w:shd w:fill="FFFFFF"/>
            <w:vAlign w:val="center"/>
          </w:tcPr>
          <w:p>
            <w:r>
              <w:rPr>
                <w:sz w:val="19"/>
              </w:rPr>
              <w:t>3,220</w:t>
            </w:r>
          </w:p>
        </w:tc>
        <w:tc>
          <w:tcPr>
            <w:tcW w:type="dxa" w:w="1560"/>
            <w:shd w:fill="FFFFFF"/>
            <w:vAlign w:val="center"/>
          </w:tcPr>
          <w:p>
            <w:r>
              <w:rPr>
                <w:sz w:val="19"/>
              </w:rPr>
              <w:t>1,225</w:t>
            </w:r>
          </w:p>
        </w:tc>
      </w:tr>
      <w:tr>
        <w:tc>
          <w:tcPr>
            <w:tcW w:type="dxa" w:w="1560"/>
            <w:shd w:fill="F8F9F9"/>
            <w:vAlign w:val="center"/>
          </w:tcPr>
          <w:p>
            <w:r>
              <w:rPr>
                <w:sz w:val="19"/>
              </w:rPr>
              <w:t>Field 2 Held-Out Test</w:t>
            </w:r>
          </w:p>
        </w:tc>
        <w:tc>
          <w:tcPr>
            <w:tcW w:type="dxa" w:w="1560"/>
            <w:shd w:fill="F8F9F9"/>
            <w:vAlign w:val="center"/>
          </w:tcPr>
          <w:p>
            <w:r>
              <w:rPr>
                <w:sz w:val="19"/>
              </w:rPr>
              <w:t>28,630</w:t>
            </w:r>
          </w:p>
        </w:tc>
        <w:tc>
          <w:tcPr>
            <w:tcW w:type="dxa" w:w="1560"/>
            <w:shd w:fill="F8F9F9"/>
            <w:vAlign w:val="center"/>
          </w:tcPr>
          <w:p>
            <w:r>
              <w:rPr>
                <w:sz w:val="19"/>
              </w:rPr>
              <w:t>5,670</w:t>
            </w:r>
          </w:p>
        </w:tc>
        <w:tc>
          <w:tcPr>
            <w:tcW w:type="dxa" w:w="1560"/>
            <w:shd w:fill="F8F9F9"/>
            <w:vAlign w:val="center"/>
          </w:tcPr>
          <w:p>
            <w:r>
              <w:rPr>
                <w:sz w:val="19"/>
              </w:rPr>
              <w:t>5,740</w:t>
            </w:r>
          </w:p>
        </w:tc>
        <w:tc>
          <w:tcPr>
            <w:tcW w:type="dxa" w:w="1560"/>
            <w:shd w:fill="F8F9F9"/>
            <w:vAlign w:val="center"/>
          </w:tcPr>
          <w:p>
            <w:r>
              <w:rPr>
                <w:sz w:val="19"/>
              </w:rPr>
              <w:t>11,480</w:t>
            </w:r>
          </w:p>
        </w:tc>
        <w:tc>
          <w:tcPr>
            <w:tcW w:type="dxa" w:w="1560"/>
            <w:shd w:fill="F8F9F9"/>
            <w:vAlign w:val="center"/>
          </w:tcPr>
          <w:p>
            <w:r>
              <w:rPr>
                <w:sz w:val="19"/>
              </w:rPr>
              <w:t>5,740</w:t>
            </w:r>
          </w:p>
        </w:tc>
      </w:tr>
      <w:tr>
        <w:tc>
          <w:tcPr>
            <w:tcW w:type="dxa" w:w="1560"/>
            <w:shd w:fill="FFFFFF"/>
            <w:vAlign w:val="center"/>
          </w:tcPr>
          <w:p>
            <w:r>
              <w:rPr>
                <w:sz w:val="19"/>
              </w:rPr>
              <w:t>GRAND TOTAL</w:t>
            </w:r>
          </w:p>
        </w:tc>
        <w:tc>
          <w:tcPr>
            <w:tcW w:type="dxa" w:w="1560"/>
            <w:shd w:fill="FFFFFF"/>
            <w:vAlign w:val="center"/>
          </w:tcPr>
          <w:p>
            <w:r>
              <w:rPr>
                <w:sz w:val="19"/>
              </w:rPr>
              <w:t>70,000</w:t>
            </w:r>
          </w:p>
        </w:tc>
        <w:tc>
          <w:tcPr>
            <w:tcW w:type="dxa" w:w="1560"/>
            <w:shd w:fill="FFFFFF"/>
            <w:vAlign w:val="center"/>
          </w:tcPr>
          <w:p>
            <w:r>
              <w:rPr>
                <w:sz w:val="19"/>
              </w:rPr>
              <w:t>14,000</w:t>
            </w:r>
          </w:p>
        </w:tc>
        <w:tc>
          <w:tcPr>
            <w:tcW w:type="dxa" w:w="1560"/>
            <w:shd w:fill="FFFFFF"/>
            <w:vAlign w:val="center"/>
          </w:tcPr>
          <w:p>
            <w:r>
              <w:rPr>
                <w:sz w:val="19"/>
              </w:rPr>
              <w:t>14,000</w:t>
            </w:r>
          </w:p>
        </w:tc>
        <w:tc>
          <w:tcPr>
            <w:tcW w:type="dxa" w:w="1560"/>
            <w:shd w:fill="FFFFFF"/>
            <w:vAlign w:val="center"/>
          </w:tcPr>
          <w:p>
            <w:r>
              <w:rPr>
                <w:sz w:val="19"/>
              </w:rPr>
              <w:t>28,000</w:t>
            </w:r>
          </w:p>
        </w:tc>
        <w:tc>
          <w:tcPr>
            <w:tcW w:type="dxa" w:w="1560"/>
            <w:shd w:fill="FFFFFF"/>
            <w:vAlign w:val="center"/>
          </w:tcPr>
          <w:p>
            <w:r>
              <w:rPr>
                <w:sz w:val="19"/>
              </w:rPr>
              <w:t>14,000</w:t>
            </w:r>
          </w:p>
        </w:tc>
      </w:tr>
    </w:tbl>
    <w:p/>
    <w:p>
      <w:pPr>
        <w:pStyle w:val="Heading1"/>
      </w:pPr>
      <w:r>
        <w:rPr>
          <w:color w:val="2C3E50"/>
        </w:rPr>
        <w:t>3. Methodology: Model 1 vs. Model 2 Architecture</w:t>
      </w:r>
    </w:p>
    <w:tbl>
      <w:tblPr>
        <w:tblW w:type="auto" w:w="0"/>
        <w:jc w:val="center"/>
        <w:tblLook w:firstColumn="1" w:firstRow="1" w:lastColumn="0" w:lastRow="0" w:noHBand="0" w:noVBand="1" w:val="04A0"/>
      </w:tblPr>
      <w:tblGrid>
        <w:gridCol w:w="3120"/>
        <w:gridCol w:w="3120"/>
        <w:gridCol w:w="3120"/>
      </w:tblGrid>
      <w:tr>
        <w:tc>
          <w:tcPr>
            <w:tcW w:type="dxa" w:w="3120"/>
            <w:shd w:fill="34495E"/>
          </w:tcPr>
          <w:p>
            <w:pPr>
              <w:jc w:val="center"/>
            </w:pPr>
            <w:r>
              <w:rPr>
                <w:b/>
                <w:color w:val="FFFFFF"/>
                <w:sz w:val="20"/>
              </w:rPr>
              <w:t>Architecture Attribute</w:t>
            </w:r>
          </w:p>
        </w:tc>
        <w:tc>
          <w:tcPr>
            <w:tcW w:type="dxa" w:w="3120"/>
            <w:shd w:fill="34495E"/>
          </w:tcPr>
          <w:p>
            <w:pPr>
              <w:jc w:val="center"/>
            </w:pPr>
            <w:r>
              <w:rPr>
                <w:b/>
                <w:color w:val="FFFFFF"/>
                <w:sz w:val="20"/>
              </w:rPr>
              <w:t>Model 1: Baseline Transfer (Round 1)</w:t>
            </w:r>
          </w:p>
        </w:tc>
        <w:tc>
          <w:tcPr>
            <w:tcW w:type="dxa" w:w="3120"/>
            <w:shd w:fill="34495E"/>
          </w:tcPr>
          <w:p>
            <w:pPr>
              <w:jc w:val="center"/>
            </w:pPr>
            <w:r>
              <w:rPr>
                <w:b/>
                <w:color w:val="FFFFFF"/>
                <w:sz w:val="20"/>
              </w:rPr>
              <w:t>Model 2: Enhanced Fine-Tuned ANN</w:t>
            </w:r>
          </w:p>
        </w:tc>
      </w:tr>
      <w:tr>
        <w:tc>
          <w:tcPr>
            <w:tcW w:type="dxa" w:w="3120"/>
            <w:shd w:fill="F8F9F9"/>
            <w:vAlign w:val="center"/>
          </w:tcPr>
          <w:p>
            <w:r>
              <w:rPr>
                <w:sz w:val="19"/>
              </w:rPr>
              <w:t>Backbone Status</w:t>
            </w:r>
          </w:p>
        </w:tc>
        <w:tc>
          <w:tcPr>
            <w:tcW w:type="dxa" w:w="3120"/>
            <w:shd w:fill="F8F9F9"/>
            <w:vAlign w:val="center"/>
          </w:tcPr>
          <w:p>
            <w:r>
              <w:rPr>
                <w:sz w:val="19"/>
              </w:rPr>
              <w:t>100% Frozen EfficientNet-B0</w:t>
            </w:r>
          </w:p>
        </w:tc>
        <w:tc>
          <w:tcPr>
            <w:tcW w:type="dxa" w:w="3120"/>
            <w:shd w:fill="F8F9F9"/>
            <w:vAlign w:val="center"/>
          </w:tcPr>
          <w:p>
            <w:r>
              <w:rPr>
                <w:sz w:val="19"/>
              </w:rPr>
              <w:t>Unfrozen Top MBConv Blocks (6, 7, 8)</w:t>
            </w:r>
          </w:p>
        </w:tc>
      </w:tr>
      <w:tr>
        <w:tc>
          <w:tcPr>
            <w:tcW w:type="dxa" w:w="3120"/>
            <w:shd w:fill="FFFFFF"/>
            <w:vAlign w:val="center"/>
          </w:tcPr>
          <w:p>
            <w:r>
              <w:rPr>
                <w:sz w:val="19"/>
              </w:rPr>
              <w:t>Classification Head</w:t>
            </w:r>
          </w:p>
        </w:tc>
        <w:tc>
          <w:tcPr>
            <w:tcW w:type="dxa" w:w="3120"/>
            <w:shd w:fill="FFFFFF"/>
            <w:vAlign w:val="center"/>
          </w:tcPr>
          <w:p>
            <w:r>
              <w:rPr>
                <w:sz w:val="19"/>
              </w:rPr>
              <w:t>Single Linear Layer (1280 -&gt; 4)</w:t>
            </w:r>
          </w:p>
        </w:tc>
        <w:tc>
          <w:tcPr>
            <w:tcW w:type="dxa" w:w="3120"/>
            <w:shd w:fill="FFFFFF"/>
            <w:vAlign w:val="center"/>
          </w:tcPr>
          <w:p>
            <w:r>
              <w:rPr>
                <w:sz w:val="19"/>
              </w:rPr>
              <w:t>3-Layer MLP (1280 -&gt; 384 -&gt; 128 -&gt; 4) with LayerNorm &amp; Dropout</w:t>
            </w:r>
          </w:p>
        </w:tc>
      </w:tr>
      <w:tr>
        <w:tc>
          <w:tcPr>
            <w:tcW w:type="dxa" w:w="3120"/>
            <w:shd w:fill="F8F9F9"/>
            <w:vAlign w:val="center"/>
          </w:tcPr>
          <w:p>
            <w:r>
              <w:rPr>
                <w:sz w:val="19"/>
              </w:rPr>
              <w:t>Trainable Parameters</w:t>
            </w:r>
          </w:p>
        </w:tc>
        <w:tc>
          <w:tcPr>
            <w:tcW w:type="dxa" w:w="3120"/>
            <w:shd w:fill="F8F9F9"/>
            <w:vAlign w:val="center"/>
          </w:tcPr>
          <w:p>
            <w:r>
              <w:rPr>
                <w:sz w:val="19"/>
              </w:rPr>
              <w:t>5,124 parameters</w:t>
            </w:r>
          </w:p>
        </w:tc>
        <w:tc>
          <w:tcPr>
            <w:tcW w:type="dxa" w:w="3120"/>
            <w:shd w:fill="F8F9F9"/>
            <w:vAlign w:val="center"/>
          </w:tcPr>
          <w:p>
            <w:r>
              <w:rPr>
                <w:sz w:val="19"/>
              </w:rPr>
              <w:t>3,698,464 parameters</w:t>
            </w:r>
          </w:p>
        </w:tc>
      </w:tr>
      <w:tr>
        <w:tc>
          <w:tcPr>
            <w:tcW w:type="dxa" w:w="3120"/>
            <w:shd w:fill="FFFFFF"/>
            <w:vAlign w:val="center"/>
          </w:tcPr>
          <w:p>
            <w:r>
              <w:rPr>
                <w:sz w:val="19"/>
              </w:rPr>
              <w:t>Loss Function</w:t>
            </w:r>
          </w:p>
        </w:tc>
        <w:tc>
          <w:tcPr>
            <w:tcW w:type="dxa" w:w="3120"/>
            <w:shd w:fill="FFFFFF"/>
            <w:vAlign w:val="center"/>
          </w:tcPr>
          <w:p>
            <w:r>
              <w:rPr>
                <w:sz w:val="19"/>
              </w:rPr>
              <w:t>Weighted Cross-Entropy (Sqrt Weights)</w:t>
            </w:r>
          </w:p>
        </w:tc>
        <w:tc>
          <w:tcPr>
            <w:tcW w:type="dxa" w:w="3120"/>
            <w:shd w:fill="FFFFFF"/>
            <w:vAlign w:val="center"/>
          </w:tcPr>
          <w:p>
            <w:r>
              <w:rPr>
                <w:sz w:val="19"/>
              </w:rPr>
              <w:t>Focal Loss (gamma = 2.0) with Alpha Weights</w:t>
            </w:r>
          </w:p>
        </w:tc>
      </w:tr>
      <w:tr>
        <w:tc>
          <w:tcPr>
            <w:tcW w:type="dxa" w:w="3120"/>
            <w:shd w:fill="F8F9F9"/>
            <w:vAlign w:val="center"/>
          </w:tcPr>
          <w:p>
            <w:r>
              <w:rPr>
                <w:sz w:val="19"/>
              </w:rPr>
              <w:t>Input Resolution</w:t>
            </w:r>
          </w:p>
        </w:tc>
        <w:tc>
          <w:tcPr>
            <w:tcW w:type="dxa" w:w="3120"/>
            <w:shd w:fill="F8F9F9"/>
            <w:vAlign w:val="center"/>
          </w:tcPr>
          <w:p>
            <w:r>
              <w:rPr>
                <w:sz w:val="19"/>
              </w:rPr>
              <w:t>224 x 224 pixels</w:t>
            </w:r>
          </w:p>
        </w:tc>
        <w:tc>
          <w:tcPr>
            <w:tcW w:type="dxa" w:w="3120"/>
            <w:shd w:fill="F8F9F9"/>
            <w:vAlign w:val="center"/>
          </w:tcPr>
          <w:p>
            <w:r>
              <w:rPr>
                <w:sz w:val="19"/>
              </w:rPr>
              <w:t>288 x 288 pixels (preserves panicle spikelets)</w:t>
            </w:r>
          </w:p>
        </w:tc>
      </w:tr>
      <w:tr>
        <w:tc>
          <w:tcPr>
            <w:tcW w:type="dxa" w:w="3120"/>
            <w:shd w:fill="FFFFFF"/>
            <w:vAlign w:val="center"/>
          </w:tcPr>
          <w:p>
            <w:r>
              <w:rPr>
                <w:sz w:val="19"/>
              </w:rPr>
              <w:t>Augmentation Strategy</w:t>
            </w:r>
          </w:p>
        </w:tc>
        <w:tc>
          <w:tcPr>
            <w:tcW w:type="dxa" w:w="3120"/>
            <w:shd w:fill="FFFFFF"/>
            <w:vAlign w:val="center"/>
          </w:tcPr>
          <w:p>
            <w:r>
              <w:rPr>
                <w:sz w:val="19"/>
              </w:rPr>
              <w:t>Random Flips &amp; Color Jitter</w:t>
            </w:r>
          </w:p>
        </w:tc>
        <w:tc>
          <w:tcPr>
            <w:tcW w:type="dxa" w:w="3120"/>
            <w:shd w:fill="FFFFFF"/>
            <w:vAlign w:val="center"/>
          </w:tcPr>
          <w:p>
            <w:r>
              <w:rPr>
                <w:sz w:val="19"/>
              </w:rPr>
              <w:t>Random Flips, Jitter + Random Adjust Sharpness</w:t>
            </w:r>
          </w:p>
        </w:tc>
      </w:tr>
    </w:tbl>
    <w:p/>
    <w:p>
      <w:pPr>
        <w:pStyle w:val="Heading1"/>
      </w:pPr>
      <w:r>
        <w:rPr>
          <w:color w:val="2C3E50"/>
        </w:rPr>
        <w:t>4. Experimental Results &amp; Performance Evaluation</w:t>
      </w:r>
    </w:p>
    <w:p>
      <w:r>
        <w:t>Both models were evaluated on the fixed validation set and the unseen Field 2 test set (28,630 tiles). The primary metrics recorded are Overall Accuracy, Macro F1-Score, and Mean Absolute Stage Distance (MSD), which penalizes biologically implausible cross-stage predictions.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27AE60"/>
          </w:tcPr>
          <w:p>
            <w:pPr>
              <w:jc w:val="center"/>
            </w:pPr>
            <w:r>
              <w:rPr>
                <w:b/>
                <w:color w:val="FFFFFF"/>
                <w:sz w:val="20"/>
              </w:rPr>
              <w:t>Evaluation Benchmark</w:t>
            </w:r>
          </w:p>
        </w:tc>
        <w:tc>
          <w:tcPr>
            <w:tcW w:type="dxa" w:w="1872"/>
            <w:shd w:fill="27AE60"/>
          </w:tcPr>
          <w:p>
            <w:pPr>
              <w:jc w:val="center"/>
            </w:pPr>
            <w:r>
              <w:rPr>
                <w:b/>
                <w:color w:val="FFFFFF"/>
                <w:sz w:val="20"/>
              </w:rPr>
              <w:t>Model Architecture</w:t>
            </w:r>
          </w:p>
        </w:tc>
        <w:tc>
          <w:tcPr>
            <w:tcW w:type="dxa" w:w="1872"/>
            <w:shd w:fill="27AE60"/>
          </w:tcPr>
          <w:p>
            <w:pPr>
              <w:jc w:val="center"/>
            </w:pPr>
            <w:r>
              <w:rPr>
                <w:b/>
                <w:color w:val="FFFFFF"/>
                <w:sz w:val="20"/>
              </w:rPr>
              <w:t>Overall Accuracy</w:t>
            </w:r>
          </w:p>
        </w:tc>
        <w:tc>
          <w:tcPr>
            <w:tcW w:type="dxa" w:w="1872"/>
            <w:shd w:fill="27AE60"/>
          </w:tcPr>
          <w:p>
            <w:pPr>
              <w:jc w:val="center"/>
            </w:pPr>
            <w:r>
              <w:rPr>
                <w:b/>
                <w:color w:val="FFFFFF"/>
                <w:sz w:val="20"/>
              </w:rPr>
              <w:t>Macro F1-Score</w:t>
            </w:r>
          </w:p>
        </w:tc>
        <w:tc>
          <w:tcPr>
            <w:tcW w:type="dxa" w:w="1872"/>
            <w:shd w:fill="27AE60"/>
          </w:tcPr>
          <w:p>
            <w:pPr>
              <w:jc w:val="center"/>
            </w:pPr>
            <w:r>
              <w:rPr>
                <w:b/>
                <w:color w:val="FFFFFF"/>
                <w:sz w:val="20"/>
              </w:rPr>
              <w:t>Mean Stage Distance (MSD)</w:t>
            </w:r>
          </w:p>
        </w:tc>
      </w:tr>
      <w:tr>
        <w:tc>
          <w:tcPr>
            <w:tcW w:type="dxa" w:w="1872"/>
            <w:shd w:fill="F8F9F9"/>
            <w:vAlign w:val="center"/>
          </w:tcPr>
          <w:p>
            <w:r>
              <w:rPr>
                <w:sz w:val="19"/>
              </w:rPr>
              <w:t>Field 1 Validation Set</w:t>
            </w:r>
          </w:p>
        </w:tc>
        <w:tc>
          <w:tcPr>
            <w:tcW w:type="dxa" w:w="1872"/>
            <w:shd w:fill="F8F9F9"/>
            <w:vAlign w:val="center"/>
          </w:tcPr>
          <w:p>
            <w:r>
              <w:rPr>
                <w:sz w:val="19"/>
              </w:rPr>
              <w:t>Model 1: Baseline Frozen</w:t>
            </w:r>
          </w:p>
        </w:tc>
        <w:tc>
          <w:tcPr>
            <w:tcW w:type="dxa" w:w="1872"/>
            <w:shd w:fill="F8F9F9"/>
            <w:vAlign w:val="center"/>
          </w:tcPr>
          <w:p>
            <w:r>
              <w:rPr>
                <w:sz w:val="19"/>
              </w:rPr>
              <w:t>94.46%</w:t>
            </w:r>
          </w:p>
        </w:tc>
        <w:tc>
          <w:tcPr>
            <w:tcW w:type="dxa" w:w="1872"/>
            <w:shd w:fill="F8F9F9"/>
            <w:vAlign w:val="center"/>
          </w:tcPr>
          <w:p>
            <w:r>
              <w:rPr>
                <w:sz w:val="19"/>
              </w:rPr>
              <w:t>0.9466</w:t>
            </w:r>
          </w:p>
        </w:tc>
        <w:tc>
          <w:tcPr>
            <w:tcW w:type="dxa" w:w="1872"/>
            <w:shd w:fill="F8F9F9"/>
            <w:vAlign w:val="center"/>
          </w:tcPr>
          <w:p>
            <w:r>
              <w:rPr>
                <w:sz w:val="19"/>
              </w:rPr>
              <w:t>0.0669</w:t>
            </w:r>
          </w:p>
        </w:tc>
      </w:tr>
      <w:tr>
        <w:tc>
          <w:tcPr>
            <w:tcW w:type="dxa" w:w="1872"/>
            <w:shd w:fill="FFFFFF"/>
            <w:vAlign w:val="center"/>
          </w:tcPr>
          <w:p>
            <w:r>
              <w:rPr>
                <w:sz w:val="19"/>
              </w:rPr>
              <w:t>Field 1 Validation Set</w:t>
            </w:r>
          </w:p>
        </w:tc>
        <w:tc>
          <w:tcPr>
            <w:tcW w:type="dxa" w:w="1872"/>
            <w:shd w:fill="FFFFFF"/>
            <w:vAlign w:val="center"/>
          </w:tcPr>
          <w:p>
            <w:r>
              <w:rPr>
                <w:sz w:val="19"/>
              </w:rPr>
              <w:t>Model 2: Enhanced Fine-Tuned ANN</w:t>
            </w:r>
          </w:p>
        </w:tc>
        <w:tc>
          <w:tcPr>
            <w:tcW w:type="dxa" w:w="1872"/>
            <w:shd w:fill="FFFFFF"/>
            <w:vAlign w:val="center"/>
          </w:tcPr>
          <w:p>
            <w:r>
              <w:rPr>
                <w:sz w:val="19"/>
              </w:rPr>
              <w:t>97.80% (+3.34%)</w:t>
            </w:r>
          </w:p>
        </w:tc>
        <w:tc>
          <w:tcPr>
            <w:tcW w:type="dxa" w:w="1872"/>
            <w:shd w:fill="FFFFFF"/>
            <w:vAlign w:val="center"/>
          </w:tcPr>
          <w:p>
            <w:r>
              <w:rPr>
                <w:sz w:val="19"/>
              </w:rPr>
              <w:t>0.9789 (+0.032)</w:t>
            </w:r>
          </w:p>
        </w:tc>
        <w:tc>
          <w:tcPr>
            <w:tcW w:type="dxa" w:w="1872"/>
            <w:shd w:fill="FFFFFF"/>
            <w:vAlign w:val="center"/>
          </w:tcPr>
          <w:p>
            <w:r>
              <w:rPr>
                <w:sz w:val="19"/>
              </w:rPr>
              <w:t>0.0260 (-61% errors)</w:t>
            </w:r>
          </w:p>
        </w:tc>
      </w:tr>
      <w:tr>
        <w:tc>
          <w:tcPr>
            <w:tcW w:type="dxa" w:w="1872"/>
            <w:shd w:fill="F8F9F9"/>
            <w:vAlign w:val="center"/>
          </w:tcPr>
          <w:p>
            <w:r>
              <w:rPr>
                <w:sz w:val="19"/>
              </w:rPr>
              <w:t>Field 2 External Test Set</w:t>
            </w:r>
          </w:p>
        </w:tc>
        <w:tc>
          <w:tcPr>
            <w:tcW w:type="dxa" w:w="1872"/>
            <w:shd w:fill="F8F9F9"/>
            <w:vAlign w:val="center"/>
          </w:tcPr>
          <w:p>
            <w:r>
              <w:rPr>
                <w:sz w:val="19"/>
              </w:rPr>
              <w:t>Model 1: Baseline Frozen</w:t>
            </w:r>
          </w:p>
        </w:tc>
        <w:tc>
          <w:tcPr>
            <w:tcW w:type="dxa" w:w="1872"/>
            <w:shd w:fill="F8F9F9"/>
            <w:vAlign w:val="center"/>
          </w:tcPr>
          <w:p>
            <w:r>
              <w:rPr>
                <w:sz w:val="19"/>
              </w:rPr>
              <w:t>93.03%</w:t>
            </w:r>
          </w:p>
        </w:tc>
        <w:tc>
          <w:tcPr>
            <w:tcW w:type="dxa" w:w="1872"/>
            <w:shd w:fill="F8F9F9"/>
            <w:vAlign w:val="center"/>
          </w:tcPr>
          <w:p>
            <w:r>
              <w:rPr>
                <w:sz w:val="19"/>
              </w:rPr>
              <w:t>0.9343</w:t>
            </w:r>
          </w:p>
        </w:tc>
        <w:tc>
          <w:tcPr>
            <w:tcW w:type="dxa" w:w="1872"/>
            <w:shd w:fill="F8F9F9"/>
            <w:vAlign w:val="center"/>
          </w:tcPr>
          <w:p>
            <w:r>
              <w:rPr>
                <w:sz w:val="19"/>
              </w:rPr>
              <w:t>0.0711</w:t>
            </w:r>
          </w:p>
        </w:tc>
      </w:tr>
      <w:tr>
        <w:tc>
          <w:tcPr>
            <w:tcW w:type="dxa" w:w="1872"/>
            <w:shd w:fill="FFFFFF"/>
            <w:vAlign w:val="center"/>
          </w:tcPr>
          <w:p>
            <w:r>
              <w:rPr>
                <w:sz w:val="19"/>
              </w:rPr>
              <w:t>Field 2 External Test Set</w:t>
            </w:r>
          </w:p>
        </w:tc>
        <w:tc>
          <w:tcPr>
            <w:tcW w:type="dxa" w:w="1872"/>
            <w:shd w:fill="FFFFFF"/>
            <w:vAlign w:val="center"/>
          </w:tcPr>
          <w:p>
            <w:r>
              <w:rPr>
                <w:sz w:val="19"/>
              </w:rPr>
              <w:t>Model 2: Enhanced Fine-Tuned ANN</w:t>
            </w:r>
          </w:p>
        </w:tc>
        <w:tc>
          <w:tcPr>
            <w:tcW w:type="dxa" w:w="1872"/>
            <w:shd w:fill="FFFFFF"/>
            <w:vAlign w:val="center"/>
          </w:tcPr>
          <w:p>
            <w:r>
              <w:rPr>
                <w:sz w:val="19"/>
              </w:rPr>
              <w:t>97.02% (+3.99%)</w:t>
            </w:r>
          </w:p>
        </w:tc>
        <w:tc>
          <w:tcPr>
            <w:tcW w:type="dxa" w:w="1872"/>
            <w:shd w:fill="FFFFFF"/>
            <w:vAlign w:val="center"/>
          </w:tcPr>
          <w:p>
            <w:r>
              <w:rPr>
                <w:sz w:val="19"/>
              </w:rPr>
              <w:t>0.9725 (+0.038)</w:t>
            </w:r>
          </w:p>
        </w:tc>
        <w:tc>
          <w:tcPr>
            <w:tcW w:type="dxa" w:w="1872"/>
            <w:shd w:fill="FFFFFF"/>
            <w:vAlign w:val="center"/>
          </w:tcPr>
          <w:p>
            <w:r>
              <w:rPr>
                <w:sz w:val="19"/>
              </w:rPr>
              <w:t>0.0299 (-58% errors)</w:t>
            </w:r>
          </w:p>
        </w:tc>
      </w:tr>
    </w:tbl>
    <w:p/>
    <w:p>
      <w:pPr>
        <w:pStyle w:val="Heading2"/>
      </w:pPr>
      <w:r>
        <w:t>Model 1 Per-Class Breakdown (Held-Out Field 2 Test Set)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2C3E50"/>
          </w:tcPr>
          <w:p>
            <w:pPr>
              <w:jc w:val="center"/>
            </w:pPr>
            <w:r>
              <w:rPr>
                <w:b/>
                <w:color w:val="FFFFFF"/>
                <w:sz w:val="20"/>
              </w:rPr>
              <w:t>Growth Stage</w:t>
            </w:r>
          </w:p>
        </w:tc>
        <w:tc>
          <w:tcPr>
            <w:tcW w:type="dxa" w:w="1872"/>
            <w:shd w:fill="2C3E50"/>
          </w:tcPr>
          <w:p>
            <w:pPr>
              <w:jc w:val="center"/>
            </w:pPr>
            <w:r>
              <w:rPr>
                <w:b/>
                <w:color w:val="FFFFFF"/>
                <w:sz w:val="20"/>
              </w:rPr>
              <w:t>Precision</w:t>
            </w:r>
          </w:p>
        </w:tc>
        <w:tc>
          <w:tcPr>
            <w:tcW w:type="dxa" w:w="1872"/>
            <w:shd w:fill="2C3E50"/>
          </w:tcPr>
          <w:p>
            <w:pPr>
              <w:jc w:val="center"/>
            </w:pPr>
            <w:r>
              <w:rPr>
                <w:b/>
                <w:color w:val="FFFFFF"/>
                <w:sz w:val="20"/>
              </w:rPr>
              <w:t>Recall</w:t>
            </w:r>
          </w:p>
        </w:tc>
        <w:tc>
          <w:tcPr>
            <w:tcW w:type="dxa" w:w="1872"/>
            <w:shd w:fill="2C3E50"/>
          </w:tcPr>
          <w:p>
            <w:pPr>
              <w:jc w:val="center"/>
            </w:pPr>
            <w:r>
              <w:rPr>
                <w:b/>
                <w:color w:val="FFFFFF"/>
                <w:sz w:val="20"/>
              </w:rPr>
              <w:t>F1-Score</w:t>
            </w:r>
          </w:p>
        </w:tc>
        <w:tc>
          <w:tcPr>
            <w:tcW w:type="dxa" w:w="1872"/>
            <w:shd w:fill="2C3E50"/>
          </w:tcPr>
          <w:p>
            <w:pPr>
              <w:jc w:val="center"/>
            </w:pPr>
            <w:r>
              <w:rPr>
                <w:b/>
                <w:color w:val="FFFFFF"/>
                <w:sz w:val="20"/>
              </w:rPr>
              <w:t>Support (Tiles)</w:t>
            </w:r>
          </w:p>
        </w:tc>
      </w:tr>
      <w:tr>
        <w:tc>
          <w:tcPr>
            <w:tcW w:type="dxa" w:w="1872"/>
            <w:shd w:fill="F8F9F9"/>
            <w:vAlign w:val="center"/>
          </w:tcPr>
          <w:p>
            <w:r>
              <w:rPr>
                <w:sz w:val="19"/>
              </w:rPr>
              <w:t>Seedling</w:t>
            </w:r>
          </w:p>
        </w:tc>
        <w:tc>
          <w:tcPr>
            <w:tcW w:type="dxa" w:w="1872"/>
            <w:shd w:fill="F8F9F9"/>
            <w:vAlign w:val="center"/>
          </w:tcPr>
          <w:p>
            <w:r>
              <w:rPr>
                <w:sz w:val="19"/>
              </w:rPr>
              <w:t>99.35%</w:t>
            </w:r>
          </w:p>
        </w:tc>
        <w:tc>
          <w:tcPr>
            <w:tcW w:type="dxa" w:w="1872"/>
            <w:shd w:fill="F8F9F9"/>
            <w:vAlign w:val="center"/>
          </w:tcPr>
          <w:p>
            <w:r>
              <w:rPr>
                <w:sz w:val="19"/>
              </w:rPr>
              <w:t>99.58%</w:t>
            </w:r>
          </w:p>
        </w:tc>
        <w:tc>
          <w:tcPr>
            <w:tcW w:type="dxa" w:w="1872"/>
            <w:shd w:fill="F8F9F9"/>
            <w:vAlign w:val="center"/>
          </w:tcPr>
          <w:p>
            <w:r>
              <w:rPr>
                <w:sz w:val="19"/>
              </w:rPr>
              <w:t>0.9946</w:t>
            </w:r>
          </w:p>
        </w:tc>
        <w:tc>
          <w:tcPr>
            <w:tcW w:type="dxa" w:w="1872"/>
            <w:shd w:fill="F8F9F9"/>
            <w:vAlign w:val="center"/>
          </w:tcPr>
          <w:p>
            <w:r>
              <w:rPr>
                <w:sz w:val="19"/>
              </w:rPr>
              <w:t>5,670</w:t>
            </w:r>
          </w:p>
        </w:tc>
      </w:tr>
      <w:tr>
        <w:tc>
          <w:tcPr>
            <w:tcW w:type="dxa" w:w="1872"/>
            <w:shd w:fill="FFFFFF"/>
            <w:vAlign w:val="center"/>
          </w:tcPr>
          <w:p>
            <w:r>
              <w:rPr>
                <w:sz w:val="19"/>
              </w:rPr>
              <w:t>Vegetative</w:t>
            </w:r>
          </w:p>
        </w:tc>
        <w:tc>
          <w:tcPr>
            <w:tcW w:type="dxa" w:w="1872"/>
            <w:shd w:fill="FFFFFF"/>
            <w:vAlign w:val="center"/>
          </w:tcPr>
          <w:p>
            <w:r>
              <w:rPr>
                <w:sz w:val="19"/>
              </w:rPr>
              <w:t>83.32%</w:t>
            </w:r>
          </w:p>
        </w:tc>
        <w:tc>
          <w:tcPr>
            <w:tcW w:type="dxa" w:w="1872"/>
            <w:shd w:fill="FFFFFF"/>
            <w:vAlign w:val="center"/>
          </w:tcPr>
          <w:p>
            <w:r>
              <w:rPr>
                <w:sz w:val="19"/>
              </w:rPr>
              <w:t>83.78%</w:t>
            </w:r>
          </w:p>
        </w:tc>
        <w:tc>
          <w:tcPr>
            <w:tcW w:type="dxa" w:w="1872"/>
            <w:shd w:fill="FFFFFF"/>
            <w:vAlign w:val="center"/>
          </w:tcPr>
          <w:p>
            <w:r>
              <w:rPr>
                <w:sz w:val="19"/>
              </w:rPr>
              <w:t>0.8355</w:t>
            </w:r>
          </w:p>
        </w:tc>
        <w:tc>
          <w:tcPr>
            <w:tcW w:type="dxa" w:w="1872"/>
            <w:shd w:fill="FFFFFF"/>
            <w:vAlign w:val="center"/>
          </w:tcPr>
          <w:p>
            <w:r>
              <w:rPr>
                <w:sz w:val="19"/>
              </w:rPr>
              <w:t>5,740</w:t>
            </w:r>
          </w:p>
        </w:tc>
      </w:tr>
      <w:tr>
        <w:tc>
          <w:tcPr>
            <w:tcW w:type="dxa" w:w="1872"/>
            <w:shd w:fill="F8F9F9"/>
            <w:vAlign w:val="center"/>
          </w:tcPr>
          <w:p>
            <w:r>
              <w:rPr>
                <w:sz w:val="19"/>
              </w:rPr>
              <w:t>Flowering</w:t>
            </w:r>
          </w:p>
        </w:tc>
        <w:tc>
          <w:tcPr>
            <w:tcW w:type="dxa" w:w="1872"/>
            <w:shd w:fill="F8F9F9"/>
            <w:vAlign w:val="center"/>
          </w:tcPr>
          <w:p>
            <w:r>
              <w:rPr>
                <w:sz w:val="19"/>
              </w:rPr>
              <w:t>91.86%</w:t>
            </w:r>
          </w:p>
        </w:tc>
        <w:tc>
          <w:tcPr>
            <w:tcW w:type="dxa" w:w="1872"/>
            <w:shd w:fill="F8F9F9"/>
            <w:vAlign w:val="center"/>
          </w:tcPr>
          <w:p>
            <w:r>
              <w:rPr>
                <w:sz w:val="19"/>
              </w:rPr>
              <w:t>91.17%</w:t>
            </w:r>
          </w:p>
        </w:tc>
        <w:tc>
          <w:tcPr>
            <w:tcW w:type="dxa" w:w="1872"/>
            <w:shd w:fill="F8F9F9"/>
            <w:vAlign w:val="center"/>
          </w:tcPr>
          <w:p>
            <w:r>
              <w:rPr>
                <w:sz w:val="19"/>
              </w:rPr>
              <w:t>0.9151</w:t>
            </w:r>
          </w:p>
        </w:tc>
        <w:tc>
          <w:tcPr>
            <w:tcW w:type="dxa" w:w="1872"/>
            <w:shd w:fill="F8F9F9"/>
            <w:vAlign w:val="center"/>
          </w:tcPr>
          <w:p>
            <w:r>
              <w:rPr>
                <w:sz w:val="19"/>
              </w:rPr>
              <w:t>11,480</w:t>
            </w:r>
          </w:p>
        </w:tc>
      </w:tr>
      <w:tr>
        <w:tc>
          <w:tcPr>
            <w:tcW w:type="dxa" w:w="1872"/>
            <w:shd w:fill="FFFFFF"/>
            <w:vAlign w:val="center"/>
          </w:tcPr>
          <w:p>
            <w:r>
              <w:rPr>
                <w:sz w:val="19"/>
              </w:rPr>
              <w:t>Mature</w:t>
            </w:r>
          </w:p>
        </w:tc>
        <w:tc>
          <w:tcPr>
            <w:tcW w:type="dxa" w:w="1872"/>
            <w:shd w:fill="FFFFFF"/>
            <w:vAlign w:val="center"/>
          </w:tcPr>
          <w:p>
            <w:r>
              <w:rPr>
                <w:sz w:val="19"/>
              </w:rPr>
              <w:t>98.84%</w:t>
            </w:r>
          </w:p>
        </w:tc>
        <w:tc>
          <w:tcPr>
            <w:tcW w:type="dxa" w:w="1872"/>
            <w:shd w:fill="FFFFFF"/>
            <w:vAlign w:val="center"/>
          </w:tcPr>
          <w:p>
            <w:r>
              <w:rPr>
                <w:sz w:val="19"/>
              </w:rPr>
              <w:t>99.55%</w:t>
            </w:r>
          </w:p>
        </w:tc>
        <w:tc>
          <w:tcPr>
            <w:tcW w:type="dxa" w:w="1872"/>
            <w:shd w:fill="FFFFFF"/>
            <w:vAlign w:val="center"/>
          </w:tcPr>
          <w:p>
            <w:r>
              <w:rPr>
                <w:sz w:val="19"/>
              </w:rPr>
              <w:t>0.9919</w:t>
            </w:r>
          </w:p>
        </w:tc>
        <w:tc>
          <w:tcPr>
            <w:tcW w:type="dxa" w:w="1872"/>
            <w:shd w:fill="FFFFFF"/>
            <w:vAlign w:val="center"/>
          </w:tcPr>
          <w:p>
            <w:r>
              <w:rPr>
                <w:sz w:val="19"/>
              </w:rPr>
              <w:t>5,740</w:t>
            </w:r>
          </w:p>
        </w:tc>
      </w:tr>
    </w:tbl>
    <w:p/>
    <w:p>
      <w:pPr>
        <w:pStyle w:val="Heading1"/>
      </w:pPr>
      <w:r>
        <w:rPr>
          <w:color w:val="2C3E50"/>
        </w:rPr>
        <w:t>5. Confusion Matrix Visualizations</w:t>
      </w:r>
    </w:p>
    <w:p>
      <w:pPr>
        <w:pStyle w:val="Heading2"/>
      </w:pPr>
      <w:r>
        <w:t>Model 1 (Baseline Frozen) - Field 2 Test Set Confusion Matrix:</w:t>
      </w:r>
    </w:p>
    <w:p>
      <w:r>
        <w:drawing>
          <wp:inline xmlns:a="http://schemas.openxmlformats.org/drawingml/2006/main" xmlns:pic="http://schemas.openxmlformats.org/drawingml/2006/picture">
            <wp:extent cx="5486400" cy="2351314"/>
            <wp:docPr id="1" name="Picture 1"/>
            <wp:cNvGraphicFramePr>
              <a:graphicFrameLocks noChangeAspect="1"/>
            </wp:cNvGraphicFramePr>
            <a:graphic>
              <a:graphicData uri="http://schemas.openxmlformats.org/drawingml/2006/picture">
                <pic:pic>
                  <pic:nvPicPr>
                    <pic:cNvPr id="0" name="confusion_matrix_test.png"/>
                    <pic:cNvPicPr/>
                  </pic:nvPicPr>
                  <pic:blipFill>
                    <a:blip r:embed="rId9"/>
                    <a:stretch>
                      <a:fillRect/>
                    </a:stretch>
                  </pic:blipFill>
                  <pic:spPr>
                    <a:xfrm>
                      <a:off x="0" y="0"/>
                      <a:ext cx="5486400" cy="2351314"/>
                    </a:xfrm>
                    <a:prstGeom prst="rect"/>
                  </pic:spPr>
                </pic:pic>
              </a:graphicData>
            </a:graphic>
          </wp:inline>
        </w:drawing>
      </w:r>
    </w:p>
    <w:p>
      <w:pPr>
        <w:jc w:val="center"/>
      </w:pPr>
      <w:r>
        <w:rPr>
          <w:i/>
          <w:sz w:val="18"/>
        </w:rPr>
        <w:t>Figure 1: Field 2 Test Set Confusion Matrix Heatmap (Model 1 Baseline: 93.03% Accuracy)</w:t>
      </w:r>
    </w:p>
    <w:p>
      <w:pPr>
        <w:pStyle w:val="Heading2"/>
      </w:pPr>
      <w:r>
        <w:t>Model 2 (Enhanced Fine-Tuned ANN) - Field 2 Test Set Confusion Matrix:</w:t>
      </w:r>
    </w:p>
    <w:p>
      <w:r>
        <w:drawing>
          <wp:inline xmlns:a="http://schemas.openxmlformats.org/drawingml/2006/main" xmlns:pic="http://schemas.openxmlformats.org/drawingml/2006/picture">
            <wp:extent cx="4572000" cy="1959429"/>
            <wp:docPr id="2" name="Picture 2"/>
            <wp:cNvGraphicFramePr>
              <a:graphicFrameLocks noChangeAspect="1"/>
            </wp:cNvGraphicFramePr>
            <a:graphic>
              <a:graphicData uri="http://schemas.openxmlformats.org/drawingml/2006/picture">
                <pic:pic>
                  <pic:nvPicPr>
                    <pic:cNvPr id="0" name="confusion_matrix_enhanced_test.png"/>
                    <pic:cNvPicPr/>
                  </pic:nvPicPr>
                  <pic:blipFill>
                    <a:blip r:embed="rId10"/>
                    <a:stretch>
                      <a:fillRect/>
                    </a:stretch>
                  </pic:blipFill>
                  <pic:spPr>
                    <a:xfrm>
                      <a:off x="0" y="0"/>
                      <a:ext cx="4572000" cy="1959429"/>
                    </a:xfrm>
                    <a:prstGeom prst="rect"/>
                  </pic:spPr>
                </pic:pic>
              </a:graphicData>
            </a:graphic>
          </wp:inline>
        </w:drawing>
      </w:r>
    </w:p>
    <w:p>
      <w:pPr>
        <w:jc w:val="center"/>
      </w:pPr>
      <w:r>
        <w:rPr>
          <w:i/>
          <w:sz w:val="18"/>
        </w:rPr>
        <w:t>Figure 2: Field 2 Test Set Confusion Matrix Heatmap (Model 2 Enhanced ANN: 97.02% Accuracy)</w:t>
      </w:r>
    </w:p>
    <w:p/>
    <w:p>
      <w:pPr>
        <w:pStyle w:val="Heading1"/>
      </w:pPr>
      <w:r>
        <w:rPr>
          <w:color w:val="2C3E50"/>
        </w:rPr>
        <w:t>6. Mathematical Formulations</w:t>
      </w:r>
    </w:p>
    <w:p>
      <w:r>
        <w:t>1. Square-Root Damped Class Weighting Formula:</w:t>
        <w:br/>
        <w:t xml:space="preserve">   w_c = sqrt( max_j(N_j) / N_c )</w:t>
        <w:br/>
        <w:t xml:space="preserve">   Computed Weights: Seedling = 1.3853, Vegetative = 1.4142, Flowering = 1.0000, Mature = 1.3750</w:t>
        <w:br/>
        <w:br/>
        <w:t>2. Focal Loss Formulation (Used in Model 2):</w:t>
        <w:br/>
        <w:t xml:space="preserve">   FL(p_t) = - alpha_t * (1 - p_t)^gamma * log(p_t)</w:t>
        <w:br/>
        <w:t xml:space="preserve">   where gamma = 2.0 concentrates gradient backpropagation on ambiguous Vegetative vs Flowering tiles.</w:t>
        <w:br/>
        <w:br/>
        <w:t>3. Mean Absolute Stage Distance (Ordinal Stage Error):</w:t>
        <w:br/>
        <w:t xml:space="preserve">   MSD = (1 / N) * sum( | Rank(y_pred) - Rank(y_true) | )</w:t>
        <w:br/>
        <w:t xml:space="preserve">   where Rank in {0: Seedling, 1: Vegetative, 2: Flowering, 3: Mature}.</w:t>
        <w:br/>
        <w:br/>
        <w:t>4. Macro F1-Score:</w:t>
        <w:br/>
        <w:t xml:space="preserve">   Macro-F1 = (1 / K) * sum( (2 * Precision_c * Recall_c) / (Precision_c + Recall_c) )</w:t>
      </w:r>
    </w:p>
    <w:p>
      <w:pPr>
        <w:pStyle w:val="Heading1"/>
      </w:pPr>
      <w:r>
        <w:rPr>
          <w:color w:val="2C3E50"/>
        </w:rPr>
        <w:t>7. Conclusion &amp; Next Steps</w:t>
      </w:r>
    </w:p>
    <w:p>
      <w:r>
        <w:t>1. Model 1 proved that transfer learning on frozen ImageNet features yields &gt;99% accuracy on Seedling and Mature stages, with an overall test accuracy of 93.03% on an unseen farm field.</w:t>
        <w:br/>
        <w:t>2. Model 2 successfully resolved the Vegetative vs Flowering boundary by unfreezing deep convolutional filters, introducing an ANN Multi-Layer classification head, and employing Focal Loss — pushing Validation Accuracy to 96.20% and reducing biological stage errors by 35% on Epoch 1 alone.</w:t>
        <w:br/>
        <w:t>3. Checkpoints and evaluation charts are permanently preserved in the checkpoints/ and eval_results/ directories.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