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Shilabs AI Sales Automation System</w:t>
      </w:r>
    </w:p>
    <w:p>
      <w:pPr>
        <w:jc w:val="center"/>
      </w:pPr>
      <w:r>
        <w:rPr>
          <w:i/>
          <w:color w:val="666666"/>
          <w:sz w:val="22"/>
        </w:rPr>
        <w:t>Final Product Requirements Specification (Revised)</w:t>
      </w:r>
    </w:p>
    <w:p>
      <w:pPr>
        <w:jc w:val="center"/>
      </w:pPr>
      <w:r>
        <w:rPr>
          <w:color w:val="777777"/>
          <w:sz w:val="18"/>
        </w:rPr>
        <w:t>Authoritative revision based on client requirements meeting</w:t>
      </w:r>
    </w:p>
    <w:p/>
    <w:p>
      <w:pPr>
        <w:pStyle w:val="Heading1"/>
      </w:pPr>
      <w:r>
        <w:t>1. Authority and Product Direction</w:t>
      </w:r>
    </w:p>
    <w:p>
      <w:r>
        <w:t>This document is the current product baseline. The client meeting is the primary source of truth. The client's earlier ChatGPT discussion is treated as initial ideation and is retained only where it does not conflict with the meeting. The product will first integrate with the client's existing Zoho Bigin CRM through a connector; a standalone Shilabs CRM is not Phase 1 scope.</w:t>
      </w:r>
    </w:p>
    <w:p>
      <w:pPr>
        <w:pStyle w:val="Heading1"/>
      </w:pPr>
      <w:r>
        <w:t>2. Product Objective</w:t>
      </w:r>
    </w:p>
    <w:p>
      <w:r>
        <w:t>Build a production-ready AI sales automation layer that performs repetitive sales work in the background while keeping Zoho Bigin synchronized. Human sales engineers should intervene mainly for proposal approval, negotiation, meetings, and explicit manual takeover. Runtime flows must use real persisted data and real configured integrations; mock/demo business data is prohibited outside automated tests.</w:t>
      </w:r>
    </w:p>
    <w:p>
      <w:pPr>
        <w:pStyle w:val="Heading1"/>
      </w:pPr>
      <w:r>
        <w:t>3. Phase 1 Scope</w:t>
      </w:r>
    </w:p>
    <w:p>
      <w:pPr>
        <w:pStyle w:val="ListBullet"/>
      </w:pPr>
      <w:r>
        <w:t>Zoho Bigin connector for leads, contacts, deals, timeline activities, communications, proposals and meetings.</w:t>
      </w:r>
    </w:p>
    <w:p>
      <w:pPr>
        <w:pStyle w:val="ListBullet"/>
      </w:pPr>
      <w:r>
        <w:t>AI email generation and sending, including automatic first contact and persistent follow-up.</w:t>
      </w:r>
    </w:p>
    <w:p>
      <w:pPr>
        <w:pStyle w:val="ListBullet"/>
      </w:pPr>
      <w:r>
        <w:t>Inbound reply understanding and context-aware AI response drafting.</w:t>
      </w:r>
    </w:p>
    <w:p>
      <w:pPr>
        <w:pStyle w:val="ListBullet"/>
      </w:pPr>
      <w:r>
        <w:t>AI calling workflow with retry, voicemail and regional voice/accent capability through an approved provider.</w:t>
      </w:r>
    </w:p>
    <w:p>
      <w:pPr>
        <w:pStyle w:val="ListBullet"/>
      </w:pPr>
      <w:r>
        <w:t>WhatsApp messaging associated with calling/follow-up workflows.</w:t>
      </w:r>
    </w:p>
    <w:p>
      <w:pPr>
        <w:pStyle w:val="ListBullet"/>
      </w:pPr>
      <w:r>
        <w:t>Proposal generation for service-specific scenarios, including SEO and web/design workflows.</w:t>
      </w:r>
    </w:p>
    <w:p>
      <w:pPr>
        <w:pStyle w:val="ListBullet"/>
      </w:pPr>
      <w:r>
        <w:t>Human proposal review/edit/approval gate before any proposal is sent.</w:t>
      </w:r>
    </w:p>
    <w:p>
      <w:pPr>
        <w:pStyle w:val="ListBullet"/>
      </w:pPr>
      <w:r>
        <w:t>Human-only negotiation handoff.</w:t>
      </w:r>
    </w:p>
    <w:p>
      <w:pPr>
        <w:pStyle w:val="ListBullet"/>
      </w:pPr>
      <w:r>
        <w:t>Meeting scheduling based on assigned engineer/account-owner availability and confirmation.</w:t>
      </w:r>
    </w:p>
    <w:p>
      <w:pPr>
        <w:pStyle w:val="ListBullet"/>
      </w:pPr>
      <w:r>
        <w:t>Email deliverability monitoring and suppression of invalid/bounced/unsafe addresses.</w:t>
      </w:r>
    </w:p>
    <w:p>
      <w:pPr>
        <w:pStyle w:val="ListBullet"/>
      </w:pPr>
      <w:r>
        <w:t>Sales engineer action dashboard focused on approvals, appointments, meetings and alerts.</w:t>
      </w:r>
    </w:p>
    <w:p>
      <w:pPr>
        <w:pStyle w:val="ListBullet"/>
      </w:pPr>
      <w:r>
        <w:t>Operational monitoring: integration failures, job failures and usage/cost visibility.</w:t>
      </w:r>
    </w:p>
    <w:p>
      <w:pPr>
        <w:pStyle w:val="ListBullet"/>
      </w:pPr>
      <w:r>
        <w:t>Knowledge/training/feedback mechanisms so agent behavior can be corrected and improved.</w:t>
      </w:r>
    </w:p>
    <w:p>
      <w:pPr>
        <w:pStyle w:val="Heading1"/>
      </w:pPr>
      <w:r>
        <w:t>4. Explicitly Out of Scope for Phase 1</w:t>
      </w:r>
    </w:p>
    <w:p>
      <w:pPr>
        <w:pStyle w:val="ListBullet"/>
      </w:pPr>
      <w:r>
        <w:t>Replacing Zoho Bigin with a new CRM.</w:t>
      </w:r>
    </w:p>
    <w:p>
      <w:pPr>
        <w:pStyle w:val="ListBullet"/>
      </w:pPr>
      <w:r>
        <w:t>Hunter/cold-outreach agent and 5,000-10,000 emails/day blasting infrastructure.</w:t>
      </w:r>
    </w:p>
    <w:p>
      <w:pPr>
        <w:pStyle w:val="ListBullet"/>
      </w:pPr>
      <w:r>
        <w:t>Marketing blast replacement for Mailchimp or equivalent.</w:t>
      </w:r>
    </w:p>
    <w:p>
      <w:pPr>
        <w:pStyle w:val="ListBullet"/>
      </w:pPr>
      <w:r>
        <w:t>Any autonomous AI negotiation without a human.</w:t>
      </w:r>
    </w:p>
    <w:p>
      <w:pPr>
        <w:pStyle w:val="ListBullet"/>
      </w:pPr>
      <w:r>
        <w:t>Sending an AI-generated proposal without human approval.</w:t>
      </w:r>
    </w:p>
    <w:p>
      <w:pPr>
        <w:pStyle w:val="Heading1"/>
      </w:pPr>
      <w:r>
        <w:t>5. Core Business Flow</w:t>
      </w:r>
    </w:p>
    <w:p>
      <w:pPr>
        <w:pStyle w:val="ListNumber"/>
      </w:pPr>
      <w:r>
        <w:t>Lead arrives from Zoho Bigin / Meta-Facebook Ads / manual entry / referral or another approved source.</w:t>
      </w:r>
    </w:p>
    <w:p>
      <w:pPr>
        <w:pStyle w:val="ListNumber"/>
      </w:pPr>
      <w:r>
        <w:t>Connector imports or maps the lead and creates/updates local automation state.</w:t>
      </w:r>
    </w:p>
    <w:p>
      <w:pPr>
        <w:pStyle w:val="ListNumber"/>
      </w:pPr>
      <w:r>
        <w:t>System validates contactability and required lead data.</w:t>
      </w:r>
    </w:p>
    <w:p>
      <w:pPr>
        <w:pStyle w:val="ListNumber"/>
      </w:pPr>
      <w:r>
        <w:t>AI prepares and sends the first personalized email through the configured transactional email channel.</w:t>
      </w:r>
    </w:p>
    <w:p>
      <w:pPr>
        <w:pStyle w:val="ListNumber"/>
      </w:pPr>
      <w:r>
        <w:t>If no response, follow-up workflow runs using configured cadence (meeting requirement: Day 1, Day 5, Day 9).</w:t>
      </w:r>
    </w:p>
    <w:p>
      <w:pPr>
        <w:pStyle w:val="ListNumber"/>
      </w:pPr>
      <w:r>
        <w:t>After the configured failed email sequence, calling workflow is triggered; WhatsApp can be sent alongside the call attempt.</w:t>
      </w:r>
    </w:p>
    <w:p>
      <w:pPr>
        <w:pStyle w:val="ListNumber"/>
      </w:pPr>
      <w:r>
        <w:t>Inbound replies/call outcomes update the lead context. Explicit No stops automation. Positive interest advances the sales flow.</w:t>
      </w:r>
    </w:p>
    <w:p>
      <w:pPr>
        <w:pStyle w:val="ListNumber"/>
      </w:pPr>
      <w:r>
        <w:t>If a proposal is required, the relevant proposal agent gathers context/tool data and generates a draft.</w:t>
      </w:r>
    </w:p>
    <w:p>
      <w:pPr>
        <w:pStyle w:val="ListNumber"/>
      </w:pPr>
      <w:r>
        <w:t>Proposal enters Waiting for Approval. Sales engineer can review, edit, reject/regenerate or approve according to finalized rules.</w:t>
      </w:r>
    </w:p>
    <w:p>
      <w:pPr>
        <w:pStyle w:val="ListNumber"/>
      </w:pPr>
      <w:r>
        <w:t>Only after approval does the system send the proposal and resume follow-up.</w:t>
      </w:r>
    </w:p>
    <w:p>
      <w:pPr>
        <w:pStyle w:val="ListNumber"/>
      </w:pPr>
      <w:r>
        <w:t>Negotiation request causes human takeover/notification; AI must not negotiate.</w:t>
      </w:r>
    </w:p>
    <w:p>
      <w:pPr>
        <w:pStyle w:val="ListNumber"/>
      </w:pPr>
      <w:r>
        <w:t>Meeting requests trigger availability checking and confirmation before finalization.</w:t>
      </w:r>
    </w:p>
    <w:p>
      <w:pPr>
        <w:pStyle w:val="ListNumber"/>
      </w:pPr>
      <w:r>
        <w:t>Every material event is persisted locally for orchestration/audit and synchronized to Zoho Bigin where supported.</w:t>
      </w:r>
    </w:p>
    <w:p>
      <w:pPr>
        <w:pStyle w:val="Heading1"/>
      </w:pPr>
      <w:r>
        <w:t>6. AI Agent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7"/>
              </w:rPr>
              <w:t>Agent / Capability</w:t>
            </w:r>
          </w:p>
        </w:tc>
        <w:tc>
          <w:tcPr>
            <w:tcW w:type="dxa" w:w="3360"/>
            <w:shd w:fill="D9EAF7"/>
            <w:vAlign w:val="center"/>
          </w:tcPr>
          <w:p>
            <w:r>
              <w:rPr>
                <w:b/>
                <w:sz w:val="17"/>
              </w:rPr>
              <w:t>Primary responsibility</w:t>
            </w:r>
          </w:p>
        </w:tc>
        <w:tc>
          <w:tcPr>
            <w:tcW w:type="dxa" w:w="3360"/>
            <w:shd w:fill="D9EAF7"/>
            <w:vAlign w:val="center"/>
          </w:tcPr>
          <w:p>
            <w:r>
              <w:rPr>
                <w:b/>
                <w:sz w:val="17"/>
              </w:rPr>
              <w:t>Human gate / constraint</w:t>
            </w:r>
          </w:p>
        </w:tc>
      </w:tr>
      <w:tr>
        <w:tc>
          <w:tcPr>
            <w:tcW w:type="dxa" w:w="3360"/>
            <w:tcMar>
              <w:top w:w="90" w:type="dxa"/>
              <w:start w:w="90" w:type="dxa"/>
              <w:bottom w:w="90" w:type="dxa"/>
              <w:end w:w="90" w:type="dxa"/>
            </w:tcMar>
            <w:vAlign w:val="top"/>
          </w:tcPr>
          <w:p>
            <w:r>
              <w:rPr>
                <w:sz w:val="16"/>
              </w:rPr>
              <w:t>Follow-up Agent</w:t>
            </w:r>
          </w:p>
        </w:tc>
        <w:tc>
          <w:tcPr>
            <w:tcW w:type="dxa" w:w="3360"/>
            <w:tcMar>
              <w:top w:w="90" w:type="dxa"/>
              <w:start w:w="90" w:type="dxa"/>
              <w:bottom w:w="90" w:type="dxa"/>
              <w:end w:w="90" w:type="dxa"/>
            </w:tcMar>
            <w:vAlign w:val="top"/>
          </w:tcPr>
          <w:p>
            <w:r>
              <w:rPr>
                <w:sz w:val="16"/>
              </w:rPr>
              <w:t>Runs personalized follow-up sequences and stops/pauses based on state.</w:t>
            </w:r>
          </w:p>
        </w:tc>
        <w:tc>
          <w:tcPr>
            <w:tcW w:type="dxa" w:w="3360"/>
            <w:tcMar>
              <w:top w:w="90" w:type="dxa"/>
              <w:start w:w="90" w:type="dxa"/>
              <w:bottom w:w="90" w:type="dxa"/>
              <w:end w:w="90" w:type="dxa"/>
            </w:tcMar>
            <w:vAlign w:val="top"/>
          </w:tcPr>
          <w:p>
            <w:r>
              <w:rPr>
                <w:sz w:val="16"/>
              </w:rPr>
              <w:t>Must respect suppression, No status and human takeover.</w:t>
            </w:r>
          </w:p>
        </w:tc>
      </w:tr>
      <w:tr>
        <w:tc>
          <w:tcPr>
            <w:tcW w:type="dxa" w:w="3360"/>
            <w:tcMar>
              <w:top w:w="90" w:type="dxa"/>
              <w:start w:w="90" w:type="dxa"/>
              <w:bottom w:w="90" w:type="dxa"/>
              <w:end w:w="90" w:type="dxa"/>
            </w:tcMar>
            <w:vAlign w:val="top"/>
          </w:tcPr>
          <w:p>
            <w:r>
              <w:rPr>
                <w:sz w:val="16"/>
              </w:rPr>
              <w:t>Email Agent</w:t>
            </w:r>
          </w:p>
        </w:tc>
        <w:tc>
          <w:tcPr>
            <w:tcW w:type="dxa" w:w="3360"/>
            <w:tcMar>
              <w:top w:w="90" w:type="dxa"/>
              <w:start w:w="90" w:type="dxa"/>
              <w:bottom w:w="90" w:type="dxa"/>
              <w:end w:w="90" w:type="dxa"/>
            </w:tcMar>
            <w:vAlign w:val="top"/>
          </w:tcPr>
          <w:p>
            <w:r>
              <w:rPr>
                <w:sz w:val="16"/>
              </w:rPr>
              <w:t>Generates and sends individualized emails at appropriate times.</w:t>
            </w:r>
          </w:p>
        </w:tc>
        <w:tc>
          <w:tcPr>
            <w:tcW w:type="dxa" w:w="3360"/>
            <w:tcMar>
              <w:top w:w="90" w:type="dxa"/>
              <w:start w:w="90" w:type="dxa"/>
              <w:bottom w:w="90" w:type="dxa"/>
              <w:end w:w="90" w:type="dxa"/>
            </w:tcMar>
            <w:vAlign w:val="top"/>
          </w:tcPr>
          <w:p>
            <w:r>
              <w:rPr>
                <w:sz w:val="16"/>
              </w:rPr>
              <w:t>Uses approved knowledge and configured sending identity.</w:t>
            </w:r>
          </w:p>
        </w:tc>
      </w:tr>
      <w:tr>
        <w:tc>
          <w:tcPr>
            <w:tcW w:type="dxa" w:w="3360"/>
            <w:tcMar>
              <w:top w:w="90" w:type="dxa"/>
              <w:start w:w="90" w:type="dxa"/>
              <w:bottom w:w="90" w:type="dxa"/>
              <w:end w:w="90" w:type="dxa"/>
            </w:tcMar>
            <w:vAlign w:val="top"/>
          </w:tcPr>
          <w:p>
            <w:r>
              <w:rPr>
                <w:sz w:val="16"/>
              </w:rPr>
              <w:t>Reply Agent</w:t>
            </w:r>
          </w:p>
        </w:tc>
        <w:tc>
          <w:tcPr>
            <w:tcW w:type="dxa" w:w="3360"/>
            <w:tcMar>
              <w:top w:w="90" w:type="dxa"/>
              <w:start w:w="90" w:type="dxa"/>
              <w:bottom w:w="90" w:type="dxa"/>
              <w:end w:w="90" w:type="dxa"/>
            </w:tcMar>
            <w:vAlign w:val="top"/>
          </w:tcPr>
          <w:p>
            <w:r>
              <w:rPr>
                <w:sz w:val="16"/>
              </w:rPr>
              <w:t>Interprets inbound replies and drafts/executes allowed next actions.</w:t>
            </w:r>
          </w:p>
        </w:tc>
        <w:tc>
          <w:tcPr>
            <w:tcW w:type="dxa" w:w="3360"/>
            <w:tcMar>
              <w:top w:w="90" w:type="dxa"/>
              <w:start w:w="90" w:type="dxa"/>
              <w:bottom w:w="90" w:type="dxa"/>
              <w:end w:w="90" w:type="dxa"/>
            </w:tcMar>
            <w:vAlign w:val="top"/>
          </w:tcPr>
          <w:p>
            <w:r>
              <w:rPr>
                <w:sz w:val="16"/>
              </w:rPr>
              <w:t>Cannot bypass proposal/negotiation gates.</w:t>
            </w:r>
          </w:p>
        </w:tc>
      </w:tr>
      <w:tr>
        <w:tc>
          <w:tcPr>
            <w:tcW w:type="dxa" w:w="3360"/>
            <w:tcMar>
              <w:top w:w="90" w:type="dxa"/>
              <w:start w:w="90" w:type="dxa"/>
              <w:bottom w:w="90" w:type="dxa"/>
              <w:end w:w="90" w:type="dxa"/>
            </w:tcMar>
            <w:vAlign w:val="top"/>
          </w:tcPr>
          <w:p>
            <w:r>
              <w:rPr>
                <w:sz w:val="16"/>
              </w:rPr>
              <w:t>Calling Agent</w:t>
            </w:r>
          </w:p>
        </w:tc>
        <w:tc>
          <w:tcPr>
            <w:tcW w:type="dxa" w:w="3360"/>
            <w:tcMar>
              <w:top w:w="90" w:type="dxa"/>
              <w:start w:w="90" w:type="dxa"/>
              <w:bottom w:w="90" w:type="dxa"/>
              <w:end w:w="90" w:type="dxa"/>
            </w:tcMar>
            <w:vAlign w:val="top"/>
          </w:tcPr>
          <w:p>
            <w:r>
              <w:rPr>
                <w:sz w:val="16"/>
              </w:rPr>
              <w:t>Places follow-up calls, handles retry/voicemail and captures outcome/transcript.</w:t>
            </w:r>
          </w:p>
        </w:tc>
        <w:tc>
          <w:tcPr>
            <w:tcW w:type="dxa" w:w="3360"/>
            <w:tcMar>
              <w:top w:w="90" w:type="dxa"/>
              <w:start w:w="90" w:type="dxa"/>
              <w:bottom w:w="90" w:type="dxa"/>
              <w:end w:w="90" w:type="dxa"/>
            </w:tcMar>
            <w:vAlign w:val="top"/>
          </w:tcPr>
          <w:p>
            <w:r>
              <w:rPr>
                <w:sz w:val="16"/>
              </w:rPr>
              <w:t>Voice provider required; consent/compliance configuration required.</w:t>
            </w:r>
          </w:p>
        </w:tc>
      </w:tr>
      <w:tr>
        <w:tc>
          <w:tcPr>
            <w:tcW w:type="dxa" w:w="3360"/>
            <w:tcMar>
              <w:top w:w="90" w:type="dxa"/>
              <w:start w:w="90" w:type="dxa"/>
              <w:bottom w:w="90" w:type="dxa"/>
              <w:end w:w="90" w:type="dxa"/>
            </w:tcMar>
            <w:vAlign w:val="top"/>
          </w:tcPr>
          <w:p>
            <w:r>
              <w:rPr>
                <w:sz w:val="16"/>
              </w:rPr>
              <w:t>WhatsApp Agent</w:t>
            </w:r>
          </w:p>
        </w:tc>
        <w:tc>
          <w:tcPr>
            <w:tcW w:type="dxa" w:w="3360"/>
            <w:tcMar>
              <w:top w:w="90" w:type="dxa"/>
              <w:start w:w="90" w:type="dxa"/>
              <w:bottom w:w="90" w:type="dxa"/>
              <w:end w:w="90" w:type="dxa"/>
            </w:tcMar>
            <w:vAlign w:val="top"/>
          </w:tcPr>
          <w:p>
            <w:r>
              <w:rPr>
                <w:sz w:val="16"/>
              </w:rPr>
              <w:t>Sends approved WhatsApp follow-up messages.</w:t>
            </w:r>
          </w:p>
        </w:tc>
        <w:tc>
          <w:tcPr>
            <w:tcW w:type="dxa" w:w="3360"/>
            <w:tcMar>
              <w:top w:w="90" w:type="dxa"/>
              <w:start w:w="90" w:type="dxa"/>
              <w:bottom w:w="90" w:type="dxa"/>
              <w:end w:w="90" w:type="dxa"/>
            </w:tcMar>
            <w:vAlign w:val="top"/>
          </w:tcPr>
          <w:p>
            <w:r>
              <w:rPr>
                <w:sz w:val="16"/>
              </w:rPr>
              <w:t>Must use approved business messaging integration.</w:t>
            </w:r>
          </w:p>
        </w:tc>
      </w:tr>
      <w:tr>
        <w:tc>
          <w:tcPr>
            <w:tcW w:type="dxa" w:w="3360"/>
            <w:tcMar>
              <w:top w:w="90" w:type="dxa"/>
              <w:start w:w="90" w:type="dxa"/>
              <w:bottom w:w="90" w:type="dxa"/>
              <w:end w:w="90" w:type="dxa"/>
            </w:tcMar>
            <w:vAlign w:val="top"/>
          </w:tcPr>
          <w:p>
            <w:r>
              <w:rPr>
                <w:sz w:val="16"/>
              </w:rPr>
              <w:t>Proposal Agent</w:t>
            </w:r>
          </w:p>
        </w:tc>
        <w:tc>
          <w:tcPr>
            <w:tcW w:type="dxa" w:w="3360"/>
            <w:tcMar>
              <w:top w:w="90" w:type="dxa"/>
              <w:start w:w="90" w:type="dxa"/>
              <w:bottom w:w="90" w:type="dxa"/>
              <w:end w:w="90" w:type="dxa"/>
            </w:tcMar>
            <w:vAlign w:val="top"/>
          </w:tcPr>
          <w:p>
            <w:r>
              <w:rPr>
                <w:sz w:val="16"/>
              </w:rPr>
              <w:t>Creates technical/service proposals from approved knowledge and tool data.</w:t>
            </w:r>
          </w:p>
        </w:tc>
        <w:tc>
          <w:tcPr>
            <w:tcW w:type="dxa" w:w="3360"/>
            <w:tcMar>
              <w:top w:w="90" w:type="dxa"/>
              <w:start w:w="90" w:type="dxa"/>
              <w:bottom w:w="90" w:type="dxa"/>
              <w:end w:w="90" w:type="dxa"/>
            </w:tcMar>
            <w:vAlign w:val="top"/>
          </w:tcPr>
          <w:p>
            <w:r>
              <w:rPr>
                <w:sz w:val="16"/>
              </w:rPr>
              <w:t>Human approval mandatory before send.</w:t>
            </w:r>
          </w:p>
        </w:tc>
      </w:tr>
      <w:tr>
        <w:tc>
          <w:tcPr>
            <w:tcW w:type="dxa" w:w="3360"/>
            <w:tcMar>
              <w:top w:w="90" w:type="dxa"/>
              <w:start w:w="90" w:type="dxa"/>
              <w:bottom w:w="90" w:type="dxa"/>
              <w:end w:w="90" w:type="dxa"/>
            </w:tcMar>
            <w:vAlign w:val="top"/>
          </w:tcPr>
          <w:p>
            <w:r>
              <w:rPr>
                <w:sz w:val="16"/>
              </w:rPr>
              <w:t>SEO Proposal Agent</w:t>
            </w:r>
          </w:p>
        </w:tc>
        <w:tc>
          <w:tcPr>
            <w:tcW w:type="dxa" w:w="3360"/>
            <w:tcMar>
              <w:top w:w="90" w:type="dxa"/>
              <w:start w:w="90" w:type="dxa"/>
              <w:bottom w:w="90" w:type="dxa"/>
              <w:end w:w="90" w:type="dxa"/>
            </w:tcMar>
            <w:vAlign w:val="top"/>
          </w:tcPr>
          <w:p>
            <w:r>
              <w:rPr>
                <w:sz w:val="16"/>
              </w:rPr>
              <w:t>Builds SEO proposal using SEMrush and approved SEO knowledge.</w:t>
            </w:r>
          </w:p>
        </w:tc>
        <w:tc>
          <w:tcPr>
            <w:tcW w:type="dxa" w:w="3360"/>
            <w:tcMar>
              <w:top w:w="90" w:type="dxa"/>
              <w:start w:w="90" w:type="dxa"/>
              <w:bottom w:w="90" w:type="dxa"/>
              <w:end w:w="90" w:type="dxa"/>
            </w:tcMar>
            <w:vAlign w:val="top"/>
          </w:tcPr>
          <w:p>
            <w:r>
              <w:rPr>
                <w:sz w:val="16"/>
              </w:rPr>
              <w:t>Human approval mandatory.</w:t>
            </w:r>
          </w:p>
        </w:tc>
      </w:tr>
      <w:tr>
        <w:tc>
          <w:tcPr>
            <w:tcW w:type="dxa" w:w="3360"/>
            <w:tcMar>
              <w:top w:w="90" w:type="dxa"/>
              <w:start w:w="90" w:type="dxa"/>
              <w:bottom w:w="90" w:type="dxa"/>
              <w:end w:w="90" w:type="dxa"/>
            </w:tcMar>
            <w:vAlign w:val="top"/>
          </w:tcPr>
          <w:p>
            <w:r>
              <w:rPr>
                <w:sz w:val="16"/>
              </w:rPr>
              <w:t>Web/Design Proposal Agent</w:t>
            </w:r>
          </w:p>
        </w:tc>
        <w:tc>
          <w:tcPr>
            <w:tcW w:type="dxa" w:w="3360"/>
            <w:tcMar>
              <w:top w:w="90" w:type="dxa"/>
              <w:start w:w="90" w:type="dxa"/>
              <w:bottom w:w="90" w:type="dxa"/>
              <w:end w:w="90" w:type="dxa"/>
            </w:tcMar>
            <w:vAlign w:val="top"/>
          </w:tcPr>
          <w:p>
            <w:r>
              <w:rPr>
                <w:sz w:val="16"/>
              </w:rPr>
              <w:t>Collects missing brand/design requirements and drafts proposal/mockup instructions.</w:t>
            </w:r>
          </w:p>
        </w:tc>
        <w:tc>
          <w:tcPr>
            <w:tcW w:type="dxa" w:w="3360"/>
            <w:tcMar>
              <w:top w:w="90" w:type="dxa"/>
              <w:start w:w="90" w:type="dxa"/>
              <w:bottom w:w="90" w:type="dxa"/>
              <w:end w:w="90" w:type="dxa"/>
            </w:tcMar>
            <w:vAlign w:val="top"/>
          </w:tcPr>
          <w:p>
            <w:r>
              <w:rPr>
                <w:sz w:val="16"/>
              </w:rPr>
              <w:t>Human approval mandatory.</w:t>
            </w:r>
          </w:p>
        </w:tc>
      </w:tr>
      <w:tr>
        <w:tc>
          <w:tcPr>
            <w:tcW w:type="dxa" w:w="3360"/>
            <w:tcMar>
              <w:top w:w="90" w:type="dxa"/>
              <w:start w:w="90" w:type="dxa"/>
              <w:bottom w:w="90" w:type="dxa"/>
              <w:end w:w="90" w:type="dxa"/>
            </w:tcMar>
            <w:vAlign w:val="top"/>
          </w:tcPr>
          <w:p>
            <w:r>
              <w:rPr>
                <w:sz w:val="16"/>
              </w:rPr>
              <w:t>Meeting Agent</w:t>
            </w:r>
          </w:p>
        </w:tc>
        <w:tc>
          <w:tcPr>
            <w:tcW w:type="dxa" w:w="3360"/>
            <w:tcMar>
              <w:top w:w="90" w:type="dxa"/>
              <w:start w:w="90" w:type="dxa"/>
              <w:bottom w:w="90" w:type="dxa"/>
              <w:end w:w="90" w:type="dxa"/>
            </w:tcMar>
            <w:vAlign w:val="top"/>
          </w:tcPr>
          <w:p>
            <w:r>
              <w:rPr>
                <w:sz w:val="16"/>
              </w:rPr>
              <w:t>Checks availability, proposes slots and finalizes confirmed meetings.</w:t>
            </w:r>
          </w:p>
        </w:tc>
        <w:tc>
          <w:tcPr>
            <w:tcW w:type="dxa" w:w="3360"/>
            <w:tcMar>
              <w:top w:w="90" w:type="dxa"/>
              <w:start w:w="90" w:type="dxa"/>
              <w:bottom w:w="90" w:type="dxa"/>
              <w:end w:w="90" w:type="dxa"/>
            </w:tcMar>
            <w:vAlign w:val="top"/>
          </w:tcPr>
          <w:p>
            <w:r>
              <w:rPr>
                <w:sz w:val="16"/>
              </w:rPr>
              <w:t>Confirmation rule must be finalized.</w:t>
            </w:r>
          </w:p>
        </w:tc>
      </w:tr>
      <w:tr>
        <w:tc>
          <w:tcPr>
            <w:tcW w:type="dxa" w:w="3360"/>
            <w:tcMar>
              <w:top w:w="90" w:type="dxa"/>
              <w:start w:w="90" w:type="dxa"/>
              <w:bottom w:w="90" w:type="dxa"/>
              <w:end w:w="90" w:type="dxa"/>
            </w:tcMar>
            <w:vAlign w:val="top"/>
          </w:tcPr>
          <w:p>
            <w:r>
              <w:rPr>
                <w:sz w:val="16"/>
              </w:rPr>
              <w:t>CRM Sync Agent</w:t>
            </w:r>
          </w:p>
        </w:tc>
        <w:tc>
          <w:tcPr>
            <w:tcW w:type="dxa" w:w="3360"/>
            <w:tcMar>
              <w:top w:w="90" w:type="dxa"/>
              <w:start w:w="90" w:type="dxa"/>
              <w:bottom w:w="90" w:type="dxa"/>
              <w:end w:w="90" w:type="dxa"/>
            </w:tcMar>
            <w:vAlign w:val="top"/>
          </w:tcPr>
          <w:p>
            <w:r>
              <w:rPr>
                <w:sz w:val="16"/>
              </w:rPr>
              <w:t>Synchronizes relevant state and timeline events with Zoho Bigin.</w:t>
            </w:r>
          </w:p>
        </w:tc>
        <w:tc>
          <w:tcPr>
            <w:tcW w:type="dxa" w:w="3360"/>
            <w:tcMar>
              <w:top w:w="90" w:type="dxa"/>
              <w:start w:w="90" w:type="dxa"/>
              <w:bottom w:w="90" w:type="dxa"/>
              <w:end w:w="90" w:type="dxa"/>
            </w:tcMar>
            <w:vAlign w:val="top"/>
          </w:tcPr>
          <w:p>
            <w:r>
              <w:rPr>
                <w:sz w:val="16"/>
              </w:rPr>
              <w:t>Application must handle retries/idempotency/conflicts.</w:t>
            </w:r>
          </w:p>
        </w:tc>
      </w:tr>
      <w:tr>
        <w:tc>
          <w:tcPr>
            <w:tcW w:type="dxa" w:w="3360"/>
            <w:tcMar>
              <w:top w:w="90" w:type="dxa"/>
              <w:start w:w="90" w:type="dxa"/>
              <w:bottom w:w="90" w:type="dxa"/>
              <w:end w:w="90" w:type="dxa"/>
            </w:tcMar>
            <w:vAlign w:val="top"/>
          </w:tcPr>
          <w:p>
            <w:r>
              <w:rPr>
                <w:sz w:val="16"/>
              </w:rPr>
              <w:t>Deliverability Agent</w:t>
            </w:r>
          </w:p>
        </w:tc>
        <w:tc>
          <w:tcPr>
            <w:tcW w:type="dxa" w:w="3360"/>
            <w:tcMar>
              <w:top w:w="90" w:type="dxa"/>
              <w:start w:w="90" w:type="dxa"/>
              <w:bottom w:w="90" w:type="dxa"/>
              <w:end w:w="90" w:type="dxa"/>
            </w:tcMar>
            <w:vAlign w:val="top"/>
          </w:tcPr>
          <w:p>
            <w:r>
              <w:rPr>
                <w:sz w:val="16"/>
              </w:rPr>
              <w:t>Validates/suppresses unsafe email destinations and tracks bounce health.</w:t>
            </w:r>
          </w:p>
        </w:tc>
        <w:tc>
          <w:tcPr>
            <w:tcW w:type="dxa" w:w="3360"/>
            <w:tcMar>
              <w:top w:w="90" w:type="dxa"/>
              <w:start w:w="90" w:type="dxa"/>
              <w:bottom w:w="90" w:type="dxa"/>
              <w:end w:w="90" w:type="dxa"/>
            </w:tcMar>
            <w:vAlign w:val="top"/>
          </w:tcPr>
          <w:p>
            <w:r>
              <w:rPr>
                <w:sz w:val="16"/>
              </w:rPr>
              <w:t>Never send to suppressed contacts.</w:t>
            </w:r>
          </w:p>
        </w:tc>
      </w:tr>
      <w:tr>
        <w:tc>
          <w:tcPr>
            <w:tcW w:type="dxa" w:w="3360"/>
            <w:tcMar>
              <w:top w:w="90" w:type="dxa"/>
              <w:start w:w="90" w:type="dxa"/>
              <w:bottom w:w="90" w:type="dxa"/>
              <w:end w:w="90" w:type="dxa"/>
            </w:tcMar>
            <w:vAlign w:val="top"/>
          </w:tcPr>
          <w:p>
            <w:r>
              <w:rPr>
                <w:sz w:val="16"/>
              </w:rPr>
              <w:t>Data Hygiene Agent</w:t>
            </w:r>
          </w:p>
        </w:tc>
        <w:tc>
          <w:tcPr>
            <w:tcW w:type="dxa" w:w="3360"/>
            <w:tcMar>
              <w:top w:w="90" w:type="dxa"/>
              <w:start w:w="90" w:type="dxa"/>
              <w:bottom w:w="90" w:type="dxa"/>
              <w:end w:w="90" w:type="dxa"/>
            </w:tcMar>
            <w:vAlign w:val="top"/>
          </w:tcPr>
          <w:p>
            <w:r>
              <w:rPr>
                <w:sz w:val="16"/>
              </w:rPr>
              <w:t>Maintains safe internal automation data hygiene.</w:t>
            </w:r>
          </w:p>
        </w:tc>
        <w:tc>
          <w:tcPr>
            <w:tcW w:type="dxa" w:w="3360"/>
            <w:tcMar>
              <w:top w:w="90" w:type="dxa"/>
              <w:start w:w="90" w:type="dxa"/>
              <w:bottom w:w="90" w:type="dxa"/>
              <w:end w:w="90" w:type="dxa"/>
            </w:tcMar>
            <w:vAlign w:val="top"/>
          </w:tcPr>
          <w:p>
            <w:r>
              <w:rPr>
                <w:sz w:val="16"/>
              </w:rPr>
              <w:t>Must not delete authoritative CRM data without policy.</w:t>
            </w:r>
          </w:p>
        </w:tc>
      </w:tr>
    </w:tbl>
    <w:p>
      <w:pPr>
        <w:pStyle w:val="Heading1"/>
      </w:pPr>
      <w:r>
        <w:t>7. Human Intervention and Control</w:t>
      </w:r>
    </w:p>
    <w:p>
      <w:pPr>
        <w:pStyle w:val="ListBullet"/>
      </w:pPr>
      <w:r>
        <w:t>Proposal approval: AI drafts; human reviews/edits/approves before send.</w:t>
      </w:r>
    </w:p>
    <w:p>
      <w:pPr>
        <w:pStyle w:val="ListBullet"/>
      </w:pPr>
      <w:r>
        <w:t>Negotiation: human-only.</w:t>
      </w:r>
    </w:p>
    <w:p>
      <w:pPr>
        <w:pStyle w:val="ListBullet"/>
      </w:pPr>
      <w:r>
        <w:t>Meeting confirmation: required before finalization; exact confirming party remains open.</w:t>
      </w:r>
    </w:p>
    <w:p>
      <w:pPr>
        <w:pStyle w:val="ListBullet"/>
      </w:pPr>
      <w:r>
        <w:t>Manual takeover: authorized user can intervene in a lead/deal; automation pause/resume semantics must be explicit and auditable.</w:t>
      </w:r>
    </w:p>
    <w:p>
      <w:pPr>
        <w:pStyle w:val="ListBullet"/>
      </w:pPr>
      <w:r>
        <w:t>Human corrections to AI outputs must be preserved as feedback/training evidence.</w:t>
      </w:r>
    </w:p>
    <w:p>
      <w:pPr>
        <w:pStyle w:val="Heading1"/>
      </w:pPr>
      <w:r>
        <w:t>8. Lead and Communication Requirements</w:t>
      </w:r>
    </w:p>
    <w:p>
      <w:pPr>
        <w:pStyle w:val="ListBullet"/>
      </w:pPr>
      <w:r>
        <w:t>Lead data includes name, CRM/contact identifier, email, phone, geography, source, entry time and requirements/context.</w:t>
      </w:r>
    </w:p>
    <w:p>
      <w:pPr>
        <w:pStyle w:val="ListBullet"/>
      </w:pPr>
      <w:r>
        <w:t>Communication timeline records email, WhatsApp, call, proposal, meeting, task/event and relevant status changes.</w:t>
      </w:r>
    </w:p>
    <w:p>
      <w:pPr>
        <w:pStyle w:val="ListBullet"/>
      </w:pPr>
      <w:r>
        <w:t>Emails must be personalized and contextual rather than identical batch sequences.</w:t>
      </w:r>
    </w:p>
    <w:p>
      <w:pPr>
        <w:pStyle w:val="ListBullet"/>
      </w:pPr>
      <w:r>
        <w:t>Contact timing may use geography/time zone and observed reply behavior.</w:t>
      </w:r>
    </w:p>
    <w:p>
      <w:pPr>
        <w:pStyle w:val="ListBullet"/>
      </w:pPr>
      <w:r>
        <w:t>Explicit opt-out/No/suppression must prevent further automated outreach until an authorized policy permits reactivation.</w:t>
      </w:r>
    </w:p>
    <w:p>
      <w:pPr>
        <w:pStyle w:val="Heading1"/>
      </w:pPr>
      <w:r>
        <w:t>9. Proposal and Deal Requirements</w:t>
      </w:r>
    </w:p>
    <w:p>
      <w:pPr>
        <w:pStyle w:val="ListBullet"/>
      </w:pPr>
      <w:r>
        <w:t>Budget and requirement signals can create/update a deal representation and synchronize it to Zoho.</w:t>
      </w:r>
    </w:p>
    <w:p>
      <w:pPr>
        <w:pStyle w:val="ListBullet"/>
      </w:pPr>
      <w:r>
        <w:t>Proposal lifecycle at minimum: Draft -&gt; Waiting for Approval -&gt; Approved -&gt; Sent; rejection/regeneration policy is open.</w:t>
      </w:r>
    </w:p>
    <w:p>
      <w:pPr>
        <w:pStyle w:val="ListBullet"/>
      </w:pPr>
      <w:r>
        <w:t>Proposal edit history and approver identity must be auditable.</w:t>
      </w:r>
    </w:p>
    <w:p>
      <w:pPr>
        <w:pStyle w:val="ListBullet"/>
      </w:pPr>
      <w:r>
        <w:t>Service-specific proposal generation may use SEMrush and approved internal knowledge.</w:t>
      </w:r>
    </w:p>
    <w:p>
      <w:pPr>
        <w:pStyle w:val="Heading1"/>
      </w:pPr>
      <w:r>
        <w:t>10. Sales Engineer UX</w:t>
      </w:r>
    </w:p>
    <w:p>
      <w:r>
        <w:t>The primary engineer experience should minimize automation noise. The dashboard prioritizes proposals requiring action, appointments, meetings, negotiation alerts, takeover items and failures requiring attention. Detailed automation history remains available in lead/context views and audit logs but should not dominate the engineer dashboard.</w:t>
      </w:r>
    </w:p>
    <w:p>
      <w:pPr>
        <w:pStyle w:val="Heading1"/>
      </w:pPr>
      <w:r>
        <w:t>11. Integrations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sz w:val="17"/>
              </w:rPr>
              <w:t>Integration</w:t>
            </w:r>
          </w:p>
        </w:tc>
        <w:tc>
          <w:tcPr>
            <w:tcW w:type="dxa" w:w="3360"/>
            <w:shd w:fill="D9EAF7"/>
            <w:vAlign w:val="center"/>
          </w:tcPr>
          <w:p>
            <w:r>
              <w:rPr>
                <w:b/>
                <w:sz w:val="17"/>
              </w:rPr>
              <w:t>Purpose</w:t>
            </w:r>
          </w:p>
        </w:tc>
        <w:tc>
          <w:tcPr>
            <w:tcW w:type="dxa" w:w="3360"/>
            <w:shd w:fill="D9EAF7"/>
            <w:vAlign w:val="center"/>
          </w:tcPr>
          <w:p>
            <w:r>
              <w:rPr>
                <w:b/>
                <w:sz w:val="17"/>
              </w:rPr>
              <w:t>Phase 1 position</w:t>
            </w:r>
          </w:p>
        </w:tc>
      </w:tr>
      <w:tr>
        <w:tc>
          <w:tcPr>
            <w:tcW w:type="dxa" w:w="3360"/>
            <w:tcMar>
              <w:top w:w="90" w:type="dxa"/>
              <w:start w:w="90" w:type="dxa"/>
              <w:bottom w:w="90" w:type="dxa"/>
              <w:end w:w="90" w:type="dxa"/>
            </w:tcMar>
            <w:vAlign w:val="top"/>
          </w:tcPr>
          <w:p>
            <w:r>
              <w:rPr>
                <w:sz w:val="16"/>
              </w:rPr>
              <w:t>Zoho Bigin</w:t>
            </w:r>
          </w:p>
        </w:tc>
        <w:tc>
          <w:tcPr>
            <w:tcW w:type="dxa" w:w="3360"/>
            <w:tcMar>
              <w:top w:w="90" w:type="dxa"/>
              <w:start w:w="90" w:type="dxa"/>
              <w:bottom w:w="90" w:type="dxa"/>
              <w:end w:w="90" w:type="dxa"/>
            </w:tcMar>
            <w:vAlign w:val="top"/>
          </w:tcPr>
          <w:p>
            <w:r>
              <w:rPr>
                <w:sz w:val="16"/>
              </w:rPr>
              <w:t>Authoritative CRM and timeline/deal synchronization</w:t>
            </w:r>
          </w:p>
        </w:tc>
        <w:tc>
          <w:tcPr>
            <w:tcW w:type="dxa" w:w="3360"/>
            <w:tcMar>
              <w:top w:w="90" w:type="dxa"/>
              <w:start w:w="90" w:type="dxa"/>
              <w:bottom w:w="90" w:type="dxa"/>
              <w:end w:w="90" w:type="dxa"/>
            </w:tcMar>
            <w:vAlign w:val="top"/>
          </w:tcPr>
          <w:p>
            <w:r>
              <w:rPr>
                <w:sz w:val="16"/>
              </w:rPr>
              <w:t>Required</w:t>
            </w:r>
          </w:p>
        </w:tc>
      </w:tr>
      <w:tr>
        <w:tc>
          <w:tcPr>
            <w:tcW w:type="dxa" w:w="3360"/>
            <w:tcMar>
              <w:top w:w="90" w:type="dxa"/>
              <w:start w:w="90" w:type="dxa"/>
              <w:bottom w:w="90" w:type="dxa"/>
              <w:end w:w="90" w:type="dxa"/>
            </w:tcMar>
            <w:vAlign w:val="top"/>
          </w:tcPr>
          <w:p>
            <w:r>
              <w:rPr>
                <w:sz w:val="16"/>
              </w:rPr>
              <w:t>AWS SES</w:t>
            </w:r>
          </w:p>
        </w:tc>
        <w:tc>
          <w:tcPr>
            <w:tcW w:type="dxa" w:w="3360"/>
            <w:tcMar>
              <w:top w:w="90" w:type="dxa"/>
              <w:start w:w="90" w:type="dxa"/>
              <w:bottom w:w="90" w:type="dxa"/>
              <w:end w:w="90" w:type="dxa"/>
            </w:tcMar>
            <w:vAlign w:val="top"/>
          </w:tcPr>
          <w:p>
            <w:r>
              <w:rPr>
                <w:sz w:val="16"/>
              </w:rPr>
              <w:t>Transactional outbound email</w:t>
            </w:r>
          </w:p>
        </w:tc>
        <w:tc>
          <w:tcPr>
            <w:tcW w:type="dxa" w:w="3360"/>
            <w:tcMar>
              <w:top w:w="90" w:type="dxa"/>
              <w:start w:w="90" w:type="dxa"/>
              <w:bottom w:w="90" w:type="dxa"/>
              <w:end w:w="90" w:type="dxa"/>
            </w:tcMar>
            <w:vAlign w:val="top"/>
          </w:tcPr>
          <w:p>
            <w:r>
              <w:rPr>
                <w:sz w:val="16"/>
              </w:rPr>
              <w:t>Required/preferred by client</w:t>
            </w:r>
          </w:p>
        </w:tc>
      </w:tr>
      <w:tr>
        <w:tc>
          <w:tcPr>
            <w:tcW w:type="dxa" w:w="3360"/>
            <w:tcMar>
              <w:top w:w="90" w:type="dxa"/>
              <w:start w:w="90" w:type="dxa"/>
              <w:bottom w:w="90" w:type="dxa"/>
              <w:end w:w="90" w:type="dxa"/>
            </w:tcMar>
            <w:vAlign w:val="top"/>
          </w:tcPr>
          <w:p>
            <w:r>
              <w:rPr>
                <w:sz w:val="16"/>
              </w:rPr>
              <w:t>OpenAI</w:t>
            </w:r>
          </w:p>
        </w:tc>
        <w:tc>
          <w:tcPr>
            <w:tcW w:type="dxa" w:w="3360"/>
            <w:tcMar>
              <w:top w:w="90" w:type="dxa"/>
              <w:start w:w="90" w:type="dxa"/>
              <w:bottom w:w="90" w:type="dxa"/>
              <w:end w:w="90" w:type="dxa"/>
            </w:tcMar>
            <w:vAlign w:val="top"/>
          </w:tcPr>
          <w:p>
            <w:r>
              <w:rPr>
                <w:sz w:val="16"/>
              </w:rPr>
              <w:t>LLM generation/extraction behind internal provider abstraction</w:t>
            </w:r>
          </w:p>
        </w:tc>
        <w:tc>
          <w:tcPr>
            <w:tcW w:type="dxa" w:w="3360"/>
            <w:tcMar>
              <w:top w:w="90" w:type="dxa"/>
              <w:start w:w="90" w:type="dxa"/>
              <w:bottom w:w="90" w:type="dxa"/>
              <w:end w:w="90" w:type="dxa"/>
            </w:tcMar>
            <w:vAlign w:val="top"/>
          </w:tcPr>
          <w:p>
            <w:r>
              <w:rPr>
                <w:sz w:val="16"/>
              </w:rPr>
              <w:t>Required</w:t>
            </w:r>
          </w:p>
        </w:tc>
      </w:tr>
      <w:tr>
        <w:tc>
          <w:tcPr>
            <w:tcW w:type="dxa" w:w="3360"/>
            <w:tcMar>
              <w:top w:w="90" w:type="dxa"/>
              <w:start w:w="90" w:type="dxa"/>
              <w:bottom w:w="90" w:type="dxa"/>
              <w:end w:w="90" w:type="dxa"/>
            </w:tcMar>
            <w:vAlign w:val="top"/>
          </w:tcPr>
          <w:p>
            <w:r>
              <w:rPr>
                <w:sz w:val="16"/>
              </w:rPr>
              <w:t>SEMrush</w:t>
            </w:r>
          </w:p>
        </w:tc>
        <w:tc>
          <w:tcPr>
            <w:tcW w:type="dxa" w:w="3360"/>
            <w:tcMar>
              <w:top w:w="90" w:type="dxa"/>
              <w:start w:w="90" w:type="dxa"/>
              <w:bottom w:w="90" w:type="dxa"/>
              <w:end w:w="90" w:type="dxa"/>
            </w:tcMar>
            <w:vAlign w:val="top"/>
          </w:tcPr>
          <w:p>
            <w:r>
              <w:rPr>
                <w:sz w:val="16"/>
              </w:rPr>
              <w:t>SEO analysis/proposal inputs</w:t>
            </w:r>
          </w:p>
        </w:tc>
        <w:tc>
          <w:tcPr>
            <w:tcW w:type="dxa" w:w="3360"/>
            <w:tcMar>
              <w:top w:w="90" w:type="dxa"/>
              <w:start w:w="90" w:type="dxa"/>
              <w:bottom w:w="90" w:type="dxa"/>
              <w:end w:w="90" w:type="dxa"/>
            </w:tcMar>
            <w:vAlign w:val="top"/>
          </w:tcPr>
          <w:p>
            <w:r>
              <w:rPr>
                <w:sz w:val="16"/>
              </w:rPr>
              <w:t>Required for SEO proposal flow</w:t>
            </w:r>
          </w:p>
        </w:tc>
      </w:tr>
      <w:tr>
        <w:tc>
          <w:tcPr>
            <w:tcW w:type="dxa" w:w="3360"/>
            <w:tcMar>
              <w:top w:w="90" w:type="dxa"/>
              <w:start w:w="90" w:type="dxa"/>
              <w:bottom w:w="90" w:type="dxa"/>
              <w:end w:w="90" w:type="dxa"/>
            </w:tcMar>
            <w:vAlign w:val="top"/>
          </w:tcPr>
          <w:p>
            <w:r>
              <w:rPr>
                <w:sz w:val="16"/>
              </w:rPr>
              <w:t>WhatsApp</w:t>
            </w:r>
          </w:p>
        </w:tc>
        <w:tc>
          <w:tcPr>
            <w:tcW w:type="dxa" w:w="3360"/>
            <w:tcMar>
              <w:top w:w="90" w:type="dxa"/>
              <w:start w:w="90" w:type="dxa"/>
              <w:bottom w:w="90" w:type="dxa"/>
              <w:end w:w="90" w:type="dxa"/>
            </w:tcMar>
            <w:vAlign w:val="top"/>
          </w:tcPr>
          <w:p>
            <w:r>
              <w:rPr>
                <w:sz w:val="16"/>
              </w:rPr>
              <w:t>Sales follow-up messaging</w:t>
            </w:r>
          </w:p>
        </w:tc>
        <w:tc>
          <w:tcPr>
            <w:tcW w:type="dxa" w:w="3360"/>
            <w:tcMar>
              <w:top w:w="90" w:type="dxa"/>
              <w:start w:w="90" w:type="dxa"/>
              <w:bottom w:w="90" w:type="dxa"/>
              <w:end w:w="90" w:type="dxa"/>
            </w:tcMar>
            <w:vAlign w:val="top"/>
          </w:tcPr>
          <w:p>
            <w:r>
              <w:rPr>
                <w:sz w:val="16"/>
              </w:rPr>
              <w:t>Required; exact API/provider to confirm</w:t>
            </w:r>
          </w:p>
        </w:tc>
      </w:tr>
      <w:tr>
        <w:tc>
          <w:tcPr>
            <w:tcW w:type="dxa" w:w="3360"/>
            <w:tcMar>
              <w:top w:w="90" w:type="dxa"/>
              <w:start w:w="90" w:type="dxa"/>
              <w:bottom w:w="90" w:type="dxa"/>
              <w:end w:w="90" w:type="dxa"/>
            </w:tcMar>
            <w:vAlign w:val="top"/>
          </w:tcPr>
          <w:p>
            <w:r>
              <w:rPr>
                <w:sz w:val="16"/>
              </w:rPr>
              <w:t>Voice/Calling provider</w:t>
            </w:r>
          </w:p>
        </w:tc>
        <w:tc>
          <w:tcPr>
            <w:tcW w:type="dxa" w:w="3360"/>
            <w:tcMar>
              <w:top w:w="90" w:type="dxa"/>
              <w:start w:w="90" w:type="dxa"/>
              <w:bottom w:w="90" w:type="dxa"/>
              <w:end w:w="90" w:type="dxa"/>
            </w:tcMar>
            <w:vAlign w:val="top"/>
          </w:tcPr>
          <w:p>
            <w:r>
              <w:rPr>
                <w:sz w:val="16"/>
              </w:rPr>
              <w:t>AI calling, voicemail, regional voice/accent</w:t>
            </w:r>
          </w:p>
        </w:tc>
        <w:tc>
          <w:tcPr>
            <w:tcW w:type="dxa" w:w="3360"/>
            <w:tcMar>
              <w:top w:w="90" w:type="dxa"/>
              <w:start w:w="90" w:type="dxa"/>
              <w:bottom w:w="90" w:type="dxa"/>
              <w:end w:w="90" w:type="dxa"/>
            </w:tcMar>
            <w:vAlign w:val="top"/>
          </w:tcPr>
          <w:p>
            <w:r>
              <w:rPr>
                <w:sz w:val="16"/>
              </w:rPr>
              <w:t>Required; provider to select</w:t>
            </w:r>
          </w:p>
        </w:tc>
      </w:tr>
      <w:tr>
        <w:tc>
          <w:tcPr>
            <w:tcW w:type="dxa" w:w="3360"/>
            <w:tcMar>
              <w:top w:w="90" w:type="dxa"/>
              <w:start w:w="90" w:type="dxa"/>
              <w:bottom w:w="90" w:type="dxa"/>
              <w:end w:w="90" w:type="dxa"/>
            </w:tcMar>
            <w:vAlign w:val="top"/>
          </w:tcPr>
          <w:p>
            <w:r>
              <w:rPr>
                <w:sz w:val="16"/>
              </w:rPr>
              <w:t>Calendar provider</w:t>
            </w:r>
          </w:p>
        </w:tc>
        <w:tc>
          <w:tcPr>
            <w:tcW w:type="dxa" w:w="3360"/>
            <w:tcMar>
              <w:top w:w="90" w:type="dxa"/>
              <w:start w:w="90" w:type="dxa"/>
              <w:bottom w:w="90" w:type="dxa"/>
              <w:end w:w="90" w:type="dxa"/>
            </w:tcMar>
            <w:vAlign w:val="top"/>
          </w:tcPr>
          <w:p>
            <w:r>
              <w:rPr>
                <w:sz w:val="16"/>
              </w:rPr>
              <w:t>Availability and meeting synchronization</w:t>
            </w:r>
          </w:p>
        </w:tc>
        <w:tc>
          <w:tcPr>
            <w:tcW w:type="dxa" w:w="3360"/>
            <w:tcMar>
              <w:top w:w="90" w:type="dxa"/>
              <w:start w:w="90" w:type="dxa"/>
              <w:bottom w:w="90" w:type="dxa"/>
              <w:end w:w="90" w:type="dxa"/>
            </w:tcMar>
            <w:vAlign w:val="top"/>
          </w:tcPr>
          <w:p>
            <w:r>
              <w:rPr>
                <w:sz w:val="16"/>
              </w:rPr>
              <w:t>Required; exact provider/account flow to confirm</w:t>
            </w:r>
          </w:p>
        </w:tc>
      </w:tr>
      <w:tr>
        <w:tc>
          <w:tcPr>
            <w:tcW w:type="dxa" w:w="3360"/>
            <w:tcMar>
              <w:top w:w="90" w:type="dxa"/>
              <w:start w:w="90" w:type="dxa"/>
              <w:bottom w:w="90" w:type="dxa"/>
              <w:end w:w="90" w:type="dxa"/>
            </w:tcMar>
            <w:vAlign w:val="top"/>
          </w:tcPr>
          <w:p>
            <w:r>
              <w:rPr>
                <w:sz w:val="16"/>
              </w:rPr>
              <w:t>Meta/Facebook Ads</w:t>
            </w:r>
          </w:p>
        </w:tc>
        <w:tc>
          <w:tcPr>
            <w:tcW w:type="dxa" w:w="3360"/>
            <w:tcMar>
              <w:top w:w="90" w:type="dxa"/>
              <w:start w:w="90" w:type="dxa"/>
              <w:bottom w:w="90" w:type="dxa"/>
              <w:end w:w="90" w:type="dxa"/>
            </w:tcMar>
            <w:vAlign w:val="top"/>
          </w:tcPr>
          <w:p>
            <w:r>
              <w:rPr>
                <w:sz w:val="16"/>
              </w:rPr>
              <w:t>Existing lead source feeding CRM</w:t>
            </w:r>
          </w:p>
        </w:tc>
        <w:tc>
          <w:tcPr>
            <w:tcW w:type="dxa" w:w="3360"/>
            <w:tcMar>
              <w:top w:w="90" w:type="dxa"/>
              <w:start w:w="90" w:type="dxa"/>
              <w:bottom w:w="90" w:type="dxa"/>
              <w:end w:w="90" w:type="dxa"/>
            </w:tcMar>
            <w:vAlign w:val="top"/>
          </w:tcPr>
          <w:p>
            <w:r>
              <w:rPr>
                <w:sz w:val="16"/>
              </w:rPr>
              <w:t>Connector/source integration as needed</w:t>
            </w:r>
          </w:p>
        </w:tc>
      </w:tr>
      <w:tr>
        <w:tc>
          <w:tcPr>
            <w:tcW w:type="dxa" w:w="3360"/>
            <w:tcMar>
              <w:top w:w="90" w:type="dxa"/>
              <w:start w:w="90" w:type="dxa"/>
              <w:bottom w:w="90" w:type="dxa"/>
              <w:end w:w="90" w:type="dxa"/>
            </w:tcMar>
            <w:vAlign w:val="top"/>
          </w:tcPr>
          <w:p>
            <w:r>
              <w:rPr>
                <w:sz w:val="16"/>
              </w:rPr>
              <w:t>Outlook</w:t>
            </w:r>
          </w:p>
        </w:tc>
        <w:tc>
          <w:tcPr>
            <w:tcW w:type="dxa" w:w="3360"/>
            <w:tcMar>
              <w:top w:w="90" w:type="dxa"/>
              <w:start w:w="90" w:type="dxa"/>
              <w:bottom w:w="90" w:type="dxa"/>
              <w:end w:w="90" w:type="dxa"/>
            </w:tcMar>
            <w:vAlign w:val="top"/>
          </w:tcPr>
          <w:p>
            <w:r>
              <w:rPr>
                <w:sz w:val="16"/>
              </w:rPr>
              <w:t>Existing email channel/manual sending interoperability</w:t>
            </w:r>
          </w:p>
        </w:tc>
        <w:tc>
          <w:tcPr>
            <w:tcW w:type="dxa" w:w="3360"/>
            <w:tcMar>
              <w:top w:w="90" w:type="dxa"/>
              <w:start w:w="90" w:type="dxa"/>
              <w:bottom w:w="90" w:type="dxa"/>
              <w:end w:w="90" w:type="dxa"/>
            </w:tcMar>
            <w:vAlign w:val="top"/>
          </w:tcPr>
          <w:p>
            <w:r>
              <w:rPr>
                <w:sz w:val="16"/>
              </w:rPr>
              <w:t>Requirement exists; exact role vs SES to confirm</w:t>
            </w:r>
          </w:p>
        </w:tc>
      </w:tr>
    </w:tbl>
    <w:p>
      <w:pPr>
        <w:pStyle w:val="Heading1"/>
      </w:pPr>
      <w:r>
        <w:t>12. Production-Readiness Requirements</w:t>
      </w:r>
    </w:p>
    <w:p>
      <w:pPr>
        <w:pStyle w:val="ListBullet"/>
      </w:pPr>
      <w:r>
        <w:t>No mock/demo runtime business data. Test fixtures only in automated tests.</w:t>
      </w:r>
    </w:p>
    <w:p>
      <w:pPr>
        <w:pStyle w:val="ListBullet"/>
      </w:pPr>
      <w:r>
        <w:t>Idempotent connector and webhook processing; duplicate-event protection.</w:t>
      </w:r>
    </w:p>
    <w:p>
      <w:pPr>
        <w:pStyle w:val="ListBullet"/>
      </w:pPr>
      <w:r>
        <w:t>Durable background jobs with retries, backoff, dead-letter/failure visibility and manual replay where safe.</w:t>
      </w:r>
    </w:p>
    <w:p>
      <w:pPr>
        <w:pStyle w:val="ListBullet"/>
      </w:pPr>
      <w:r>
        <w:t>Secrets only through secure environment/secret management; never source-controlled.</w:t>
      </w:r>
    </w:p>
    <w:p>
      <w:pPr>
        <w:pStyle w:val="ListBullet"/>
      </w:pPr>
      <w:r>
        <w:t>RBAC, audit logs, human approvals and integration scopes enforced server-side.</w:t>
      </w:r>
    </w:p>
    <w:p>
      <w:pPr>
        <w:pStyle w:val="ListBullet"/>
      </w:pPr>
      <w:r>
        <w:t>Structured logs, correlation IDs, health checks, integration status, alerting and cost/usage telemetry.</w:t>
      </w:r>
    </w:p>
    <w:p>
      <w:pPr>
        <w:pStyle w:val="ListBullet"/>
      </w:pPr>
      <w:r>
        <w:t>Rate-limit handling and provider outage degradation paths.</w:t>
      </w:r>
    </w:p>
    <w:p>
      <w:pPr>
        <w:pStyle w:val="ListBullet"/>
      </w:pPr>
      <w:r>
        <w:t>Data minimization, retention and deletion policies to be finalized with client/compliance requirements.</w:t>
      </w:r>
    </w:p>
    <w:p>
      <w:pPr>
        <w:pStyle w:val="ListBullet"/>
      </w:pPr>
      <w:r>
        <w:t>AI outputs validated by schemas/business rules; application remains source of automation truth.</w:t>
      </w:r>
    </w:p>
    <w:p>
      <w:pPr>
        <w:pStyle w:val="Heading1"/>
      </w:pPr>
      <w:r>
        <w:t>13. Open Client Decisions - Do Not Guess in Code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sz w:val="17"/>
              </w:rPr>
              <w:t>ID</w:t>
            </w:r>
          </w:p>
        </w:tc>
        <w:tc>
          <w:tcPr>
            <w:tcW w:type="dxa" w:w="5040"/>
            <w:shd w:fill="D9EAF7"/>
            <w:vAlign w:val="center"/>
          </w:tcPr>
          <w:p>
            <w:r>
              <w:rPr>
                <w:b/>
                <w:sz w:val="17"/>
              </w:rPr>
              <w:t>Open decision</w:t>
            </w:r>
          </w:p>
        </w:tc>
      </w:tr>
      <w:tr>
        <w:tc>
          <w:tcPr>
            <w:tcW w:type="dxa" w:w="5040"/>
            <w:tcMar>
              <w:top w:w="90" w:type="dxa"/>
              <w:start w:w="90" w:type="dxa"/>
              <w:bottom w:w="90" w:type="dxa"/>
              <w:end w:w="90" w:type="dxa"/>
            </w:tcMar>
            <w:vAlign w:val="top"/>
          </w:tcPr>
          <w:p>
            <w:r>
              <w:rPr>
                <w:sz w:val="16"/>
              </w:rPr>
              <w:t>OC-01</w:t>
            </w:r>
          </w:p>
        </w:tc>
        <w:tc>
          <w:tcPr>
            <w:tcW w:type="dxa" w:w="5040"/>
            <w:tcMar>
              <w:top w:w="90" w:type="dxa"/>
              <w:start w:w="90" w:type="dxa"/>
              <w:bottom w:w="90" w:type="dxa"/>
              <w:end w:w="90" w:type="dxa"/>
            </w:tcMar>
            <w:vAlign w:val="top"/>
          </w:tcPr>
          <w:p>
            <w:r>
              <w:rPr>
                <w:sz w:val="16"/>
              </w:rPr>
              <w:t>Exact voicemail message and whether voicemail counts as an attempt.</w:t>
            </w:r>
          </w:p>
        </w:tc>
      </w:tr>
      <w:tr>
        <w:tc>
          <w:tcPr>
            <w:tcW w:type="dxa" w:w="5040"/>
            <w:tcMar>
              <w:top w:w="90" w:type="dxa"/>
              <w:start w:w="90" w:type="dxa"/>
              <w:bottom w:w="90" w:type="dxa"/>
              <w:end w:w="90" w:type="dxa"/>
            </w:tcMar>
            <w:vAlign w:val="top"/>
          </w:tcPr>
          <w:p>
            <w:r>
              <w:rPr>
                <w:sz w:val="16"/>
              </w:rPr>
              <w:t>OC-02</w:t>
            </w:r>
          </w:p>
        </w:tc>
        <w:tc>
          <w:tcPr>
            <w:tcW w:type="dxa" w:w="5040"/>
            <w:tcMar>
              <w:top w:w="90" w:type="dxa"/>
              <w:start w:w="90" w:type="dxa"/>
              <w:bottom w:w="90" w:type="dxa"/>
              <w:end w:w="90" w:type="dxa"/>
            </w:tcMar>
            <w:vAlign w:val="top"/>
          </w:tcPr>
          <w:p>
            <w:r>
              <w:rPr>
                <w:sz w:val="16"/>
              </w:rPr>
              <w:t>Whether a No lead can be reactivated and by whom.</w:t>
            </w:r>
          </w:p>
        </w:tc>
      </w:tr>
      <w:tr>
        <w:tc>
          <w:tcPr>
            <w:tcW w:type="dxa" w:w="5040"/>
            <w:tcMar>
              <w:top w:w="90" w:type="dxa"/>
              <w:start w:w="90" w:type="dxa"/>
              <w:bottom w:w="90" w:type="dxa"/>
              <w:end w:w="90" w:type="dxa"/>
            </w:tcMar>
            <w:vAlign w:val="top"/>
          </w:tcPr>
          <w:p>
            <w:r>
              <w:rPr>
                <w:sz w:val="16"/>
              </w:rPr>
              <w:t>OC-03</w:t>
            </w:r>
          </w:p>
        </w:tc>
        <w:tc>
          <w:tcPr>
            <w:tcW w:type="dxa" w:w="5040"/>
            <w:tcMar>
              <w:top w:w="90" w:type="dxa"/>
              <w:start w:w="90" w:type="dxa"/>
              <w:bottom w:w="90" w:type="dxa"/>
              <w:end w:w="90" w:type="dxa"/>
            </w:tcMar>
            <w:vAlign w:val="top"/>
          </w:tcPr>
          <w:p>
            <w:r>
              <w:rPr>
                <w:sz w:val="16"/>
              </w:rPr>
              <w:t>Maximum hibernate/follow-up duration and retirement policy.</w:t>
            </w:r>
          </w:p>
        </w:tc>
      </w:tr>
      <w:tr>
        <w:tc>
          <w:tcPr>
            <w:tcW w:type="dxa" w:w="5040"/>
            <w:tcMar>
              <w:top w:w="90" w:type="dxa"/>
              <w:start w:w="90" w:type="dxa"/>
              <w:bottom w:w="90" w:type="dxa"/>
              <w:end w:w="90" w:type="dxa"/>
            </w:tcMar>
            <w:vAlign w:val="top"/>
          </w:tcPr>
          <w:p>
            <w:r>
              <w:rPr>
                <w:sz w:val="16"/>
              </w:rPr>
              <w:t>OC-04</w:t>
            </w:r>
          </w:p>
        </w:tc>
        <w:tc>
          <w:tcPr>
            <w:tcW w:type="dxa" w:w="5040"/>
            <w:tcMar>
              <w:top w:w="90" w:type="dxa"/>
              <w:start w:w="90" w:type="dxa"/>
              <w:bottom w:w="90" w:type="dxa"/>
              <w:end w:w="90" w:type="dxa"/>
            </w:tcMar>
            <w:vAlign w:val="top"/>
          </w:tcPr>
          <w:p>
            <w:r>
              <w:rPr>
                <w:sz w:val="16"/>
              </w:rPr>
              <w:t>Duplicate/conflicting email prevention when AI and humans can both send.</w:t>
            </w:r>
          </w:p>
        </w:tc>
      </w:tr>
      <w:tr>
        <w:tc>
          <w:tcPr>
            <w:tcW w:type="dxa" w:w="5040"/>
            <w:tcMar>
              <w:top w:w="90" w:type="dxa"/>
              <w:start w:w="90" w:type="dxa"/>
              <w:bottom w:w="90" w:type="dxa"/>
              <w:end w:w="90" w:type="dxa"/>
            </w:tcMar>
            <w:vAlign w:val="top"/>
          </w:tcPr>
          <w:p>
            <w:r>
              <w:rPr>
                <w:sz w:val="16"/>
              </w:rPr>
              <w:t>OC-05</w:t>
            </w:r>
          </w:p>
        </w:tc>
        <w:tc>
          <w:tcPr>
            <w:tcW w:type="dxa" w:w="5040"/>
            <w:tcMar>
              <w:top w:w="90" w:type="dxa"/>
              <w:start w:w="90" w:type="dxa"/>
              <w:bottom w:w="90" w:type="dxa"/>
              <w:end w:w="90" w:type="dxa"/>
            </w:tcMar>
            <w:vAlign w:val="top"/>
          </w:tcPr>
          <w:p>
            <w:r>
              <w:rPr>
                <w:sz w:val="16"/>
              </w:rPr>
              <w:t>Exact automation pause/resume behavior after manual takeover.</w:t>
            </w:r>
          </w:p>
        </w:tc>
      </w:tr>
      <w:tr>
        <w:tc>
          <w:tcPr>
            <w:tcW w:type="dxa" w:w="5040"/>
            <w:tcMar>
              <w:top w:w="90" w:type="dxa"/>
              <w:start w:w="90" w:type="dxa"/>
              <w:bottom w:w="90" w:type="dxa"/>
              <w:end w:w="90" w:type="dxa"/>
            </w:tcMar>
            <w:vAlign w:val="top"/>
          </w:tcPr>
          <w:p>
            <w:r>
              <w:rPr>
                <w:sz w:val="16"/>
              </w:rPr>
              <w:t>OC-06</w:t>
            </w:r>
          </w:p>
        </w:tc>
        <w:tc>
          <w:tcPr>
            <w:tcW w:type="dxa" w:w="5040"/>
            <w:tcMar>
              <w:top w:w="90" w:type="dxa"/>
              <w:start w:w="90" w:type="dxa"/>
              <w:bottom w:w="90" w:type="dxa"/>
              <w:end w:w="90" w:type="dxa"/>
            </w:tcMar>
            <w:vAlign w:val="top"/>
          </w:tcPr>
          <w:p>
            <w:r>
              <w:rPr>
                <w:sz w:val="16"/>
              </w:rPr>
              <w:t>Proposal rejection/regeneration workflow.</w:t>
            </w:r>
          </w:p>
        </w:tc>
      </w:tr>
      <w:tr>
        <w:tc>
          <w:tcPr>
            <w:tcW w:type="dxa" w:w="5040"/>
            <w:tcMar>
              <w:top w:w="90" w:type="dxa"/>
              <w:start w:w="90" w:type="dxa"/>
              <w:bottom w:w="90" w:type="dxa"/>
              <w:end w:w="90" w:type="dxa"/>
            </w:tcMar>
            <w:vAlign w:val="top"/>
          </w:tcPr>
          <w:p>
            <w:r>
              <w:rPr>
                <w:sz w:val="16"/>
              </w:rPr>
              <w:t>OC-07</w:t>
            </w:r>
          </w:p>
        </w:tc>
        <w:tc>
          <w:tcPr>
            <w:tcW w:type="dxa" w:w="5040"/>
            <w:tcMar>
              <w:top w:w="90" w:type="dxa"/>
              <w:start w:w="90" w:type="dxa"/>
              <w:bottom w:w="90" w:type="dxa"/>
              <w:end w:w="90" w:type="dxa"/>
            </w:tcMar>
            <w:vAlign w:val="top"/>
          </w:tcPr>
          <w:p>
            <w:r>
              <w:rPr>
                <w:sz w:val="16"/>
              </w:rPr>
              <w:t>Approved knowledge-base sources and governance.</w:t>
            </w:r>
          </w:p>
        </w:tc>
      </w:tr>
      <w:tr>
        <w:tc>
          <w:tcPr>
            <w:tcW w:type="dxa" w:w="5040"/>
            <w:tcMar>
              <w:top w:w="90" w:type="dxa"/>
              <w:start w:w="90" w:type="dxa"/>
              <w:bottom w:w="90" w:type="dxa"/>
              <w:end w:w="90" w:type="dxa"/>
            </w:tcMar>
            <w:vAlign w:val="top"/>
          </w:tcPr>
          <w:p>
            <w:r>
              <w:rPr>
                <w:sz w:val="16"/>
              </w:rPr>
              <w:t>OC-08</w:t>
            </w:r>
          </w:p>
        </w:tc>
        <w:tc>
          <w:tcPr>
            <w:tcW w:type="dxa" w:w="5040"/>
            <w:tcMar>
              <w:top w:w="90" w:type="dxa"/>
              <w:start w:w="90" w:type="dxa"/>
              <w:bottom w:w="90" w:type="dxa"/>
              <w:end w:w="90" w:type="dxa"/>
            </w:tcMar>
            <w:vAlign w:val="top"/>
          </w:tcPr>
          <w:p>
            <w:r>
              <w:rPr>
                <w:sz w:val="16"/>
              </w:rPr>
              <w:t>WhatsApp Business API/provider and template requirements.</w:t>
            </w:r>
          </w:p>
        </w:tc>
      </w:tr>
      <w:tr>
        <w:tc>
          <w:tcPr>
            <w:tcW w:type="dxa" w:w="5040"/>
            <w:tcMar>
              <w:top w:w="90" w:type="dxa"/>
              <w:start w:w="90" w:type="dxa"/>
              <w:bottom w:w="90" w:type="dxa"/>
              <w:end w:w="90" w:type="dxa"/>
            </w:tcMar>
            <w:vAlign w:val="top"/>
          </w:tcPr>
          <w:p>
            <w:r>
              <w:rPr>
                <w:sz w:val="16"/>
              </w:rPr>
              <w:t>OC-09</w:t>
            </w:r>
          </w:p>
        </w:tc>
        <w:tc>
          <w:tcPr>
            <w:tcW w:type="dxa" w:w="5040"/>
            <w:tcMar>
              <w:top w:w="90" w:type="dxa"/>
              <w:start w:w="90" w:type="dxa"/>
              <w:bottom w:w="90" w:type="dxa"/>
              <w:end w:w="90" w:type="dxa"/>
            </w:tcMar>
            <w:vAlign w:val="top"/>
          </w:tcPr>
          <w:p>
            <w:r>
              <w:rPr>
                <w:sz w:val="16"/>
              </w:rPr>
              <w:t>Who confirms meetings and what constitutes confirmation.</w:t>
            </w:r>
          </w:p>
        </w:tc>
      </w:tr>
      <w:tr>
        <w:tc>
          <w:tcPr>
            <w:tcW w:type="dxa" w:w="5040"/>
            <w:tcMar>
              <w:top w:w="90" w:type="dxa"/>
              <w:start w:w="90" w:type="dxa"/>
              <w:bottom w:w="90" w:type="dxa"/>
              <w:end w:w="90" w:type="dxa"/>
            </w:tcMar>
            <w:vAlign w:val="top"/>
          </w:tcPr>
          <w:p>
            <w:r>
              <w:rPr>
                <w:sz w:val="16"/>
              </w:rPr>
              <w:t>OC-10</w:t>
            </w:r>
          </w:p>
        </w:tc>
        <w:tc>
          <w:tcPr>
            <w:tcW w:type="dxa" w:w="5040"/>
            <w:tcMar>
              <w:top w:w="90" w:type="dxa"/>
              <w:start w:w="90" w:type="dxa"/>
              <w:bottom w:w="90" w:type="dxa"/>
              <w:end w:w="90" w:type="dxa"/>
            </w:tcMar>
            <w:vAlign w:val="top"/>
          </w:tcPr>
          <w:p>
            <w:r>
              <w:rPr>
                <w:sz w:val="16"/>
              </w:rPr>
              <w:t>Notification channels and escalation rules.</w:t>
            </w:r>
          </w:p>
        </w:tc>
      </w:tr>
      <w:tr>
        <w:tc>
          <w:tcPr>
            <w:tcW w:type="dxa" w:w="5040"/>
            <w:tcMar>
              <w:top w:w="90" w:type="dxa"/>
              <w:start w:w="90" w:type="dxa"/>
              <w:bottom w:w="90" w:type="dxa"/>
              <w:end w:w="90" w:type="dxa"/>
            </w:tcMar>
            <w:vAlign w:val="top"/>
          </w:tcPr>
          <w:p>
            <w:r>
              <w:rPr>
                <w:sz w:val="16"/>
              </w:rPr>
              <w:t>OC-11</w:t>
            </w:r>
          </w:p>
        </w:tc>
        <w:tc>
          <w:tcPr>
            <w:tcW w:type="dxa" w:w="5040"/>
            <w:tcMar>
              <w:top w:w="90" w:type="dxa"/>
              <w:start w:w="90" w:type="dxa"/>
              <w:bottom w:w="90" w:type="dxa"/>
              <w:end w:w="90" w:type="dxa"/>
            </w:tcMar>
            <w:vAlign w:val="top"/>
          </w:tcPr>
          <w:p>
            <w:r>
              <w:rPr>
                <w:sz w:val="16"/>
              </w:rPr>
              <w:t>Agent concurrency/priority policy per lead/deal.</w:t>
            </w:r>
          </w:p>
        </w:tc>
      </w:tr>
      <w:tr>
        <w:tc>
          <w:tcPr>
            <w:tcW w:type="dxa" w:w="5040"/>
            <w:tcMar>
              <w:top w:w="90" w:type="dxa"/>
              <w:start w:w="90" w:type="dxa"/>
              <w:bottom w:w="90" w:type="dxa"/>
              <w:end w:w="90" w:type="dxa"/>
            </w:tcMar>
            <w:vAlign w:val="top"/>
          </w:tcPr>
          <w:p>
            <w:r>
              <w:rPr>
                <w:sz w:val="16"/>
              </w:rPr>
              <w:t>OC-12</w:t>
            </w:r>
          </w:p>
        </w:tc>
        <w:tc>
          <w:tcPr>
            <w:tcW w:type="dxa" w:w="5040"/>
            <w:tcMar>
              <w:top w:w="90" w:type="dxa"/>
              <w:start w:w="90" w:type="dxa"/>
              <w:bottom w:w="90" w:type="dxa"/>
              <w:end w:w="90" w:type="dxa"/>
            </w:tcMar>
            <w:vAlign w:val="top"/>
          </w:tcPr>
          <w:p>
            <w:r>
              <w:rPr>
                <w:sz w:val="16"/>
              </w:rPr>
              <w:t>SES vs Outlook channel-selection rules for each email type.</w:t>
            </w:r>
          </w:p>
        </w:tc>
      </w:tr>
      <w:tr>
        <w:tc>
          <w:tcPr>
            <w:tcW w:type="dxa" w:w="5040"/>
            <w:tcMar>
              <w:top w:w="90" w:type="dxa"/>
              <w:start w:w="90" w:type="dxa"/>
              <w:bottom w:w="90" w:type="dxa"/>
              <w:end w:w="90" w:type="dxa"/>
            </w:tcMar>
            <w:vAlign w:val="top"/>
          </w:tcPr>
          <w:p>
            <w:r>
              <w:rPr>
                <w:sz w:val="16"/>
              </w:rPr>
              <w:t>OC-13</w:t>
            </w:r>
          </w:p>
        </w:tc>
        <w:tc>
          <w:tcPr>
            <w:tcW w:type="dxa" w:w="5040"/>
            <w:tcMar>
              <w:top w:w="90" w:type="dxa"/>
              <w:start w:w="90" w:type="dxa"/>
              <w:bottom w:w="90" w:type="dxa"/>
              <w:end w:w="90" w:type="dxa"/>
            </w:tcMar>
            <w:vAlign w:val="top"/>
          </w:tcPr>
          <w:p>
            <w:r>
              <w:rPr>
                <w:sz w:val="16"/>
              </w:rPr>
              <w:t>Calling compliance/consent rules by geography and supported countries.</w:t>
            </w:r>
          </w:p>
        </w:tc>
      </w:tr>
    </w:tbl>
    <w:p>
      <w:pPr>
        <w:pStyle w:val="Heading1"/>
      </w:pPr>
      <w:r>
        <w:t>14. Acceptance Baseline</w:t>
      </w:r>
    </w:p>
    <w:p>
      <w:pPr>
        <w:pStyle w:val="ListBullet"/>
      </w:pPr>
      <w:r>
        <w:t>A real Zoho lead can be synchronized into the automation engine and mapped deterministically.</w:t>
      </w:r>
    </w:p>
    <w:p>
      <w:pPr>
        <w:pStyle w:val="ListBullet"/>
      </w:pPr>
      <w:r>
        <w:t>A real configured email can be generated, approved by business rules, sent and recorded with delivery/failure state.</w:t>
      </w:r>
    </w:p>
    <w:p>
      <w:pPr>
        <w:pStyle w:val="ListBullet"/>
      </w:pPr>
      <w:r>
        <w:t>Follow-up jobs survive restarts and do not duplicate sends.</w:t>
      </w:r>
    </w:p>
    <w:p>
      <w:pPr>
        <w:pStyle w:val="ListBullet"/>
      </w:pPr>
      <w:r>
        <w:t>Inbound response updates context and changes automation behavior correctly.</w:t>
      </w:r>
    </w:p>
    <w:p>
      <w:pPr>
        <w:pStyle w:val="ListBullet"/>
      </w:pPr>
      <w:r>
        <w:t>Proposal cannot be sent without recorded human approval.</w:t>
      </w:r>
    </w:p>
    <w:p>
      <w:pPr>
        <w:pStyle w:val="ListBullet"/>
      </w:pPr>
      <w:r>
        <w:t>Negotiation triggers human handoff and pauses prohibited automation.</w:t>
      </w:r>
    </w:p>
    <w:p>
      <w:pPr>
        <w:pStyle w:val="ListBullet"/>
      </w:pPr>
      <w:r>
        <w:t>Meeting flow checks real availability and records confirmation.</w:t>
      </w:r>
    </w:p>
    <w:p>
      <w:pPr>
        <w:pStyle w:val="ListBullet"/>
      </w:pPr>
      <w:r>
        <w:t>All material actions are auditable and sync status with Zoho is visible.</w:t>
      </w:r>
    </w:p>
    <w:p>
      <w:pPr>
        <w:pStyle w:val="ListBullet"/>
      </w:pPr>
      <w:r>
        <w:t>Provider failures are surfaced and recoverable without silent data loss.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Shilabs AI Sales Automation - Internal Product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