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b/>
          <w:color w:val="2563EB"/>
          <w:sz w:val="30"/>
        </w:rPr>
        <w:t>SHILABS</w:t>
      </w:r>
    </w:p>
    <w:p>
      <w:pPr>
        <w:pStyle w:val="Title"/>
        <w:spacing w:before="200" w:after="120"/>
        <w:jc w:val="center"/>
      </w:pPr>
      <w:r>
        <w:t>AI Sales Engine</w:t>
      </w:r>
    </w:p>
    <w:p>
      <w:pPr>
        <w:jc w:val="center"/>
      </w:pPr>
      <w:r>
        <w:rPr>
          <w:b/>
          <w:color w:val="27364A"/>
          <w:sz w:val="28"/>
        </w:rPr>
        <w:t>Concurrent Development Plan</w:t>
      </w:r>
    </w:p>
    <w:p>
      <w:pPr>
        <w:spacing w:before="280"/>
        <w:jc w:val="center"/>
      </w:pPr>
      <w:r>
        <w:rPr>
          <w:color w:val="667085"/>
          <w:sz w:val="19"/>
        </w:rPr>
        <w:t>Implementation workstreams, dependencies, milestones and realistic timeline for an in-house build</w:t>
      </w:r>
    </w:p>
    <w:p>
      <w:pPr>
        <w:spacing w:before="960"/>
        <w:jc w:val="center"/>
      </w:pPr>
      <w:r>
        <w:rPr>
          <w:color w:val="667085"/>
          <w:sz w:val="16"/>
        </w:rPr>
        <w:t>Version 2.0 | September 2026</w:t>
      </w:r>
    </w:p>
    <w:p>
      <w:r>
        <w:br w:type="page"/>
      </w:r>
    </w:p>
    <w:tbl>
      <w:tblPr>
        <w:tblW w:type="auto" w:w="0"/>
        <w:tblLayout w:type="fixed"/>
        <w:tblLook w:firstColumn="1" w:firstRow="1" w:lastColumn="0" w:lastRow="0" w:noHBand="0" w:noVBand="1" w:val="04A0"/>
      </w:tblPr>
      <w:tblGrid>
        <w:gridCol w:w="5155"/>
        <w:gridCol w:w="5155"/>
      </w:tblGrid>
      <w:tr>
        <w:tc>
          <w:tcPr>
            <w:tcW w:type="dxa" w:w="5155"/>
            <w:shd w:fill="B45309"/>
          </w:tcPr>
          <w:p/>
        </w:tc>
        <w:tc>
          <w:tcPr>
            <w:tcW w:type="dxa" w:w="5155"/>
            <w:shd w:fill="FFF8E7"/>
            <w:tcMar>
              <w:top w:w="90" w:type="dxa"/>
              <w:start w:w="135" w:type="dxa"/>
              <w:bottom w:w="90" w:type="dxa"/>
              <w:end w:w="135" w:type="dxa"/>
            </w:tcMar>
          </w:tcPr>
          <w:p>
            <w:pPr>
              <w:spacing w:after="40"/>
            </w:pPr>
            <w:r/>
            <w:r>
              <w:rPr>
                <w:b/>
                <w:color w:val="14233B"/>
                <w:sz w:val="19"/>
              </w:rPr>
              <w:t>Planning assumption</w:t>
            </w:r>
          </w:p>
          <w:p>
            <w:pPr>
              <w:spacing w:after="0"/>
            </w:pPr>
            <w:r>
              <w:rPr>
                <w:color w:val="27364A"/>
                <w:sz w:val="17"/>
              </w:rPr>
              <w:t>This plan assumes one primary developer using Codex heavily. Independent workstreams are designed to run concurrently where possible, but integration gates, QA and external API access still control the final timeline.</w:t>
            </w:r>
          </w:p>
        </w:tc>
      </w:tr>
    </w:tbl>
    <w:p>
      <w:pPr>
        <w:spacing w:after="0"/>
      </w:pPr>
    </w:p>
    <w:p>
      <w:pPr>
        <w:pStyle w:val="Heading1"/>
      </w:pPr>
      <w:r>
        <w:t>1. Development Strategy</w:t>
      </w:r>
    </w:p>
    <w:p>
      <w:r>
        <w:t>Build a modular monolith API plus a separate background worker. Avoid premature microservices. Frontend, platform foundation and AI contracts can start together; integrations should begin only after stable domain interfaces exist.</w:t>
      </w:r>
    </w:p>
    <w:tbl>
      <w:tblPr>
        <w:tblStyle w:val="TableGrid"/>
        <w:tblW w:type="auto" w:w="0"/>
        <w:tblLook w:firstColumn="1" w:firstRow="1" w:lastColumn="0" w:lastRow="0" w:noHBand="0" w:noVBand="1" w:val="04A0"/>
      </w:tblPr>
      <w:tblGrid>
        <w:gridCol w:w="10310"/>
      </w:tblGrid>
      <w:tr>
        <w:tc>
          <w:tcPr>
            <w:tcW w:type="dxa" w:w="10310"/>
            <w:shd w:fill="F3F4F6"/>
            <w:tcMar>
              <w:top w:w="85" w:type="dxa"/>
              <w:start w:w="110" w:type="dxa"/>
              <w:bottom w:w="85" w:type="dxa"/>
              <w:end w:w="110" w:type="dxa"/>
            </w:tcMar>
          </w:tcPr>
          <w:p>
            <w:pPr>
              <w:pStyle w:val="CodeBlock"/>
              <w:spacing w:after="0"/>
            </w:pPr>
            <w:r/>
            <w:r>
              <w:t>PRODUCT / UX       PLATFORM CORE          AI FOUNDATION</w:t>
            </w:r>
          </w:p>
          <w:p>
            <w:pPr>
              <w:pStyle w:val="CodeBlock"/>
              <w:spacing w:after="0"/>
            </w:pPr>
            <w:r>
              <w:t xml:space="preserve">     │                    │                     │</w:t>
            </w:r>
          </w:p>
          <w:p>
            <w:pPr>
              <w:pStyle w:val="CodeBlock"/>
              <w:spacing w:after="0"/>
            </w:pPr>
            <w:r>
              <w:t>Wireframes         Repo / DB / Auth       AIProvider</w:t>
            </w:r>
          </w:p>
          <w:p>
            <w:pPr>
              <w:pStyle w:val="CodeBlock"/>
              <w:spacing w:after="0"/>
            </w:pPr>
            <w:r>
              <w:t>Screen states      CRM domain             schemas/prompts</w:t>
            </w:r>
          </w:p>
          <w:p>
            <w:pPr>
              <w:pStyle w:val="CodeBlock"/>
              <w:spacing w:after="0"/>
            </w:pPr>
            <w:r>
              <w:t>Acceptance rules   Audit / events         test harness</w:t>
            </w:r>
          </w:p>
          <w:p>
            <w:pPr>
              <w:pStyle w:val="CodeBlock"/>
              <w:spacing w:after="0"/>
            </w:pPr>
            <w:r>
              <w:t xml:space="preserve">     └──────────────┬──────────────────────┘</w:t>
            </w:r>
          </w:p>
          <w:p>
            <w:pPr>
              <w:pStyle w:val="CodeBlock"/>
              <w:spacing w:after="0"/>
            </w:pPr>
            <w:r>
              <w:t xml:space="preserve">                    ↓</w:t>
            </w:r>
          </w:p>
          <w:p>
            <w:pPr>
              <w:pStyle w:val="CodeBlock"/>
              <w:spacing w:after="0"/>
            </w:pPr>
            <w:r>
              <w:t xml:space="preserve">        CONVERSATIONS + AUTOMATION</w:t>
            </w:r>
          </w:p>
          <w:p>
            <w:pPr>
              <w:pStyle w:val="CodeBlock"/>
              <w:spacing w:after="0"/>
            </w:pPr>
            <w:r>
              <w:t xml:space="preserve">                    ↓</w:t>
            </w:r>
          </w:p>
          <w:p>
            <w:pPr>
              <w:pStyle w:val="CodeBlock"/>
              <w:spacing w:after="0"/>
            </w:pPr>
            <w:r>
              <w:t xml:space="preserve">       WHATSAPP + MEETINGS + DASHBOARD</w:t>
            </w:r>
          </w:p>
          <w:p>
            <w:pPr>
              <w:pStyle w:val="CodeBlock"/>
              <w:spacing w:after="0"/>
            </w:pPr>
            <w:r>
              <w:t xml:space="preserve">                    ↓</w:t>
            </w:r>
          </w:p>
          <w:p>
            <w:pPr>
              <w:pStyle w:val="CodeBlock"/>
              <w:spacing w:after="0"/>
            </w:pPr>
            <w:r>
              <w:t xml:space="preserve">             HARDENING + UAT</w:t>
            </w:r>
          </w:p>
        </w:tc>
      </w:tr>
    </w:tbl>
    <w:p>
      <w:pPr>
        <w:spacing w:after="0"/>
      </w:pPr>
    </w:p>
    <w:p>
      <w:pPr>
        <w:pStyle w:val="Heading1"/>
      </w:pPr>
      <w:r>
        <w:t>2. Concurrent Workstreams</w:t>
      </w:r>
    </w:p>
    <w:tbl>
      <w:tblPr>
        <w:tblStyle w:val="TableGrid"/>
        <w:tblW w:type="auto" w:w="0"/>
        <w:jc w:val="center"/>
        <w:tblLook w:firstColumn="1" w:firstRow="1" w:lastColumn="0" w:lastRow="0" w:noHBand="0" w:noVBand="1" w:val="04A0"/>
      </w:tblPr>
      <w:tblGrid>
        <w:gridCol w:w="2577"/>
        <w:gridCol w:w="2577"/>
        <w:gridCol w:w="2577"/>
        <w:gridCol w:w="2577"/>
      </w:tblGrid>
      <w:tr>
        <w:tc>
          <w:tcPr>
            <w:tcW w:type="dxa" w:w="2577"/>
            <w:vAlign w:val="center"/>
            <w:shd w:fill="14233B"/>
            <w:tcMar>
              <w:top w:w="70" w:type="dxa"/>
              <w:start w:w="85" w:type="dxa"/>
              <w:bottom w:w="70" w:type="dxa"/>
              <w:end w:w="85" w:type="dxa"/>
            </w:tcMar>
          </w:tcPr>
          <w:p>
            <w:pPr>
              <w:spacing w:after="0"/>
            </w:pPr>
            <w:r/>
            <w:r>
              <w:rPr>
                <w:rFonts w:ascii="Aptos" w:hAnsi="Aptos"/>
                <w:b/>
                <w:color w:val="FFFFFF"/>
                <w:sz w:val="15"/>
              </w:rPr>
              <w:t>Workstream</w:t>
            </w:r>
          </w:p>
        </w:tc>
        <w:tc>
          <w:tcPr>
            <w:tcW w:type="dxa" w:w="2577"/>
            <w:vAlign w:val="center"/>
            <w:shd w:fill="14233B"/>
            <w:tcMar>
              <w:top w:w="70" w:type="dxa"/>
              <w:start w:w="85" w:type="dxa"/>
              <w:bottom w:w="70" w:type="dxa"/>
              <w:end w:w="85" w:type="dxa"/>
            </w:tcMar>
          </w:tcPr>
          <w:p>
            <w:pPr>
              <w:spacing w:after="0"/>
            </w:pPr>
            <w:r/>
            <w:r>
              <w:rPr>
                <w:rFonts w:ascii="Aptos" w:hAnsi="Aptos"/>
                <w:b/>
                <w:color w:val="FFFFFF"/>
                <w:sz w:val="15"/>
              </w:rPr>
              <w:t>Primary deliverables</w:t>
            </w:r>
          </w:p>
        </w:tc>
        <w:tc>
          <w:tcPr>
            <w:tcW w:type="dxa" w:w="2577"/>
            <w:vAlign w:val="center"/>
            <w:shd w:fill="14233B"/>
            <w:tcMar>
              <w:top w:w="70" w:type="dxa"/>
              <w:start w:w="85" w:type="dxa"/>
              <w:bottom w:w="70" w:type="dxa"/>
              <w:end w:w="85" w:type="dxa"/>
            </w:tcMar>
          </w:tcPr>
          <w:p>
            <w:pPr>
              <w:spacing w:after="0"/>
            </w:pPr>
            <w:r/>
            <w:r>
              <w:rPr>
                <w:rFonts w:ascii="Aptos" w:hAnsi="Aptos"/>
                <w:b/>
                <w:color w:val="FFFFFF"/>
                <w:sz w:val="15"/>
              </w:rPr>
              <w:t>Depends on</w:t>
            </w:r>
          </w:p>
        </w:tc>
        <w:tc>
          <w:tcPr>
            <w:tcW w:type="dxa" w:w="2577"/>
            <w:vAlign w:val="center"/>
            <w:shd w:fill="14233B"/>
            <w:tcMar>
              <w:top w:w="70" w:type="dxa"/>
              <w:start w:w="85" w:type="dxa"/>
              <w:bottom w:w="70" w:type="dxa"/>
              <w:end w:w="85" w:type="dxa"/>
            </w:tcMar>
          </w:tcPr>
          <w:p>
            <w:pPr>
              <w:spacing w:after="0"/>
            </w:pPr>
            <w:r/>
            <w:r>
              <w:rPr>
                <w:rFonts w:ascii="Aptos" w:hAnsi="Aptos"/>
                <w:b/>
                <w:color w:val="FFFFFF"/>
                <w:sz w:val="15"/>
              </w:rPr>
              <w:t>Parallel with</w:t>
            </w:r>
          </w:p>
        </w:tc>
      </w:tr>
      <w:tr>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A. Product / UX</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Wireframes, states, API/UI contracts, acceptance criteria</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Approved product flow</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B, C</w:t>
            </w:r>
          </w:p>
        </w:tc>
      </w:tr>
      <w:tr>
        <w:tc>
          <w:tcPr>
            <w:tcW w:type="dxa" w:w="2577"/>
            <w:vAlign w:val="center"/>
            <w:tcMar>
              <w:top w:w="70" w:type="dxa"/>
              <w:start w:w="85" w:type="dxa"/>
              <w:bottom w:w="70" w:type="dxa"/>
              <w:end w:w="85" w:type="dxa"/>
            </w:tcMar>
          </w:tcPr>
          <w:p>
            <w:pPr>
              <w:spacing w:after="0"/>
            </w:pPr>
            <w:r/>
            <w:r>
              <w:rPr>
                <w:rFonts w:ascii="Aptos" w:hAnsi="Aptos"/>
                <w:b w:val="0"/>
                <w:color w:val="27364A"/>
                <w:sz w:val="15"/>
              </w:rPr>
              <w:t>B. Platform Core</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Repo, config, PostgreSQL, auth/RBAC, audit foundation</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Architecture</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A, C</w:t>
            </w:r>
          </w:p>
        </w:tc>
      </w:tr>
      <w:tr>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C. AI Foundation</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AIProvider abstraction, structured schemas, prompt contracts, simulator</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Architecture</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A, B</w:t>
            </w:r>
          </w:p>
        </w:tc>
      </w:tr>
      <w:tr>
        <w:tc>
          <w:tcPr>
            <w:tcW w:type="dxa" w:w="2577"/>
            <w:vAlign w:val="center"/>
            <w:tcMar>
              <w:top w:w="70" w:type="dxa"/>
              <w:start w:w="85" w:type="dxa"/>
              <w:bottom w:w="70" w:type="dxa"/>
              <w:end w:w="85" w:type="dxa"/>
            </w:tcMar>
          </w:tcPr>
          <w:p>
            <w:pPr>
              <w:spacing w:after="0"/>
            </w:pPr>
            <w:r/>
            <w:r>
              <w:rPr>
                <w:rFonts w:ascii="Aptos" w:hAnsi="Aptos"/>
                <w:b w:val="0"/>
                <w:color w:val="27364A"/>
                <w:sz w:val="15"/>
              </w:rPr>
              <w:t>D. CRM Domain</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Companies, contacts, leads, deals, pipeline, activity</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DB/auth base</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C, E</w:t>
            </w:r>
          </w:p>
        </w:tc>
      </w:tr>
      <w:tr>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E. Messaging</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Conversation/message models, internal simulator, realtime UI</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DB/auth</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D, C</w:t>
            </w:r>
          </w:p>
        </w:tc>
      </w:tr>
      <w:tr>
        <w:tc>
          <w:tcPr>
            <w:tcW w:type="dxa" w:w="2577"/>
            <w:vAlign w:val="center"/>
            <w:tcMar>
              <w:top w:w="70" w:type="dxa"/>
              <w:start w:w="85" w:type="dxa"/>
              <w:bottom w:w="70" w:type="dxa"/>
              <w:end w:w="85" w:type="dxa"/>
            </w:tcMar>
          </w:tcPr>
          <w:p>
            <w:pPr>
              <w:spacing w:after="0"/>
            </w:pPr>
            <w:r/>
            <w:r>
              <w:rPr>
                <w:rFonts w:ascii="Aptos" w:hAnsi="Aptos"/>
                <w:b w:val="0"/>
                <w:color w:val="27364A"/>
                <w:sz w:val="15"/>
              </w:rPr>
              <w:t>F. Automation</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Events, Redis, BullMQ, follow-up rules, cancellation/retries</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Event contracts</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D, E</w:t>
            </w:r>
          </w:p>
        </w:tc>
      </w:tr>
      <w:tr>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G. Integrations</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WhatsApp, email, optional calendar adapters</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Stable domain interfaces</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Admin UI</w:t>
            </w:r>
          </w:p>
        </w:tc>
      </w:tr>
      <w:tr>
        <w:tc>
          <w:tcPr>
            <w:tcW w:type="dxa" w:w="2577"/>
            <w:vAlign w:val="center"/>
            <w:tcMar>
              <w:top w:w="70" w:type="dxa"/>
              <w:start w:w="85" w:type="dxa"/>
              <w:bottom w:w="70" w:type="dxa"/>
              <w:end w:w="85" w:type="dxa"/>
            </w:tcMar>
          </w:tcPr>
          <w:p>
            <w:pPr>
              <w:spacing w:after="0"/>
            </w:pPr>
            <w:r/>
            <w:r>
              <w:rPr>
                <w:rFonts w:ascii="Aptos" w:hAnsi="Aptos"/>
                <w:b w:val="0"/>
                <w:color w:val="27364A"/>
                <w:sz w:val="15"/>
              </w:rPr>
              <w:t>H. Dashboard / Analytics</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KPIs, hot/at-risk rules, aggregations</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Real CRM contracts/data</w:t>
            </w:r>
          </w:p>
        </w:tc>
        <w:tc>
          <w:tcPr>
            <w:tcW w:type="dxa" w:w="2577"/>
            <w:vAlign w:val="center"/>
            <w:tcMar>
              <w:top w:w="70" w:type="dxa"/>
              <w:start w:w="85" w:type="dxa"/>
              <w:bottom w:w="70" w:type="dxa"/>
              <w:end w:w="85" w:type="dxa"/>
            </w:tcMar>
          </w:tcPr>
          <w:p>
            <w:pPr>
              <w:spacing w:after="0"/>
            </w:pPr>
            <w:r/>
            <w:r>
              <w:rPr>
                <w:rFonts w:ascii="Aptos" w:hAnsi="Aptos"/>
                <w:b w:val="0"/>
                <w:color w:val="27364A"/>
                <w:sz w:val="15"/>
              </w:rPr>
              <w:t>G</w:t>
            </w:r>
          </w:p>
        </w:tc>
      </w:tr>
      <w:tr>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I. Hardening</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E2E, security, observability, deployment</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Integrated MVP</w:t>
            </w:r>
          </w:p>
        </w:tc>
        <w:tc>
          <w:tcPr>
            <w:tcW w:type="dxa" w:w="2577"/>
            <w:vAlign w:val="center"/>
            <w:shd w:fill="F6F8FB"/>
            <w:tcMar>
              <w:top w:w="70" w:type="dxa"/>
              <w:start w:w="85" w:type="dxa"/>
              <w:bottom w:w="70" w:type="dxa"/>
              <w:end w:w="85" w:type="dxa"/>
            </w:tcMar>
          </w:tcPr>
          <w:p>
            <w:pPr>
              <w:spacing w:after="0"/>
            </w:pPr>
            <w:r/>
            <w:r>
              <w:rPr>
                <w:rFonts w:ascii="Aptos" w:hAnsi="Aptos"/>
                <w:b w:val="0"/>
                <w:color w:val="27364A"/>
                <w:sz w:val="15"/>
              </w:rPr>
              <w:t>UI polish</w:t>
            </w:r>
          </w:p>
        </w:tc>
      </w:tr>
    </w:tbl>
    <w:p>
      <w:pPr>
        <w:spacing w:after="0"/>
      </w:pPr>
    </w:p>
    <w:p>
      <w:pPr>
        <w:pStyle w:val="Heading1"/>
      </w:pPr>
      <w:r>
        <w:t>3. Technology Plan</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Layer</w:t>
            </w:r>
          </w:p>
        </w:tc>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Recommendation</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Frontend</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React + TypeScript + Vite</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Backend</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Node.js + TypeScript + Express/Fastify</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Database</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PostgreSQL</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ORM</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Prisma</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Queue/cache</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Redis + BullMQ</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Realtime</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Socket.IO / WebSocket</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AI</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OpenAI behind internal AIProvider</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RAG</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PostgreSQL + pgvector initially</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Testing</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Vitest/Jest + Supertest + Playwright</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Deployment</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Dockerized web/api/worker services</w:t>
            </w:r>
          </w:p>
        </w:tc>
      </w:tr>
    </w:tbl>
    <w:p>
      <w:pPr>
        <w:spacing w:after="0"/>
      </w:pPr>
    </w:p>
    <w:p>
      <w:pPr>
        <w:pStyle w:val="Heading1"/>
      </w:pPr>
      <w:r>
        <w:t>4. Milestones</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Milestone</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Scope</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Acceptance criterion</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M1 Foundation</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Repo, env, DB, migrations, auth, roles, health checks, tests</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Local platform runs cleanly</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M2 CRM</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Companies, contacts, leads, deals, pipeline, activities</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Lead lifecycle works without AI</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M3 Conversation + AI Qualification</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Internal chat, AI provider, qualification, scoring, knowledge v1</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Conversation can update structured lead qualification</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M4 Automation</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Events, BullMQ, follow-up rules, retries/cancellation</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Durable no-response follow-up works</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M5 WhatsApp</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Webhook, dedupe, outbound, delivery status, human takeover</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End-to-end WhatsApp flow works</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M6 Meetings</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Availability, booking, reschedule/cancel, timezone handling</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Qualified lead can book safely</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M7 Dashboard</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KPIs, due follow-ups, hot/at-risk rules, notifications</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Native operational dashboard uses real data</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M8 Release</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E2E, security, provider failures, deploy/UAT</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Pilot-ready MVP</w:t>
            </w:r>
          </w:p>
        </w:tc>
      </w:tr>
    </w:tbl>
    <w:p>
      <w:pPr>
        <w:spacing w:after="0"/>
      </w:pPr>
    </w:p>
    <w:p>
      <w:pPr>
        <w:pStyle w:val="Heading1"/>
      </w:pPr>
      <w:r>
        <w:t>5. Tentative Timeline — One Primary Developer + Codex</w:t>
      </w:r>
    </w:p>
    <w:tbl>
      <w:tblPr>
        <w:tblStyle w:val="TableGrid"/>
        <w:tblW w:type="auto" w:w="0"/>
        <w:jc w:val="center"/>
        <w:tblLook w:firstColumn="1" w:firstRow="1" w:lastColumn="0" w:lastRow="0" w:noHBand="0" w:noVBand="1" w:val="04A0"/>
      </w:tblPr>
      <w:tblGrid>
        <w:gridCol w:w="3437"/>
        <w:gridCol w:w="3437"/>
        <w:gridCol w:w="3437"/>
      </w:tblGrid>
      <w:tr>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Week</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Concurrent focus</w:t>
            </w:r>
          </w:p>
        </w:tc>
        <w:tc>
          <w:tcPr>
            <w:tcW w:type="dxa" w:w="3437"/>
            <w:vAlign w:val="center"/>
            <w:shd w:fill="14233B"/>
            <w:tcMar>
              <w:top w:w="70" w:type="dxa"/>
              <w:start w:w="85" w:type="dxa"/>
              <w:bottom w:w="70" w:type="dxa"/>
              <w:end w:w="85" w:type="dxa"/>
            </w:tcMar>
          </w:tcPr>
          <w:p>
            <w:pPr>
              <w:spacing w:after="0"/>
            </w:pPr>
            <w:r/>
            <w:r>
              <w:rPr>
                <w:rFonts w:ascii="Aptos" w:hAnsi="Aptos"/>
                <w:b/>
                <w:color w:val="FFFFFF"/>
                <w:sz w:val="15"/>
              </w:rPr>
              <w:t>Exit milestone</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1</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Architecture freeze, repo scaffold, UI shell, DB schema, AI contracts</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Project runs locally</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2</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Auth/RBAC, users, company/contact/lead CRUD, Leads UI</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Core CRM records work</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3</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Deals, pipeline, activity, internal conversation models/simulator</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Lead lifecycle + chat simulation</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4</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AI SDR, qualification extraction, deterministic score, knowledge v1</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AI qualification demonstrable</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5</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Redis/BullMQ, events, automation rules, follow-up queue, audit</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Durable follow-up without WhatsApp</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6</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WhatsApp adapter/webhooks, delivery state, human takeover, realtime inbox</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WhatsApp end-to-end</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7</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Internal availability/booking, meeting UI/APIs, optional calendar sync</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Meeting booking works</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8</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Dashboard metrics, hot/at-risk rules, notifications, integration health</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Operational MVP complete</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9</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E2E tests, edge cases, security pass, UX cleanup</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Release candidate</w:t>
            </w:r>
          </w:p>
        </w:tc>
      </w:tr>
      <w:tr>
        <w:tc>
          <w:tcPr>
            <w:tcW w:type="dxa" w:w="3437"/>
            <w:vAlign w:val="center"/>
            <w:tcMar>
              <w:top w:w="70" w:type="dxa"/>
              <w:start w:w="85" w:type="dxa"/>
              <w:bottom w:w="70" w:type="dxa"/>
              <w:end w:w="85" w:type="dxa"/>
            </w:tcMar>
          </w:tcPr>
          <w:p>
            <w:pPr>
              <w:spacing w:after="0"/>
            </w:pPr>
            <w:r/>
            <w:r>
              <w:rPr>
                <w:rFonts w:ascii="Aptos" w:hAnsi="Aptos"/>
                <w:b w:val="0"/>
                <w:color w:val="27364A"/>
                <w:sz w:val="15"/>
              </w:rPr>
              <w:t>10</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Deployment, pilot data, stakeholder UAT fixes</w:t>
            </w:r>
          </w:p>
        </w:tc>
        <w:tc>
          <w:tcPr>
            <w:tcW w:type="dxa" w:w="3437"/>
            <w:vAlign w:val="center"/>
            <w:tcMar>
              <w:top w:w="70" w:type="dxa"/>
              <w:start w:w="85" w:type="dxa"/>
              <w:bottom w:w="70" w:type="dxa"/>
              <w:end w:w="85" w:type="dxa"/>
            </w:tcMar>
          </w:tcPr>
          <w:p>
            <w:pPr>
              <w:spacing w:after="0"/>
            </w:pPr>
            <w:r/>
            <w:r>
              <w:rPr>
                <w:rFonts w:ascii="Aptos" w:hAnsi="Aptos"/>
                <w:b w:val="0"/>
                <w:color w:val="27364A"/>
                <w:sz w:val="15"/>
              </w:rPr>
              <w:t>Pilot-ready</w:t>
            </w:r>
          </w:p>
        </w:tc>
      </w:tr>
      <w:tr>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11-12</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Stabilization / production issues / requirement-change buffer</w:t>
            </w:r>
          </w:p>
        </w:tc>
        <w:tc>
          <w:tcPr>
            <w:tcW w:type="dxa" w:w="3437"/>
            <w:vAlign w:val="center"/>
            <w:shd w:fill="F6F8FB"/>
            <w:tcMar>
              <w:top w:w="70" w:type="dxa"/>
              <w:start w:w="85" w:type="dxa"/>
              <w:bottom w:w="70" w:type="dxa"/>
              <w:end w:w="85" w:type="dxa"/>
            </w:tcMar>
          </w:tcPr>
          <w:p>
            <w:pPr>
              <w:spacing w:after="0"/>
            </w:pPr>
            <w:r/>
            <w:r>
              <w:rPr>
                <w:rFonts w:ascii="Aptos" w:hAnsi="Aptos"/>
                <w:b w:val="0"/>
                <w:color w:val="27364A"/>
                <w:sz w:val="15"/>
              </w:rPr>
              <w:t>Stable MVP</w:t>
            </w:r>
          </w:p>
        </w:tc>
      </w:tr>
    </w:tbl>
    <w:p>
      <w:pPr>
        <w:spacing w:after="0"/>
      </w:pPr>
    </w:p>
    <w:tbl>
      <w:tblPr>
        <w:tblW w:type="auto" w:w="0"/>
        <w:tblLayout w:type="fixed"/>
        <w:tblLook w:firstColumn="1" w:firstRow="1" w:lastColumn="0" w:lastRow="0" w:noHBand="0" w:noVBand="1" w:val="04A0"/>
      </w:tblPr>
      <w:tblGrid>
        <w:gridCol w:w="5155"/>
        <w:gridCol w:w="5155"/>
      </w:tblGrid>
      <w:tr>
        <w:tc>
          <w:tcPr>
            <w:tcW w:type="dxa" w:w="5155"/>
            <w:shd w:fill="2563EB"/>
          </w:tcPr>
          <w:p/>
        </w:tc>
        <w:tc>
          <w:tcPr>
            <w:tcW w:type="dxa" w:w="5155"/>
            <w:shd w:fill="EAF2FF"/>
            <w:tcMar>
              <w:top w:w="90" w:type="dxa"/>
              <w:start w:w="135" w:type="dxa"/>
              <w:bottom w:w="90" w:type="dxa"/>
              <w:end w:w="135" w:type="dxa"/>
            </w:tcMar>
          </w:tcPr>
          <w:p>
            <w:pPr>
              <w:spacing w:after="40"/>
            </w:pPr>
            <w:r/>
            <w:r>
              <w:rPr>
                <w:b/>
                <w:color w:val="14233B"/>
                <w:sz w:val="19"/>
              </w:rPr>
              <w:t>Broader v1</w:t>
            </w:r>
          </w:p>
          <w:p>
            <w:pPr>
              <w:spacing w:after="0"/>
            </w:pPr>
            <w:r>
              <w:rPr>
                <w:color w:val="27364A"/>
                <w:sz w:val="17"/>
              </w:rPr>
              <w:t>Research enrichment, outbound campaigns, Lead Hunter and advanced AI Sales Manager capabilities should be planned as a separate 4–6 week extension after the core MVP, depending on scope and external data requirements.</w:t>
            </w:r>
          </w:p>
        </w:tc>
      </w:tr>
    </w:tbl>
    <w:p>
      <w:pPr>
        <w:spacing w:after="0"/>
      </w:pPr>
    </w:p>
    <w:p>
      <w:pPr>
        <w:pStyle w:val="Heading1"/>
      </w:pPr>
      <w:r>
        <w:t>6. Codex Task Order</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Task</w:t>
            </w:r>
          </w:p>
        </w:tc>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Codex scope</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1</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Scaffold only: monorepo, configs, Docker dev services, READMEs</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2</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Prisma schema, migrations, seed strategy</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3</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Auth/RBAC/users</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4</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Companies/contacts/leads CRUD</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5</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Deals/pipeline/activity/audit</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6</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Conversation/message simulator + realtime</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7</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AI provider + qualification + scoring + knowledge</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8</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Events + Redis/BullMQ + follow-up automation</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9</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WhatsApp integration + human takeover</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10</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Meetings + optional calendar adapter</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11</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Dashboard/analytics/notifications</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12</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E2E, security, deployment</w:t>
            </w:r>
          </w:p>
        </w:tc>
      </w:tr>
    </w:tbl>
    <w:p>
      <w:pPr>
        <w:spacing w:after="0"/>
      </w:pPr>
    </w:p>
    <w:p>
      <w:pPr>
        <w:pStyle w:val="Heading1"/>
      </w:pPr>
      <w:r>
        <w:t>7. Important Engineering Gates</w:t>
      </w:r>
    </w:p>
    <w:p>
      <w:pPr>
        <w:pStyle w:val="ListBullet"/>
        <w:spacing w:after="40"/>
      </w:pPr>
      <w:r>
        <w:rPr>
          <w:sz w:val="17"/>
        </w:rPr>
        <w:t>Do not connect WhatsApp before internal conversation flow works.</w:t>
      </w:r>
    </w:p>
    <w:p>
      <w:pPr>
        <w:pStyle w:val="ListBullet"/>
        <w:spacing w:after="40"/>
      </w:pPr>
      <w:r>
        <w:rPr>
          <w:sz w:val="17"/>
        </w:rPr>
        <w:t>Do not build dashboard logic from mocked numbers; use real CRM queries.</w:t>
      </w:r>
    </w:p>
    <w:p>
      <w:pPr>
        <w:pStyle w:val="ListBullet"/>
        <w:spacing w:after="40"/>
      </w:pPr>
      <w:r>
        <w:rPr>
          <w:sz w:val="17"/>
        </w:rPr>
        <w:t>Do not use in-memory timers for follow-up.</w:t>
      </w:r>
    </w:p>
    <w:p>
      <w:pPr>
        <w:pStyle w:val="ListBullet"/>
        <w:spacing w:after="40"/>
      </w:pPr>
      <w:r>
        <w:rPr>
          <w:sz w:val="17"/>
        </w:rPr>
        <w:t>Do not let AI calculate or persist authoritative business state without server validation.</w:t>
      </w:r>
    </w:p>
    <w:p>
      <w:pPr>
        <w:pStyle w:val="ListBullet"/>
        <w:spacing w:after="40"/>
      </w:pPr>
      <w:r>
        <w:rPr>
          <w:sz w:val="17"/>
        </w:rPr>
        <w:t>Do not let feature modules call provider SDKs directly; use adapters/interfaces.</w:t>
      </w:r>
    </w:p>
    <w:p>
      <w:pPr>
        <w:pStyle w:val="ListBullet"/>
        <w:spacing w:after="40"/>
      </w:pPr>
      <w:r>
        <w:rPr>
          <w:sz w:val="17"/>
        </w:rPr>
        <w:t>Review Codex diff after every milestone before giving the next task.</w:t>
      </w:r>
    </w:p>
    <w:p>
      <w:pPr>
        <w:pStyle w:val="ListBullet"/>
        <w:spacing w:after="40"/>
      </w:pPr>
      <w:r>
        <w:rPr>
          <w:sz w:val="17"/>
        </w:rPr>
        <w:t>Run type-check, lint and tests after every bounded Codex task.</w:t>
      </w:r>
    </w:p>
    <w:p>
      <w:pPr>
        <w:pStyle w:val="Heading1"/>
      </w:pPr>
      <w:r>
        <w:t>8. Primary Risks and Controls</w:t>
      </w:r>
    </w:p>
    <w:tbl>
      <w:tblPr>
        <w:tblStyle w:val="TableGrid"/>
        <w:tblW w:type="auto" w:w="0"/>
        <w:jc w:val="center"/>
        <w:tblLook w:firstColumn="1" w:firstRow="1" w:lastColumn="0" w:lastRow="0" w:noHBand="0" w:noVBand="1" w:val="04A0"/>
      </w:tblPr>
      <w:tblGrid>
        <w:gridCol w:w="5155"/>
        <w:gridCol w:w="5155"/>
      </w:tblGrid>
      <w:tr>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Risk</w:t>
            </w:r>
          </w:p>
        </w:tc>
        <w:tc>
          <w:tcPr>
            <w:tcW w:type="dxa" w:w="5155"/>
            <w:vAlign w:val="center"/>
            <w:shd w:fill="14233B"/>
            <w:tcMar>
              <w:top w:w="70" w:type="dxa"/>
              <w:start w:w="85" w:type="dxa"/>
              <w:bottom w:w="70" w:type="dxa"/>
              <w:end w:w="85" w:type="dxa"/>
            </w:tcMar>
          </w:tcPr>
          <w:p>
            <w:pPr>
              <w:spacing w:after="0"/>
            </w:pPr>
            <w:r/>
            <w:r>
              <w:rPr>
                <w:rFonts w:ascii="Aptos" w:hAnsi="Aptos"/>
                <w:b/>
                <w:color w:val="FFFFFF"/>
                <w:sz w:val="15"/>
              </w:rPr>
              <w:t>Control</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AI sends unsafe/incorrect claim</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Approved knowledge + prompt policy + human escalation</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Duplicate WhatsApp webhook</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Provider-message idempotency + DB unique constraint</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AI sends after human takeover</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Check conversation mode before enqueue and immediately before send</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Pending follow-up fires after reply</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Cancel pending job + worker eligibility re-check</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Double meeting booking</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Transactional reservation / uniqueness constraints</w:t>
            </w:r>
          </w:p>
        </w:tc>
      </w:tr>
      <w:tr>
        <w:tc>
          <w:tcPr>
            <w:tcW w:type="dxa" w:w="5155"/>
            <w:vAlign w:val="center"/>
            <w:tcMar>
              <w:top w:w="70" w:type="dxa"/>
              <w:start w:w="85" w:type="dxa"/>
              <w:bottom w:w="70" w:type="dxa"/>
              <w:end w:w="85" w:type="dxa"/>
            </w:tcMar>
          </w:tcPr>
          <w:p>
            <w:pPr>
              <w:spacing w:after="0"/>
            </w:pPr>
            <w:r/>
            <w:r>
              <w:rPr>
                <w:rFonts w:ascii="Aptos" w:hAnsi="Aptos"/>
                <w:b w:val="0"/>
                <w:color w:val="27364A"/>
                <w:sz w:val="15"/>
              </w:rPr>
              <w:t>Provider outage</w:t>
            </w:r>
          </w:p>
        </w:tc>
        <w:tc>
          <w:tcPr>
            <w:tcW w:type="dxa" w:w="5155"/>
            <w:vAlign w:val="center"/>
            <w:tcMar>
              <w:top w:w="70" w:type="dxa"/>
              <w:start w:w="85" w:type="dxa"/>
              <w:bottom w:w="70" w:type="dxa"/>
              <w:end w:w="85" w:type="dxa"/>
            </w:tcMar>
          </w:tcPr>
          <w:p>
            <w:pPr>
              <w:spacing w:after="0"/>
            </w:pPr>
            <w:r/>
            <w:r>
              <w:rPr>
                <w:rFonts w:ascii="Aptos" w:hAnsi="Aptos"/>
                <w:b w:val="0"/>
                <w:color w:val="27364A"/>
                <w:sz w:val="15"/>
              </w:rPr>
              <w:t>Retries, failure state, notification, no duplicate sends</w:t>
            </w:r>
          </w:p>
        </w:tc>
      </w:tr>
      <w:tr>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Codex architecture drift</w:t>
            </w:r>
          </w:p>
        </w:tc>
        <w:tc>
          <w:tcPr>
            <w:tcW w:type="dxa" w:w="5155"/>
            <w:vAlign w:val="center"/>
            <w:shd w:fill="F6F8FB"/>
            <w:tcMar>
              <w:top w:w="70" w:type="dxa"/>
              <w:start w:w="85" w:type="dxa"/>
              <w:bottom w:w="70" w:type="dxa"/>
              <w:end w:w="85" w:type="dxa"/>
            </w:tcMar>
          </w:tcPr>
          <w:p>
            <w:pPr>
              <w:spacing w:after="0"/>
            </w:pPr>
            <w:r/>
            <w:r>
              <w:rPr>
                <w:rFonts w:ascii="Aptos" w:hAnsi="Aptos"/>
                <w:b w:val="0"/>
                <w:color w:val="27364A"/>
                <w:sz w:val="15"/>
              </w:rPr>
              <w:t>Master plan + module boundaries + milestone-gated prompts</w:t>
            </w:r>
          </w:p>
        </w:tc>
      </w:tr>
    </w:tbl>
    <w:p>
      <w:pPr>
        <w:spacing w:after="0"/>
      </w:pPr>
    </w:p>
    <w:p>
      <w:pPr>
        <w:pStyle w:val="Heading1"/>
      </w:pPr>
      <w:r>
        <w:t>9. What to Show the Stakeholder</w:t>
      </w:r>
    </w:p>
    <w:p>
      <w:r>
        <w:t>For approval, communicate that the core product is in-house, development is broken into parallel workstreams, MVP is targeted in approximately 10 weeks with 2 weeks stabilization buffer, and advanced research/outbound/forecasting remain a separate extension rather than blocking the first operational release.</w:t>
      </w:r>
    </w:p>
    <w:sectPr w:rsidR="00FC693F" w:rsidRPr="0006063C" w:rsidSect="00034616">
      <w:headerReference w:type="default" r:id="rId9"/>
      <w:footerReference w:type="default" r:id="rId10"/>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4"/>
      </w:rPr>
      <w:t>Concurrent Development Plan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085"/>
        <w:sz w:val="14"/>
      </w:rPr>
      <w:t>SHILABS | AI SALES ENGINE | CONCURRENT DEVELOPMENT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2736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4233B"/>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563EB"/>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4233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4233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115"/>
    </w:pPr>
    <w:rPr>
      <w:rFonts w:ascii="Consolas" w:hAnsi="Consolas"/>
      <w:color w:val="27364A"/>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