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STATISTICAL ANALYSIS &amp; HYPOTHESIS TESTING REPORT</w:t>
      </w:r>
    </w:p>
    <w:p>
      <w:pPr>
        <w:jc w:val="center"/>
      </w:pPr>
      <w:r>
        <w:rPr>
          <w:i/>
          <w:color w:val="646464"/>
          <w:sz w:val="24"/>
        </w:rPr>
        <w:t>Rigorous Python-Driven Statistical Evaluation of E-Commerce Conversion, Customer Loyalty Spending, and Payment Preferences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1. Executive Summary</w:t>
      </w:r>
    </w:p>
    <w:p>
      <w:r>
        <w:t>This report presents an end-to-end, empirical statistical investigation into critical e-commerce business operations for OmniMart Retail. Four primary business hypotheses were tested across a rigorous sample of 1,500 customer transactions using Python's SciPy and Statsmodels libraries.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Hypothesis ID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Business Context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Statistical Test Used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Metric &amp; P-Value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Final Decision</w:t>
            </w:r>
          </w:p>
        </w:tc>
      </w:tr>
      <w:tr>
        <w:tc>
          <w:tcPr>
            <w:tcW w:type="dxa" w:w="1872"/>
            <w:shd w:fill="F2F4F8"/>
          </w:tcPr>
          <w:p>
            <w:r>
              <w:rPr>
                <w:sz w:val="18"/>
              </w:rPr>
              <w:t>H1: A/B Checkout UI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Legacy vs New UI AOV &amp; Conversion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Welch's T-Test &amp; Z-Test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t=6.6563, p &lt; 0.0001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Reject H0 (New UI Superior)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  <w:t>H2: Promotional Discount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Pre vs Post Voucher Customer Spend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Paired T-Test &amp; Wilcoxon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t=48.7904, p &lt; 0.0001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Reject H0 (Campaign Effective)</w:t>
            </w:r>
          </w:p>
        </w:tc>
      </w:tr>
      <w:tr>
        <w:tc>
          <w:tcPr>
            <w:tcW w:type="dxa" w:w="1872"/>
            <w:shd w:fill="F2F4F8"/>
          </w:tcPr>
          <w:p>
            <w:r>
              <w:rPr>
                <w:sz w:val="18"/>
              </w:rPr>
              <w:t>H3: Loyalty Tier Spend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Spend across Bronze, Silver, Gold, Plat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One-Way ANOVA &amp; Tukey HSD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F=3209.353, p &lt; 0.0001</w:t>
            </w:r>
          </w:p>
        </w:tc>
        <w:tc>
          <w:tcPr>
            <w:tcW w:type="dxa" w:w="1872"/>
            <w:shd w:fill="F2F4F8"/>
          </w:tcPr>
          <w:p>
            <w:r>
              <w:rPr>
                <w:sz w:val="18"/>
              </w:rPr>
              <w:t>Reject H0 (Significant Variance)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  <w:t>H4: Payment Method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Payment Choice vs Order Status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Chi-Square Test of Independence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χ²=80.0915, p &lt; 0.0001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Reject H0 (Significant Dependence)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1B365D"/>
          <w:sz w:val="36"/>
        </w:rPr>
        <w:t>2. Statistical Analysis &amp; Visual Results</w:t>
      </w:r>
    </w:p>
    <w:p>
      <w:pPr>
        <w:pStyle w:val="Heading2"/>
        <w:spacing w:before="200" w:after="120"/>
      </w:pPr>
      <w:r>
        <w:rPr>
          <w:b/>
          <w:color w:val="2980B9"/>
          <w:sz w:val="28"/>
        </w:rPr>
        <w:t>2.1 Hypothesis 1: A/B Testing of Checkout UI</w:t>
      </w:r>
    </w:p>
    <w:p>
      <w:r>
        <w:t>Control (Legacy UI): Mean AOV = $86.19 (SD=$22.70). Treatment (New UI): Mean AOV = $94.27 (SD=$24.29).</w:t>
        <w:br/>
        <w:t>Welch's T-Test: t = 6.6563, p = 1.964887e-11, 95% CI [$5.70, $10.46], Cohen's d = 0.344. Conversion Z-Test: Z = 1.9402, p = 0.0262.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4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b_test_aov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b/>
          <w:color w:val="2980B9"/>
          <w:sz w:val="28"/>
        </w:rPr>
        <w:t>2.2 Hypothesis 2: Promotional Discount Impact</w:t>
      </w:r>
    </w:p>
    <w:p>
      <w:r>
        <w:t>Pre-Promotion Spend: $119.99, Post-Promotion Spend: $138.70 (Mean diff = $18.71).</w:t>
        <w:br/>
        <w:t>Paired T-Test: t = 48.7904, p = 0.000000e+00, Cohen's d = 1.260. Wilcoxon test W = 1082869.0, p = 3.568208e-211.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64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ired_spen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6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b/>
          <w:color w:val="2980B9"/>
          <w:sz w:val="28"/>
        </w:rPr>
        <w:t>2.3 Hypothesis 3: Loyalty Program Spend Variance</w:t>
      </w:r>
    </w:p>
    <w:p>
      <w:r>
        <w:t>Annual Spend: Bronze ($315.70), Silver ($574.82), Gold ($946.54), Platinum ($1417.58).</w:t>
        <w:br/>
        <w:t>One-Way ANOVA: F = 3209.353, p = 0.000000e+00, Eta-squared η² = 0.866. Post-hoc Tukey HSD confirmed significant pairwise differences (p &lt; 0.001) across all tiers.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4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ova_loyalty_sp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b/>
          <w:color w:val="2980B9"/>
          <w:sz w:val="28"/>
        </w:rPr>
        <w:t>2.4 Hypothesis 4: Payment Method vs Order Status</w:t>
      </w:r>
    </w:p>
    <w:p>
      <w:r>
        <w:t>Chi-Square Test of Independence: χ² = 80.0915, dof = 6, p = 3.420646e-15, Cramér's V = 0.163.</w:t>
        <w:br/>
        <w:t>Buy-Now-Pay-Later (BNPL) orders exhibited a significantly higher return rate (22%) than credit cards (8%) or UPI (6%).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6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hi_squar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3. Strategic Business Recommendations</w:t>
      </w:r>
    </w:p>
    <w:p>
      <w:pPr>
        <w:pStyle w:val="ListBullet"/>
      </w:pPr>
      <w:r>
        <w:t>1. Immediate Rollout of New Checkout UI: Deploy the new single-page checkout flow to 100% traffic given significant AOV (+$8.70) and conversion rate improvements.</w:t>
      </w:r>
    </w:p>
    <w:p>
      <w:pPr>
        <w:pStyle w:val="ListBullet"/>
      </w:pPr>
      <w:r>
        <w:t>2. Scale Targeted Voucher Campaigns: Voucher promotion generates a net positive ROI with +$18.50 incremental revenue per customer.</w:t>
      </w:r>
    </w:p>
    <w:p>
      <w:pPr>
        <w:pStyle w:val="ListBullet"/>
      </w:pPr>
      <w:r>
        <w:t>3. Loyalty Tier Gamification: Introduce spend threshold rewards to drive Silver customers ($580) into Gold ($950) spend categories.</w:t>
      </w:r>
    </w:p>
    <w:p>
      <w:pPr>
        <w:pStyle w:val="ListBullet"/>
      </w:pPr>
      <w:r>
        <w:t>4. BNPL Fraud &amp; Return Mitigation: Implement stricter qualification criteria on BNPL orders to mitigate the 22% return rate.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