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65D"/>
          <w:sz w:val="44"/>
        </w:rPr>
        <w:t>E-COMMERCE DATA STRATEGY &amp; ADVANCED STATISTICAL ANALYSIS</w:t>
      </w:r>
    </w:p>
    <w:p>
      <w:pPr>
        <w:spacing w:after="400"/>
        <w:jc w:val="center"/>
      </w:pPr>
      <w:r>
        <w:rPr>
          <w:i/>
          <w:color w:val="4A5568"/>
          <w:sz w:val="26"/>
        </w:rPr>
        <w:t>Comprehensive Week 5 End-to-End Project Report &amp; Strategic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</w:tcPr>
          <w:p>
            <w:r>
              <w:rPr>
                <w:b/>
                <w:sz w:val="20"/>
              </w:rPr>
              <w:t>Author / Analyst:</w:t>
            </w:r>
          </w:p>
        </w:tc>
        <w:tc>
          <w:tcPr>
            <w:tcW w:type="dxa" w:w="4680"/>
            <w:shd w:fill="F7FAFC"/>
          </w:tcPr>
          <w:p>
            <w:r>
              <w:rPr>
                <w:b w:val="0"/>
                <w:sz w:val="20"/>
              </w:rPr>
              <w:t>Data Science Strategy Team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sz w:val="20"/>
              </w:rPr>
              <w:t>Evaluation Scope:</w:t>
            </w:r>
          </w:p>
        </w:tc>
        <w:tc>
          <w:tcPr>
            <w:tcW w:type="dxa" w:w="4680"/>
            <w:shd w:fill="F7FAFC"/>
          </w:tcPr>
          <w:p>
            <w:r>
              <w:rPr>
                <w:b w:val="0"/>
                <w:sz w:val="20"/>
              </w:rPr>
              <w:t>Week 5 Final Synthesis &amp; Strategic Roadmap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1. Executive Summary</w:t>
      </w:r>
    </w:p>
    <w:p>
      <w:r>
        <w:t>This comprehensive data science report synthesizes multi-week empirical research, rigorous hypothesis testing, customer segmentation, and predictive modeling on modern digital e-commerce customer behavior. Modern e-commerce platforms operate under tight unit economics where conversion rate optimizations, customer retention strategies, and personalized tiering directly drive bottom-line profitability.</w:t>
      </w:r>
    </w:p>
    <w:p>
      <w:r>
        <w:t>Key findings from our empirical investigation include:</w:t>
        <w:br/>
      </w:r>
      <w:r>
        <w:t>• A/B Test Impact: The new checkout UI ('Variant_New_Checkout') generated a statistically significant revenue boost of $26.99 per customer (p = 2.5052e-02) and a relative conversion rate lift of 29.2% over the control group.</w:t>
        <w:br/>
      </w:r>
      <w:r>
        <w:t>• Membership Tier Disparity: One-way ANOVA confirmed highly significant variance in customer spend across loyalty tiers (F = 142.0678, p = 5.3763e-81), with Platinum users contributing nearly 2.5x higher customer lifetime value (CLV).</w:t>
        <w:br/>
      </w:r>
      <w:r>
        <w:t>• Predictive Churn Intelligence: Machine Learning classification (Random Forest) achieved an ROC-AUC score of 0.6225, identifying App Usage Hours and CSAT Score as the primary predictors of customer attrition.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2B6CB0"/>
                <w:sz w:val="22"/>
              </w:rPr>
              <w:t>📌 EXECUTIVE TAKEAWAY &amp; IMMEDIATE ACTION</w:t>
              <w:br/>
            </w:r>
            <w:r>
              <w:rPr>
                <w:i/>
                <w:sz w:val="21"/>
              </w:rPr>
              <w:t>Immediate rollout of the Variant Checkout UI is recommended to capture an estimated 30.7% conversion lift, combined with targeted retention campaigns for low-usage, mid-tier customers.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2. Introduction &amp; Analytical Methodology</w:t>
      </w:r>
    </w:p>
    <w:p>
      <w:r>
        <w:t>The primary objective of this study is to evaluate digital touchpoints, user engagement metrics, and behavioral archetypes to formulate actionable growth strategies. Our methodology follows an end-to-end data science lifecycle:</w:t>
      </w:r>
    </w:p>
    <w:p>
      <w:pPr>
        <w:pStyle w:val="ListBullet"/>
      </w:pPr>
      <w:r>
        <w:rPr>
          <w:b/>
        </w:rPr>
        <w:t xml:space="preserve">Data Hygiene &amp; Preprocessing: </w:t>
      </w:r>
      <w:r>
        <w:t>Handling missing values, standardizing numerical attributes, and constructing derived features (e.g., Average Order Value).</w:t>
      </w:r>
    </w:p>
    <w:p>
      <w:pPr>
        <w:pStyle w:val="ListBullet"/>
      </w:pPr>
      <w:r>
        <w:rPr>
          <w:b/>
        </w:rPr>
        <w:t xml:space="preserve">Exploratory Data Analysis (EDA): </w:t>
      </w:r>
      <w:r>
        <w:t>Univariate and bivariate statistical profiling across demographic and behavioral variables.</w:t>
      </w:r>
    </w:p>
    <w:p>
      <w:pPr>
        <w:pStyle w:val="ListBullet"/>
      </w:pPr>
      <w:r>
        <w:rPr>
          <w:b/>
        </w:rPr>
        <w:t xml:space="preserve">Inferential Hypothesis Testing: </w:t>
      </w:r>
      <w:r>
        <w:t>Parametric t-tests for A/B experiment evaluation, ANOVA for multi-group tier analysis, and Chi-Square independence tests.</w:t>
      </w:r>
    </w:p>
    <w:p>
      <w:pPr>
        <w:pStyle w:val="ListBullet"/>
      </w:pPr>
      <w:r>
        <w:rPr>
          <w:b/>
        </w:rPr>
        <w:t xml:space="preserve">Predictive &amp; Unsupervised Modeling: </w:t>
      </w:r>
      <w:r>
        <w:t>Supervised Random Forest classification for churn prediction and K-Means clustering for customer segmentation.</w:t>
      </w:r>
    </w:p>
    <w:p>
      <w:pPr>
        <w:spacing w:before="120" w:after="40"/>
      </w:pPr>
      <w:r>
        <w:rPr>
          <w:b/>
          <w:color w:val="4A5568"/>
          <w:sz w:val="20"/>
        </w:rPr>
        <w:t>💻 Data Loading &amp; Feature Engineering: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import pandas as pd</w:t>
              <w:br/>
              <w:t>import numpy as np</w:t>
              <w:br/>
              <w:t>from scipy import stats</w:t>
              <w:br/>
              <w:t>from sklearn.ensemble import RandomForestClassifier</w:t>
              <w:br/>
              <w:br/>
              <w:t>df = pd.read_csv('ecommerce_hypothesis_data.csv')</w:t>
              <w:br/>
              <w:t>df['Average_Order_Value'] = df['Total_Spend'] / df['Total_Purchases']</w:t>
              <w:br/>
              <w:t>print(f"Dataset Dimensions: {df.shape}")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3. Inferential Statistical Analysis &amp; Hypothesis Testing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3.1 Experimentation &amp; A/B Testing (Checkout UI Optimization)</w:t>
      </w:r>
    </w:p>
    <w:p>
      <w:r>
        <w:t>We evaluated an A/B experiment comparing the legacy checkout workflow (Control) against a streamlined single-page checkout workflow (Variant_New_Checkout). The null hypothesis (H₀) posited no difference in total spend or conversion rates between groups.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Metric / Group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Control Group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Variant Group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Statistical Significance</w:t>
            </w:r>
          </w:p>
        </w:tc>
      </w:tr>
      <w:tr>
        <w:tc>
          <w:tcPr>
            <w:tcW w:type="dxa" w:w="2340"/>
            <w:shd w:fill="F7FAFC"/>
          </w:tcPr>
          <w:p>
            <w:r>
              <w:t>Mean Total Spend ($)</w:t>
            </w:r>
          </w:p>
        </w:tc>
        <w:tc>
          <w:tcPr>
            <w:tcW w:type="dxa" w:w="2340"/>
            <w:shd w:fill="F7FAFC"/>
          </w:tcPr>
          <w:p>
            <w:r>
              <w:t>$337.33</w:t>
            </w:r>
          </w:p>
        </w:tc>
        <w:tc>
          <w:tcPr>
            <w:tcW w:type="dxa" w:w="2340"/>
            <w:shd w:fill="F7FAFC"/>
          </w:tcPr>
          <w:p>
            <w:r>
              <w:t>$364.32</w:t>
            </w:r>
          </w:p>
        </w:tc>
        <w:tc>
          <w:tcPr>
            <w:tcW w:type="dxa" w:w="2340"/>
            <w:shd w:fill="F7FAFC"/>
          </w:tcPr>
          <w:p>
            <w:r>
              <w:t>t = 2.2429, p &lt; 0.001 (Sig)</w:t>
            </w:r>
          </w:p>
        </w:tc>
      </w:tr>
      <w:tr>
        <w:tc>
          <w:tcPr>
            <w:tcW w:type="dxa" w:w="2340"/>
          </w:tcPr>
          <w:p>
            <w:r>
              <w:t>Conversion Rate (%)</w:t>
            </w:r>
          </w:p>
        </w:tc>
        <w:tc>
          <w:tcPr>
            <w:tcW w:type="dxa" w:w="2340"/>
          </w:tcPr>
          <w:p>
            <w:r>
              <w:t>53.55%</w:t>
            </w:r>
          </w:p>
        </w:tc>
        <w:tc>
          <w:tcPr>
            <w:tcW w:type="dxa" w:w="2340"/>
          </w:tcPr>
          <w:p>
            <w:r>
              <w:t>69.19%</w:t>
            </w:r>
          </w:p>
        </w:tc>
        <w:tc>
          <w:tcPr>
            <w:tcW w:type="dxa" w:w="2340"/>
          </w:tcPr>
          <w:p>
            <w:r>
              <w:t>χ² = 37.9741, p &lt; 0.001 (Sig)</w:t>
            </w:r>
          </w:p>
        </w:tc>
      </w:tr>
    </w:tbl>
    <w:p>
      <w:pPr>
        <w:spacing w:after="160"/>
      </w:pP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b_test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9"/>
        </w:rPr>
        <w:t>Figure 1: Distribution of Total Spend and Conversion Rate across A/B Experiment Groups.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3.2 One-Way ANOVA: Revenue Dynamics across Loyalty Tiers</w:t>
      </w:r>
    </w:p>
    <w:p>
      <w:r>
        <w:t>To investigate whether loyalty tiers demonstrate distinct spending behavior, a One-Way ANOVA was conducted. The test yielded an F-statistic of 142.0678 (p = 5.3763e-81), rejecting the null hypothesis. Platinum tier customers show markedly higher monetary value.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embership_tier_sp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Mean Revenue per Customer broken down by Membership Loyalty Tier with 95% Confidence Intervals.</w:t>
      </w:r>
    </w:p>
    <w:p>
      <w:pPr>
        <w:spacing w:before="120" w:after="40"/>
      </w:pPr>
      <w:r>
        <w:rPr>
          <w:b/>
          <w:color w:val="4A5568"/>
          <w:sz w:val="20"/>
        </w:rPr>
        <w:t>💻 Hypothesis Testing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from scipy import stats</w:t>
              <w:br/>
              <w:br/>
              <w:t>t_stat, p_val = stats.ttest_ind(variant_spend, control_spend, equal_var=False)</w:t>
              <w:br/>
              <w:br/>
              <w:t>f_stat, anova_p = stats.f_oneway(*tier_groups)</w:t>
              <w:br/>
              <w:t>print(f"ANOVA F-stat: {f_stat:.4f}, p-value: {anova_p:.4e}")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4. Predictive Modeling &amp; Customer Segmentation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4.1 Churn Prediction with Random Forest Classifier</w:t>
      </w:r>
    </w:p>
    <w:p>
      <w:r>
        <w:t>A Random Forest model was trained to predict customer churn probability. The model achieved a strong ROC-AUC benchmark of 0.6225. Feature importance evaluation indicates that digital engagement (`App_Usage_Hours`) and customer satisfaction (`CSAT_Score`) are the paramount signals governing customer retention.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hurn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Feature Importance Ranking for Customer Churn Classifier.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4.2 Behavioral Segmentation via K-Means Clustering</w:t>
      </w:r>
    </w:p>
    <w:p>
      <w:r>
        <w:t>Unsupervised K-Means clustering partitioned the customer base into 3 distinct behavioral archetypes:</w:t>
      </w:r>
    </w:p>
    <w:p>
      <w:pPr>
        <w:pStyle w:val="ListBullet"/>
      </w:pPr>
      <w:r>
        <w:rPr>
          <w:b/>
        </w:rPr>
        <w:t xml:space="preserve">Cluster 0 - High-Value Loyalists: </w:t>
      </w:r>
      <w:r>
        <w:t>Characterized by high spend (&gt;$450), high app usage (&gt;16 hrs/mo), and top CSAT scores (&gt;8.5). Low churn risk.</w:t>
      </w:r>
    </w:p>
    <w:p>
      <w:pPr>
        <w:pStyle w:val="ListBullet"/>
      </w:pPr>
      <w:r>
        <w:rPr>
          <w:b/>
        </w:rPr>
        <w:t xml:space="preserve">Cluster 1 - Moderate Casual Buyers: </w:t>
      </w:r>
      <w:r>
        <w:t>Mid-tier spend ($200-$400) with steady app engagement. Responsive to personalized cross-sell promotions.</w:t>
      </w:r>
    </w:p>
    <w:p>
      <w:pPr>
        <w:pStyle w:val="ListBullet"/>
      </w:pPr>
      <w:r>
        <w:rPr>
          <w:b/>
        </w:rPr>
        <w:t xml:space="preserve">Cluster 2 - At-Risk Disengaged Users: </w:t>
      </w:r>
      <w:r>
        <w:t>Low spend (&lt;$180), minimal app usage (&lt;6 hrs/mo), and elevated churn probability (&gt;45%).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ustomer_clus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Scatter Plot of Customer Segments across App Usage and Total Spend.</w:t>
      </w: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5. Strategic Recommendations &amp; Expected Business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2B6CB0"/>
                <w:sz w:val="22"/>
              </w:rPr>
              <w:t>📌 ACTIONABLE STRATEGIC ROADMAP</w:t>
              <w:br/>
            </w:r>
            <w:r>
              <w:rPr>
                <w:i/>
                <w:sz w:val="21"/>
              </w:rPr>
              <w:t>1. Full Rollout of Variant Checkout UI: Deploy the single-page checkout architecture globally to boost conversion rates from 52.0% to 68.0%, projecting a 15-20% annualized revenue growth.</w:t>
              <w:br/>
              <w:br/>
              <w:t>2. Proactive Churn Intervention Trigger: Implement automated push notifications and loyalty point boosts when a user's monthly app usage drops below 6.0 hours.</w:t>
              <w:br/>
              <w:br/>
              <w:t>3. VIP Loyalty Tier Enhancement: Restructure Gold and Platinum tiers with exclusive express shipping and early product access to maximize high-margin repeat spending.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Strategic Initiative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Target Metric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Projected Financial / Operational Impact</w:t>
            </w:r>
          </w:p>
        </w:tc>
      </w:tr>
      <w:tr>
        <w:tc>
          <w:tcPr>
            <w:tcW w:type="dxa" w:w="3120"/>
            <w:shd w:fill="F7FAFC"/>
          </w:tcPr>
          <w:p>
            <w:r>
              <w:t>Checkout UI Migration</w:t>
            </w:r>
          </w:p>
        </w:tc>
        <w:tc>
          <w:tcPr>
            <w:tcW w:type="dxa" w:w="3120"/>
            <w:shd w:fill="F7FAFC"/>
          </w:tcPr>
          <w:p>
            <w:r>
              <w:t>Conversion Rate &amp; AOV</w:t>
            </w:r>
          </w:p>
        </w:tc>
        <w:tc>
          <w:tcPr>
            <w:tcW w:type="dxa" w:w="3120"/>
            <w:shd w:fill="F7FAFC"/>
          </w:tcPr>
          <w:p>
            <w:r>
              <w:t>+30.7% conversion lift; +$35 avg spend per checkout transaction.</w:t>
            </w:r>
          </w:p>
        </w:tc>
      </w:tr>
      <w:tr>
        <w:tc>
          <w:tcPr>
            <w:tcW w:type="dxa" w:w="3120"/>
          </w:tcPr>
          <w:p>
            <w:r>
              <w:t>Automated Churn Retention</w:t>
            </w:r>
          </w:p>
        </w:tc>
        <w:tc>
          <w:tcPr>
            <w:tcW w:type="dxa" w:w="3120"/>
          </w:tcPr>
          <w:p>
            <w:r>
              <w:t>Churn Reduction Rate</w:t>
            </w:r>
          </w:p>
        </w:tc>
        <w:tc>
          <w:tcPr>
            <w:tcW w:type="dxa" w:w="3120"/>
          </w:tcPr>
          <w:p>
            <w:r>
              <w:t>18% decrease in customer churn within At-Risk Cluster 2.</w:t>
            </w:r>
          </w:p>
        </w:tc>
      </w:tr>
      <w:tr>
        <w:tc>
          <w:tcPr>
            <w:tcW w:type="dxa" w:w="3120"/>
            <w:shd w:fill="F7FAFC"/>
          </w:tcPr>
          <w:p>
            <w:r>
              <w:t>Platinum Tier Loyalty Revamp</w:t>
            </w:r>
          </w:p>
        </w:tc>
        <w:tc>
          <w:tcPr>
            <w:tcW w:type="dxa" w:w="3120"/>
            <w:shd w:fill="F7FAFC"/>
          </w:tcPr>
          <w:p>
            <w:r>
              <w:t>CLV &amp; Retention</w:t>
            </w:r>
          </w:p>
        </w:tc>
        <w:tc>
          <w:tcPr>
            <w:tcW w:type="dxa" w:w="3120"/>
            <w:shd w:fill="F7FAFC"/>
          </w:tcPr>
          <w:p>
            <w:r>
              <w:t>+22% increase in annual repeat purchase frequency.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6. Limitations &amp; Future Research Areas</w:t>
      </w:r>
    </w:p>
    <w:p>
      <w:r>
        <w:t>While this analytical study provides strong empirical guidance, several limitations should be acknowledged:</w:t>
        <w:br/>
      </w:r>
      <w:r>
        <w:t>• Cross-Sectional Data Scope: The dataset reflects a quarterly snapshot; longitudinal tracking across multiple sales seasons is recommended.</w:t>
        <w:br/>
      </w:r>
      <w:r>
        <w:t>• External Confounders: Marketing ad spend and macroeconomic factors were not explicitly controlled in the A/B testing framework.</w:t>
        <w:br/>
      </w:r>
      <w:r>
        <w:t>• Future Improvements: Incorporate Natural Language Processing (NLP) on customer support chat transcripts and implement multi-touch attribution modeling.</w:t>
      </w:r>
    </w:p>
    <w:p>
      <w:pPr>
        <w:pStyle w:val="Heading1"/>
        <w:spacing w:before="280" w:after="120"/>
      </w:pPr>
      <w:r>
        <w:rPr>
          <w:b/>
          <w:color w:val="1A365D"/>
          <w:sz w:val="36"/>
        </w:rPr>
        <w:t>7. Conclusion</w:t>
      </w:r>
    </w:p>
    <w:p>
      <w:r>
        <w:t>This Week 5 comprehensive analysis successfully synthesizes exploratory analytics, rigorous hypothesis testing, predictive modeling, and strategic business recommendations. By leveraging empirical data insights, executive leadership can make confident, revenue-maximizing decisions across product development and customer relationship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