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left"/>
      </w:pPr>
      <w:r>
        <w:rPr>
          <w:b/>
          <w:color w:val="0D7C86"/>
          <w:sz w:val="20"/>
        </w:rPr>
        <w:t>FINANCE OPERATIONS IMPROVEMENT REPORT</w:t>
      </w:r>
    </w:p>
    <w:p>
      <w:pPr>
        <w:pStyle w:val="Title"/>
      </w:pPr>
      <w:r>
        <w:t>Reconciliation and</w:t>
        <w:br/>
        <w:t>Payment Controls</w:t>
      </w:r>
    </w:p>
    <w:p>
      <w:pPr>
        <w:pStyle w:val="Subtitle"/>
      </w:pPr>
      <w:r>
        <w:t>A phased transformation plan for faster close, reliable settlements, controlled refunds and trusted vendor payments</w:t>
      </w:r>
    </w:p>
    <w:p>
      <w:r>
        <w:br/>
      </w:r>
    </w:p>
    <w:tbl>
      <w:tblPr>
        <w:tblStyle w:val="TableGrid"/>
        <w:tblW w:type="auto" w:w="0"/>
        <w:tblLook w:firstColumn="1" w:firstRow="1" w:lastColumn="0" w:lastRow="0" w:noHBand="0" w:noVBand="1" w:val="04A0"/>
      </w:tblPr>
      <w:tblGrid>
        <w:gridCol w:w="5083"/>
        <w:gridCol w:w="5083"/>
      </w:tblGrid>
      <w:tr>
        <w:tc>
          <w:tcPr>
            <w:tcW w:type="dxa" w:w="5083"/>
            <w:shd w:fill="17324D"/>
            <w:tcMar>
              <w:top w:w="130" w:type="dxa"/>
              <w:start w:w="130" w:type="dxa"/>
              <w:bottom w:w="130" w:type="dxa"/>
              <w:end w:w="130" w:type="dxa"/>
            </w:tcMar>
          </w:tcPr>
          <w:p>
            <w:pPr>
              <w:spacing w:after="0"/>
            </w:pPr>
            <w:r>
              <w:rPr>
                <w:b/>
                <w:color w:val="FFFFFF"/>
              </w:rPr>
              <w:t>Prepared for</w:t>
            </w:r>
          </w:p>
        </w:tc>
        <w:tc>
          <w:tcPr>
            <w:tcW w:type="dxa" w:w="5083"/>
            <w:tcMar>
              <w:top w:w="130" w:type="dxa"/>
              <w:start w:w="130" w:type="dxa"/>
              <w:bottom w:w="130" w:type="dxa"/>
              <w:end w:w="130" w:type="dxa"/>
            </w:tcMar>
          </w:tcPr>
          <w:p>
            <w:pPr>
              <w:spacing w:after="0"/>
            </w:pPr>
            <w:r>
              <w:t>Chief Financial Officer and Executive Steering Committee</w:t>
            </w:r>
          </w:p>
        </w:tc>
      </w:tr>
      <w:tr>
        <w:tc>
          <w:tcPr>
            <w:tcW w:type="dxa" w:w="5083"/>
            <w:shd w:fill="17324D"/>
            <w:tcMar>
              <w:top w:w="130" w:type="dxa"/>
              <w:start w:w="130" w:type="dxa"/>
              <w:bottom w:w="130" w:type="dxa"/>
              <w:end w:w="130" w:type="dxa"/>
            </w:tcMar>
          </w:tcPr>
          <w:p>
            <w:pPr>
              <w:spacing w:after="0"/>
            </w:pPr>
            <w:r>
              <w:rPr>
                <w:b/>
                <w:color w:val="FFFFFF"/>
              </w:rPr>
              <w:t>Organisation</w:t>
            </w:r>
          </w:p>
        </w:tc>
        <w:tc>
          <w:tcPr>
            <w:tcW w:type="dxa" w:w="5083"/>
            <w:tcMar>
              <w:top w:w="130" w:type="dxa"/>
              <w:start w:w="130" w:type="dxa"/>
              <w:bottom w:w="130" w:type="dxa"/>
              <w:end w:w="130" w:type="dxa"/>
            </w:tcMar>
          </w:tcPr>
          <w:p>
            <w:pPr>
              <w:spacing w:after="0"/>
            </w:pPr>
            <w:r>
              <w:t>SwiftCart Digital Commerce Ltd. (illustrative case)</w:t>
            </w:r>
          </w:p>
        </w:tc>
      </w:tr>
      <w:tr>
        <w:tc>
          <w:tcPr>
            <w:tcW w:type="dxa" w:w="5083"/>
            <w:shd w:fill="17324D"/>
            <w:tcMar>
              <w:top w:w="130" w:type="dxa"/>
              <w:start w:w="130" w:type="dxa"/>
              <w:bottom w:w="130" w:type="dxa"/>
              <w:end w:w="130" w:type="dxa"/>
            </w:tcMar>
          </w:tcPr>
          <w:p>
            <w:pPr>
              <w:spacing w:after="0"/>
            </w:pPr>
            <w:r>
              <w:rPr>
                <w:b/>
                <w:color w:val="FFFFFF"/>
              </w:rPr>
              <w:t>Report date</w:t>
            </w:r>
          </w:p>
        </w:tc>
        <w:tc>
          <w:tcPr>
            <w:tcW w:type="dxa" w:w="5083"/>
            <w:tcMar>
              <w:top w:w="130" w:type="dxa"/>
              <w:start w:w="130" w:type="dxa"/>
              <w:bottom w:w="130" w:type="dxa"/>
              <w:end w:w="130" w:type="dxa"/>
            </w:tcMar>
          </w:tcPr>
          <w:p>
            <w:pPr>
              <w:spacing w:after="0"/>
            </w:pPr>
            <w:r>
              <w:t>25 October 2026</w:t>
            </w:r>
          </w:p>
        </w:tc>
      </w:tr>
      <w:tr>
        <w:tc>
          <w:tcPr>
            <w:tcW w:type="dxa" w:w="5083"/>
            <w:shd w:fill="17324D"/>
            <w:tcMar>
              <w:top w:w="130" w:type="dxa"/>
              <w:start w:w="130" w:type="dxa"/>
              <w:bottom w:w="130" w:type="dxa"/>
              <w:end w:w="130" w:type="dxa"/>
            </w:tcMar>
          </w:tcPr>
          <w:p>
            <w:pPr>
              <w:spacing w:after="0"/>
            </w:pPr>
            <w:r>
              <w:rPr>
                <w:b/>
                <w:color w:val="FFFFFF"/>
              </w:rPr>
              <w:t>Decision requested</w:t>
            </w:r>
          </w:p>
        </w:tc>
        <w:tc>
          <w:tcPr>
            <w:tcW w:type="dxa" w:w="5083"/>
            <w:tcMar>
              <w:top w:w="130" w:type="dxa"/>
              <w:start w:w="130" w:type="dxa"/>
              <w:bottom w:w="130" w:type="dxa"/>
              <w:end w:w="130" w:type="dxa"/>
            </w:tcMar>
          </w:tcPr>
          <w:p>
            <w:pPr>
              <w:spacing w:after="0"/>
            </w:pPr>
            <w:r>
              <w:t>Approve Phase 0–1 mobilisation, governance and design-gate funding</w:t>
            </w:r>
          </w:p>
        </w:tc>
      </w:tr>
    </w:tbl>
    <w:p>
      <w:r>
        <w:br/>
      </w:r>
    </w:p>
    <w:tbl>
      <w:tblPr>
        <w:tblW w:type="auto" w:w="0"/>
        <w:jc w:val="center"/>
        <w:tblLook w:firstColumn="1" w:firstRow="1" w:lastColumn="0" w:lastRow="0" w:noHBand="0" w:noVBand="1" w:val="04A0"/>
      </w:tblPr>
      <w:tblGrid>
        <w:gridCol w:w="10166"/>
      </w:tblGrid>
      <w:tr>
        <w:tc>
          <w:tcPr>
            <w:tcW w:type="dxa" w:w="10166"/>
            <w:shd w:fill="DDEFF0"/>
            <w:tcMar>
              <w:top w:w="180" w:type="dxa"/>
              <w:start w:w="220" w:type="dxa"/>
              <w:bottom w:w="180" w:type="dxa"/>
              <w:end w:w="220" w:type="dxa"/>
            </w:tcMar>
          </w:tcPr>
          <w:p>
            <w:pPr>
              <w:spacing w:after="80"/>
            </w:pPr>
            <w:r>
              <w:rPr>
                <w:b/>
                <w:color w:val="17324D"/>
              </w:rPr>
              <w:t>Management proposition</w:t>
            </w:r>
          </w:p>
          <w:p>
            <w:pPr>
              <w:spacing w:after="0"/>
            </w:pPr>
            <w:r>
              <w:t>Stabilise the process and data before scaling automation. A common transaction key, controlled vendor master data, named exception owners and risk-based approvals are prerequisites—not optional add-ons—to an automated reconciliation platform.</w:t>
            </w:r>
          </w:p>
        </w:tc>
      </w:tr>
    </w:tbl>
    <w:p/>
    <w:p>
      <w:pPr>
        <w:jc w:val="right"/>
      </w:pPr>
      <w:r>
        <w:rPr>
          <w:b/>
          <w:color w:val="C23B3B"/>
        </w:rPr>
        <w:t>CONFIDENTIAL</w:t>
      </w:r>
      <w:r>
        <w:rPr>
          <w:color w:val="667085"/>
          <w:sz w:val="16"/>
        </w:rPr>
        <w:br/>
        <w:t>For internal decision-making. All financial targets are provisional until baselines are validated.</w:t>
      </w:r>
    </w:p>
    <w:p>
      <w:r>
        <w:br w:type="page"/>
      </w:r>
    </w:p>
    <w:p>
      <w:pPr>
        <w:pStyle w:val="Heading1"/>
        <w:keepNext/>
      </w:pPr>
      <w:r>
        <w:t>Contents</w:t>
      </w:r>
    </w:p>
    <w:p>
      <w:r>
        <w:fldChar w:fldCharType="begin"/>
        <w:instrText xml:space="preserve">TOC \o "1-3" \h \z \u</w:instrText>
        <w:fldChar w:fldCharType="separate">
          <w:t>Right-click and select Update Field to generate the contents list.</w:t>
        </w:fldChar>
        <w:fldChar w:fldCharType="end"/>
      </w:r>
    </w:p>
    <w:p>
      <w:r>
        <w:br/>
      </w:r>
    </w:p>
    <w:p>
      <w:pPr>
        <w:pStyle w:val="Heading2"/>
        <w:keepNext/>
      </w:pPr>
      <w:r>
        <w:t>How to read this report</w:t>
      </w:r>
    </w:p>
    <w:p>
      <w:pPr>
        <w:pStyle w:val="BodyText"/>
      </w:pPr>
      <w:r>
        <w:t>The executive summary states the decision and expected outcomes. Sections 2–5 diagnose the transaction lifecycle, control failures and options. Sections 6–9 define the target operating model, roadmap, ownership and measures. Appendices list evidence gaps, a detailed RACI and the report-writing references applied.</w:t>
      </w:r>
    </w:p>
    <w:p>
      <w:r>
        <w:br w:type="page"/>
      </w:r>
    </w:p>
    <w:p>
      <w:pPr>
        <w:pStyle w:val="Heading1"/>
        <w:keepNext/>
      </w:pPr>
      <w:r>
        <w:t>1. Executive summary</w:t>
      </w:r>
    </w:p>
    <w:p>
      <w:pPr>
        <w:pStyle w:val="BodyText"/>
      </w:pPr>
      <w:r>
        <w:t>SwiftCart’s reconciliation problem is an operating-model failure amplified by fragmented systems—not simply a software gap. Customer payments, refunds, seller settlements, logistics invoices and general-ledger postings lack one persistent transaction key. Teams reconcile through spreadsheets and route exceptions by email, without a single owner, service-level agreement (SLA) or audit trail. The result is a 12-day month-end close, a doubling of unresolved items older than 30 days, reported late vendor settlement, and rising exposure to duplicate invoices and unauthorised refunds.</w:t>
      </w:r>
    </w:p>
    <w:p>
      <w:pPr>
        <w:pStyle w:val="BodyText"/>
      </w:pPr>
      <w:r>
        <w:t>The priority is to establish reliable data and accountable workflows while preserving rapid service for legitimate customers and vendors. SwiftCart should implement a four-phase programme: stabilise and baseline; standardise data and controls; pilot automated matching and case management; then scale and optimise. Automation should proceed only after data-quality and control gates are met.</w:t>
      </w:r>
    </w:p>
    <w:p>
      <w:pPr>
        <w:pStyle w:val="Heading2"/>
        <w:keepNext/>
      </w:pPr>
      <w:r>
        <w:t>Decision requested</w:t>
      </w:r>
    </w:p>
    <w:p>
      <w:pPr>
        <w:pStyle w:val="ListBullet"/>
      </w:pPr>
      <w:r>
        <w:t>Approve Phase 0–1 mobilisation: appoint a CFO-sponsored owner, create a daily control room, validate baselines, define the common transaction key and remediate high-risk vendor master records.</w:t>
      </w:r>
    </w:p>
    <w:p>
      <w:pPr>
        <w:pStyle w:val="ListBullet"/>
      </w:pPr>
      <w:r>
        <w:t>Approve design and procurement of a reconciliation and exception-management platform, subject to process, data, security and value gates rather than a technology-only business case.</w:t>
      </w:r>
    </w:p>
    <w:p>
      <w:pPr>
        <w:pStyle w:val="ListBullet"/>
      </w:pPr>
      <w:r>
        <w:t>Adopt the proposed control framework for duplicate invoices, refunds, bank-detail changes, failed settlements and privileged access.</w:t>
      </w:r>
    </w:p>
    <w:p>
      <w:pPr>
        <w:pStyle w:val="ListBullet"/>
      </w:pPr>
      <w:r>
        <w:t>Mandate weekly executive reporting until aged exceptions and settlement performance stabilise, then move to monthly governance.</w:t>
      </w:r>
    </w:p>
    <w:p>
      <w:pPr>
        <w:pStyle w:val="Heading2"/>
        <w:keepNext/>
      </w:pPr>
      <w:r>
        <w:t>Expected outcomes and provisional targets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vAlign w:val="center"/>
            <w:tcMar>
              <w:top w:w="90" w:type="dxa"/>
              <w:start w:w="90" w:type="dxa"/>
              <w:bottom w:w="90" w:type="dxa"/>
              <w:end w:w="90" w:type="dxa"/>
            </w:tcMar>
          </w:tcPr>
          <w:p>
            <w:pPr>
              <w:jc w:val="left"/>
            </w:pPr>
            <w:r>
              <w:rPr>
                <w:b/>
                <w:color w:val="FFFFFF"/>
                <w:sz w:val="16"/>
              </w:rPr>
              <w:t>Outcome</w:t>
            </w:r>
          </w:p>
        </w:tc>
        <w:tc>
          <w:tcPr>
            <w:tcW w:type="dxa" w:w="2541"/>
            <w:shd w:fill="17324D"/>
            <w:vAlign w:val="center"/>
            <w:tcMar>
              <w:top w:w="90" w:type="dxa"/>
              <w:start w:w="90" w:type="dxa"/>
              <w:bottom w:w="90" w:type="dxa"/>
              <w:end w:w="90" w:type="dxa"/>
            </w:tcMar>
          </w:tcPr>
          <w:p>
            <w:pPr>
              <w:jc w:val="left"/>
            </w:pPr>
            <w:r>
              <w:rPr>
                <w:b/>
                <w:color w:val="FFFFFF"/>
                <w:sz w:val="16"/>
              </w:rPr>
              <w:t>Current signal</w:t>
            </w:r>
          </w:p>
        </w:tc>
        <w:tc>
          <w:tcPr>
            <w:tcW w:type="dxa" w:w="2541"/>
            <w:shd w:fill="17324D"/>
            <w:vAlign w:val="center"/>
            <w:tcMar>
              <w:top w:w="90" w:type="dxa"/>
              <w:start w:w="90" w:type="dxa"/>
              <w:bottom w:w="90" w:type="dxa"/>
              <w:end w:w="90" w:type="dxa"/>
            </w:tcMar>
          </w:tcPr>
          <w:p>
            <w:pPr>
              <w:jc w:val="left"/>
            </w:pPr>
            <w:r>
              <w:rPr>
                <w:b/>
                <w:color w:val="FFFFFF"/>
                <w:sz w:val="16"/>
              </w:rPr>
              <w:t>Target</w:t>
            </w:r>
          </w:p>
        </w:tc>
        <w:tc>
          <w:tcPr>
            <w:tcW w:type="dxa" w:w="2541"/>
            <w:shd w:fill="17324D"/>
            <w:vAlign w:val="center"/>
            <w:tcMar>
              <w:top w:w="90" w:type="dxa"/>
              <w:start w:w="90" w:type="dxa"/>
              <w:bottom w:w="90" w:type="dxa"/>
              <w:end w:w="90" w:type="dxa"/>
            </w:tcMar>
          </w:tcPr>
          <w:p>
            <w:pPr>
              <w:jc w:val="left"/>
            </w:pPr>
            <w:r>
              <w:rPr>
                <w:b/>
                <w:color w:val="FFFFFF"/>
                <w:sz w:val="16"/>
              </w:rPr>
              <w:t>Target date</w:t>
            </w:r>
          </w:p>
        </w:tc>
      </w:tr>
      <w:tr>
        <w:tc>
          <w:tcPr>
            <w:tcW w:type="dxa" w:w="2541"/>
            <w:vAlign w:val="top"/>
            <w:tcMar>
              <w:top w:w="85" w:type="dxa"/>
              <w:start w:w="90" w:type="dxa"/>
              <w:bottom w:w="85" w:type="dxa"/>
              <w:end w:w="90" w:type="dxa"/>
            </w:tcMar>
          </w:tcPr>
          <w:p>
            <w:pPr>
              <w:spacing w:after="0"/>
            </w:pPr>
            <w:r>
              <w:rPr>
                <w:sz w:val="16"/>
              </w:rPr>
              <w:t>Fewer aged exceptions</w:t>
            </w:r>
          </w:p>
        </w:tc>
        <w:tc>
          <w:tcPr>
            <w:tcW w:type="dxa" w:w="2541"/>
            <w:vAlign w:val="top"/>
            <w:tcMar>
              <w:top w:w="85" w:type="dxa"/>
              <w:start w:w="90" w:type="dxa"/>
              <w:bottom w:w="85" w:type="dxa"/>
              <w:end w:w="90" w:type="dxa"/>
            </w:tcMar>
          </w:tcPr>
          <w:p>
            <w:pPr>
              <w:spacing w:after="0"/>
            </w:pPr>
            <w:r>
              <w:rPr>
                <w:sz w:val="16"/>
              </w:rPr>
              <w:t>&gt;30-day unresolved items have doubled</w:t>
            </w:r>
          </w:p>
        </w:tc>
        <w:tc>
          <w:tcPr>
            <w:tcW w:type="dxa" w:w="2541"/>
            <w:vAlign w:val="top"/>
            <w:tcMar>
              <w:top w:w="85" w:type="dxa"/>
              <w:start w:w="90" w:type="dxa"/>
              <w:bottom w:w="85" w:type="dxa"/>
              <w:end w:w="90" w:type="dxa"/>
            </w:tcMar>
          </w:tcPr>
          <w:p>
            <w:pPr>
              <w:spacing w:after="0"/>
            </w:pPr>
            <w:r>
              <w:rPr>
                <w:sz w:val="16"/>
              </w:rPr>
              <w:t>Reduce &gt;30-day item count by ≥80% from validated baseline</w:t>
            </w:r>
          </w:p>
        </w:tc>
        <w:tc>
          <w:tcPr>
            <w:tcW w:type="dxa" w:w="2541"/>
            <w:vAlign w:val="top"/>
            <w:tcMar>
              <w:top w:w="85" w:type="dxa"/>
              <w:start w:w="90" w:type="dxa"/>
              <w:bottom w:w="85" w:type="dxa"/>
              <w:end w:w="90" w:type="dxa"/>
            </w:tcMar>
          </w:tcPr>
          <w:p>
            <w:pPr>
              <w:spacing w:after="0"/>
            </w:pPr>
            <w:r>
              <w:rPr>
                <w:sz w:val="16"/>
              </w:rPr>
              <w:t>By month 9</w:t>
            </w:r>
          </w:p>
        </w:tc>
      </w:tr>
      <w:tr>
        <w:tc>
          <w:tcPr>
            <w:tcW w:type="dxa" w:w="2541"/>
            <w:vAlign w:val="top"/>
            <w:tcMar>
              <w:top w:w="85" w:type="dxa"/>
              <w:start w:w="90" w:type="dxa"/>
              <w:bottom w:w="85" w:type="dxa"/>
              <w:end w:w="90" w:type="dxa"/>
            </w:tcMar>
            <w:shd w:fill="F3F5F7"/>
          </w:tcPr>
          <w:p>
            <w:pPr>
              <w:spacing w:after="0"/>
            </w:pPr>
            <w:r>
              <w:rPr>
                <w:sz w:val="16"/>
              </w:rPr>
              <w:t>Faster close</w:t>
            </w:r>
          </w:p>
        </w:tc>
        <w:tc>
          <w:tcPr>
            <w:tcW w:type="dxa" w:w="2541"/>
            <w:vAlign w:val="top"/>
            <w:tcMar>
              <w:top w:w="85" w:type="dxa"/>
              <w:start w:w="90" w:type="dxa"/>
              <w:bottom w:w="85" w:type="dxa"/>
              <w:end w:w="90" w:type="dxa"/>
            </w:tcMar>
            <w:shd w:fill="F3F5F7"/>
          </w:tcPr>
          <w:p>
            <w:pPr>
              <w:spacing w:after="0"/>
            </w:pPr>
            <w:r>
              <w:rPr>
                <w:sz w:val="16"/>
              </w:rPr>
              <w:t>12 calendar days</w:t>
            </w:r>
          </w:p>
        </w:tc>
        <w:tc>
          <w:tcPr>
            <w:tcW w:type="dxa" w:w="2541"/>
            <w:vAlign w:val="top"/>
            <w:tcMar>
              <w:top w:w="85" w:type="dxa"/>
              <w:start w:w="90" w:type="dxa"/>
              <w:bottom w:w="85" w:type="dxa"/>
              <w:end w:w="90" w:type="dxa"/>
            </w:tcMar>
            <w:shd w:fill="F3F5F7"/>
          </w:tcPr>
          <w:p>
            <w:pPr>
              <w:spacing w:after="0"/>
            </w:pPr>
            <w:r>
              <w:rPr>
                <w:sz w:val="16"/>
              </w:rPr>
              <w:t>≤7 days by month 6; ≤5 days by month 12</w:t>
            </w:r>
          </w:p>
        </w:tc>
        <w:tc>
          <w:tcPr>
            <w:tcW w:type="dxa" w:w="2541"/>
            <w:vAlign w:val="top"/>
            <w:tcMar>
              <w:top w:w="85" w:type="dxa"/>
              <w:start w:w="90" w:type="dxa"/>
              <w:bottom w:w="85" w:type="dxa"/>
              <w:end w:w="90" w:type="dxa"/>
            </w:tcMar>
            <w:shd w:fill="F3F5F7"/>
          </w:tcPr>
          <w:p>
            <w:pPr>
              <w:spacing w:after="0"/>
            </w:pPr>
            <w:r>
              <w:rPr>
                <w:sz w:val="16"/>
              </w:rPr>
              <w:t>Months 6 / 12</w:t>
            </w:r>
          </w:p>
        </w:tc>
      </w:tr>
      <w:tr>
        <w:tc>
          <w:tcPr>
            <w:tcW w:type="dxa" w:w="2541"/>
            <w:vAlign w:val="top"/>
            <w:tcMar>
              <w:top w:w="85" w:type="dxa"/>
              <w:start w:w="90" w:type="dxa"/>
              <w:bottom w:w="85" w:type="dxa"/>
              <w:end w:w="90" w:type="dxa"/>
            </w:tcMar>
          </w:tcPr>
          <w:p>
            <w:pPr>
              <w:spacing w:after="0"/>
            </w:pPr>
            <w:r>
              <w:rPr>
                <w:sz w:val="16"/>
              </w:rPr>
              <w:t>Timely seller settlement</w:t>
            </w:r>
          </w:p>
        </w:tc>
        <w:tc>
          <w:tcPr>
            <w:tcW w:type="dxa" w:w="2541"/>
            <w:vAlign w:val="top"/>
            <w:tcMar>
              <w:top w:w="85" w:type="dxa"/>
              <w:start w:w="90" w:type="dxa"/>
              <w:bottom w:w="85" w:type="dxa"/>
              <w:end w:w="90" w:type="dxa"/>
            </w:tcMar>
          </w:tcPr>
          <w:p>
            <w:pPr>
              <w:spacing w:after="0"/>
            </w:pPr>
            <w:r>
              <w:rPr>
                <w:sz w:val="16"/>
              </w:rPr>
              <w:t>Vendors report late payment</w:t>
            </w:r>
          </w:p>
        </w:tc>
        <w:tc>
          <w:tcPr>
            <w:tcW w:type="dxa" w:w="2541"/>
            <w:vAlign w:val="top"/>
            <w:tcMar>
              <w:top w:w="85" w:type="dxa"/>
              <w:start w:w="90" w:type="dxa"/>
              <w:bottom w:w="85" w:type="dxa"/>
              <w:end w:w="90" w:type="dxa"/>
            </w:tcMar>
          </w:tcPr>
          <w:p>
            <w:pPr>
              <w:spacing w:after="0"/>
            </w:pPr>
            <w:r>
              <w:rPr>
                <w:sz w:val="16"/>
              </w:rPr>
              <w:t>≥98% paid by contractual due date; ≥99% by month 12</w:t>
            </w:r>
          </w:p>
        </w:tc>
        <w:tc>
          <w:tcPr>
            <w:tcW w:type="dxa" w:w="2541"/>
            <w:vAlign w:val="top"/>
            <w:tcMar>
              <w:top w:w="85" w:type="dxa"/>
              <w:start w:w="90" w:type="dxa"/>
              <w:bottom w:w="85" w:type="dxa"/>
              <w:end w:w="90" w:type="dxa"/>
            </w:tcMar>
          </w:tcPr>
          <w:p>
            <w:pPr>
              <w:spacing w:after="0"/>
            </w:pPr>
            <w:r>
              <w:rPr>
                <w:sz w:val="16"/>
              </w:rPr>
              <w:t>Months 6 / 12</w:t>
            </w:r>
          </w:p>
        </w:tc>
      </w:tr>
      <w:tr>
        <w:tc>
          <w:tcPr>
            <w:tcW w:type="dxa" w:w="2541"/>
            <w:vAlign w:val="top"/>
            <w:tcMar>
              <w:top w:w="85" w:type="dxa"/>
              <w:start w:w="90" w:type="dxa"/>
              <w:bottom w:w="85" w:type="dxa"/>
              <w:end w:w="90" w:type="dxa"/>
            </w:tcMar>
            <w:shd w:fill="F3F5F7"/>
          </w:tcPr>
          <w:p>
            <w:pPr>
              <w:spacing w:after="0"/>
            </w:pPr>
            <w:r>
              <w:rPr>
                <w:sz w:val="16"/>
              </w:rPr>
              <w:t>Refund integrity and speed</w:t>
            </w:r>
          </w:p>
        </w:tc>
        <w:tc>
          <w:tcPr>
            <w:tcW w:type="dxa" w:w="2541"/>
            <w:vAlign w:val="top"/>
            <w:tcMar>
              <w:top w:w="85" w:type="dxa"/>
              <w:start w:w="90" w:type="dxa"/>
              <w:bottom w:w="85" w:type="dxa"/>
              <w:end w:w="90" w:type="dxa"/>
            </w:tcMar>
            <w:shd w:fill="F3F5F7"/>
          </w:tcPr>
          <w:p>
            <w:pPr>
              <w:spacing w:after="0"/>
            </w:pPr>
            <w:r>
              <w:rPr>
                <w:sz w:val="16"/>
              </w:rPr>
              <w:t>Requests increasing; loss rate unknown</w:t>
            </w:r>
          </w:p>
        </w:tc>
        <w:tc>
          <w:tcPr>
            <w:tcW w:type="dxa" w:w="2541"/>
            <w:vAlign w:val="top"/>
            <w:tcMar>
              <w:top w:w="85" w:type="dxa"/>
              <w:start w:w="90" w:type="dxa"/>
              <w:bottom w:w="85" w:type="dxa"/>
              <w:end w:w="90" w:type="dxa"/>
            </w:tcMar>
            <w:shd w:fill="F3F5F7"/>
          </w:tcPr>
          <w:p>
            <w:pPr>
              <w:spacing w:after="0"/>
            </w:pPr>
            <w:r>
              <w:rPr>
                <w:sz w:val="16"/>
              </w:rPr>
              <w:t>≥95% low-risk refunds resolved within 24 hours; leakage ≤0.10% of refunded value*</w:t>
            </w:r>
          </w:p>
        </w:tc>
        <w:tc>
          <w:tcPr>
            <w:tcW w:type="dxa" w:w="2541"/>
            <w:vAlign w:val="top"/>
            <w:tcMar>
              <w:top w:w="85" w:type="dxa"/>
              <w:start w:w="90" w:type="dxa"/>
              <w:bottom w:w="85" w:type="dxa"/>
              <w:end w:w="90" w:type="dxa"/>
            </w:tcMar>
            <w:shd w:fill="F3F5F7"/>
          </w:tcPr>
          <w:p>
            <w:pPr>
              <w:spacing w:after="0"/>
            </w:pPr>
            <w:r>
              <w:rPr>
                <w:sz w:val="16"/>
              </w:rPr>
              <w:t>By month 9</w:t>
            </w:r>
          </w:p>
        </w:tc>
      </w:tr>
      <w:tr>
        <w:tc>
          <w:tcPr>
            <w:tcW w:type="dxa" w:w="2541"/>
            <w:vAlign w:val="top"/>
            <w:tcMar>
              <w:top w:w="85" w:type="dxa"/>
              <w:start w:w="90" w:type="dxa"/>
              <w:bottom w:w="85" w:type="dxa"/>
              <w:end w:w="90" w:type="dxa"/>
            </w:tcMar>
          </w:tcPr>
          <w:p>
            <w:pPr>
              <w:spacing w:after="0"/>
            </w:pPr>
            <w:r>
              <w:rPr>
                <w:sz w:val="16"/>
              </w:rPr>
              <w:t>Control effectiveness</w:t>
            </w:r>
          </w:p>
        </w:tc>
        <w:tc>
          <w:tcPr>
            <w:tcW w:type="dxa" w:w="2541"/>
            <w:vAlign w:val="top"/>
            <w:tcMar>
              <w:top w:w="85" w:type="dxa"/>
              <w:start w:w="90" w:type="dxa"/>
              <w:bottom w:w="85" w:type="dxa"/>
              <w:end w:w="90" w:type="dxa"/>
            </w:tcMar>
          </w:tcPr>
          <w:p>
            <w:pPr>
              <w:spacing w:after="0"/>
            </w:pPr>
            <w:r>
              <w:rPr>
                <w:sz w:val="16"/>
              </w:rPr>
              <w:t>Manual, inconsistent evidence</w:t>
            </w:r>
          </w:p>
        </w:tc>
        <w:tc>
          <w:tcPr>
            <w:tcW w:type="dxa" w:w="2541"/>
            <w:vAlign w:val="top"/>
            <w:tcMar>
              <w:top w:w="85" w:type="dxa"/>
              <w:start w:w="90" w:type="dxa"/>
              <w:bottom w:w="85" w:type="dxa"/>
              <w:end w:w="90" w:type="dxa"/>
            </w:tcMar>
          </w:tcPr>
          <w:p>
            <w:pPr>
              <w:spacing w:after="0"/>
            </w:pPr>
            <w:r>
              <w:rPr>
                <w:sz w:val="16"/>
              </w:rPr>
              <w:t>≥98% key controls completed on time; 100% bank changes independently verified</w:t>
            </w:r>
          </w:p>
        </w:tc>
        <w:tc>
          <w:tcPr>
            <w:tcW w:type="dxa" w:w="2541"/>
            <w:vAlign w:val="top"/>
            <w:tcMar>
              <w:top w:w="85" w:type="dxa"/>
              <w:start w:w="90" w:type="dxa"/>
              <w:bottom w:w="85" w:type="dxa"/>
              <w:end w:w="90" w:type="dxa"/>
            </w:tcMar>
          </w:tcPr>
          <w:p>
            <w:pPr>
              <w:spacing w:after="0"/>
            </w:pPr>
            <w:r>
              <w:rPr>
                <w:sz w:val="16"/>
              </w:rPr>
              <w:t>By month 6</w:t>
            </w:r>
          </w:p>
        </w:tc>
      </w:tr>
    </w:tbl>
    <w:p>
      <w:pPr>
        <w:pStyle w:val="Caption"/>
      </w:pPr>
      <w:r>
        <w:t>*Provisional threshold; validate against current loss rate, product economics and risk appetite during Phase 0.</w:t>
      </w:r>
    </w:p>
    <w:p>
      <w:pPr>
        <w:pStyle w:val="Heading2"/>
        <w:keepNext/>
      </w:pPr>
      <w:r>
        <w:t>Key conclusion</w:t>
      </w:r>
    </w:p>
    <w:tbl>
      <w:tblPr>
        <w:tblW w:type="auto" w:w="0"/>
        <w:jc w:val="center"/>
        <w:tblLook w:firstColumn="1" w:firstRow="1" w:lastColumn="0" w:lastRow="0" w:noHBand="0" w:noVBand="1" w:val="04A0"/>
      </w:tblPr>
      <w:tblGrid>
        <w:gridCol w:w="10166"/>
      </w:tblGrid>
      <w:tr>
        <w:tc>
          <w:tcPr>
            <w:tcW w:type="dxa" w:w="10166"/>
            <w:shd w:fill="DDEFF0"/>
            <w:tcMar>
              <w:top w:w="180" w:type="dxa"/>
              <w:start w:w="220" w:type="dxa"/>
              <w:bottom w:w="180" w:type="dxa"/>
              <w:end w:w="220" w:type="dxa"/>
            </w:tcMar>
          </w:tcPr>
          <w:p>
            <w:pPr>
              <w:spacing w:after="80"/>
            </w:pPr>
            <w:r>
              <w:rPr>
                <w:b/>
                <w:color w:val="17324D"/>
              </w:rPr>
              <w:t>Control without avoidable friction</w:t>
            </w:r>
          </w:p>
          <w:p>
            <w:pPr>
              <w:spacing w:after="0"/>
            </w:pPr>
            <w:r>
              <w:t>Use straight-through processing for clean, low-risk transactions and reserve manual review for exceptions. This protects customer experience while increasing scrutiny where value, behaviour or data changes create risk.</w:t>
            </w:r>
          </w:p>
        </w:tc>
      </w:tr>
    </w:tbl>
    <w:p>
      <w:pPr>
        <w:pStyle w:val="Heading1"/>
        <w:keepNext/>
      </w:pPr>
      <w:r>
        <w:t>2. Purpose, scope and analytical basis</w:t>
      </w:r>
    </w:p>
    <w:p>
      <w:pPr>
        <w:pStyle w:val="Heading2"/>
        <w:keepNext/>
      </w:pPr>
      <w:r>
        <w:t>2.1 Terms of reference</w:t>
      </w:r>
    </w:p>
    <w:p>
      <w:pPr>
        <w:pStyle w:val="BodyText"/>
      </w:pPr>
      <w:r>
        <w:t>This report recommends improvements that reduce unreconciled transactions, improve seller and logistics-vendor settlement, and strengthen refund and payment controls. It maps the end-to-end lifecycle, identifies likely reconciliation breakpoints, compares process and technology options, and proposes measurable milestones that balance control, efficiency, customer experience and vendor confidence.</w:t>
      </w:r>
    </w:p>
    <w:p>
      <w:pPr>
        <w:pStyle w:val="Heading2"/>
        <w:keepNext/>
      </w:pPr>
      <w:r>
        <w:t>2.2 Scope</w:t>
      </w:r>
    </w:p>
    <w:p>
      <w:pPr>
        <w:pStyle w:val="ListBullet"/>
      </w:pPr>
      <w:r>
        <w:t>Customer payment authorisation, capture, gateway settlement and bank receipt.</w:t>
      </w:r>
    </w:p>
    <w:p>
      <w:pPr>
        <w:pStyle w:val="ListBullet"/>
      </w:pPr>
      <w:r>
        <w:t>Marketplace order, shipment, promotional credit, fee and seller-payable calculations.</w:t>
      </w:r>
    </w:p>
    <w:p>
      <w:pPr>
        <w:pStyle w:val="ListBullet"/>
      </w:pPr>
      <w:r>
        <w:t>Customer refunds, reversals, chargebacks and related accounting.</w:t>
      </w:r>
    </w:p>
    <w:p>
      <w:pPr>
        <w:pStyle w:val="ListBullet"/>
      </w:pPr>
      <w:r>
        <w:t>Seller and logistics-vendor invoice validation, payment execution and status confirmation.</w:t>
      </w:r>
    </w:p>
    <w:p>
      <w:pPr>
        <w:pStyle w:val="ListBullet"/>
      </w:pPr>
      <w:r>
        <w:t>General-ledger posting, bank reconciliation, exception management and period close.</w:t>
      </w:r>
    </w:p>
    <w:p>
      <w:pPr>
        <w:pStyle w:val="ListBullet"/>
      </w:pPr>
      <w:r>
        <w:t>Vendor master-data changes, user access, audit evidence and escalation.</w:t>
      </w:r>
    </w:p>
    <w:p>
      <w:pPr>
        <w:pStyle w:val="BodyText"/>
      </w:pPr>
      <w:r>
        <w:t>Tax determination, commercial contract redesign and treasury investment policy are outside scope, except where they affect identifiers, settlement rules or control evidence.</w:t>
      </w:r>
    </w:p>
    <w:p>
      <w:pPr>
        <w:pStyle w:val="Heading2"/>
        <w:keepNext/>
      </w:pPr>
      <w:r>
        <w:t>2.3 Evidence and limitations</w:t>
      </w:r>
    </w:p>
    <w:p>
      <w:pPr>
        <w:pStyle w:val="BodyText"/>
      </w:pPr>
      <w:r>
        <w:t>The case provides directional facts but not transaction volumes, exception values, refund-loss rates, payment timeliness, staffing effort or system-level error data. Therefore, this report separates known facts from management hypotheses and labels numeric improvement thresholds as provisional. Phase 0 must validate baselines before benefits are committed. No return-on-investment figure is presented because doing so without volume, cost and loss data would create false precision.</w:t>
      </w:r>
    </w:p>
    <w:p>
      <w:pPr>
        <w:pStyle w:val="Heading1"/>
        <w:keepNext/>
      </w:pPr>
      <w:r>
        <w:t>3. Transaction lifecycle and reconciliation breakpoints</w:t>
      </w:r>
    </w:p>
    <w:p>
      <w:pPr>
        <w:pStyle w:val="BodyText"/>
      </w:pPr>
      <w:r>
        <w:t>The target lifecycle should preserve one immutable Common Transaction Key (CTK) across order, payment, shipment, refund, seller settlement, bank statement and general-ledger records. Source-system IDs remain available as aliases, but the CTK becomes the primary matching and case-management anchor.</w:t>
      </w:r>
    </w:p>
    <w:p>
      <w:pPr>
        <w:pStyle w:val="Caption"/>
      </w:pPr>
      <w:r>
        <w:t>Figure 1. End-to-end transaction and control flow</w:t>
      </w:r>
    </w:p>
    <w:tbl>
      <w:tblPr>
        <w:tblStyle w:val="TableGrid"/>
        <w:tblW w:type="auto" w:w="0"/>
        <w:tblLook w:firstColumn="1" w:firstRow="1" w:lastColumn="0" w:lastRow="0" w:noHBand="0" w:noVBand="1" w:val="04A0"/>
      </w:tblPr>
      <w:tblGrid>
        <w:gridCol w:w="10166"/>
      </w:tblGrid>
      <w:tr>
        <w:tc>
          <w:tcPr>
            <w:tcW w:type="dxa" w:w="10166"/>
            <w:shd w:fill="DDEFF0"/>
            <w:tcMar>
              <w:top w:w="130" w:type="dxa"/>
              <w:start w:w="170" w:type="dxa"/>
              <w:bottom w:w="130" w:type="dxa"/>
              <w:end w:w="170" w:type="dxa"/>
            </w:tcMar>
          </w:tcPr>
          <w:p>
            <w:r>
              <w:rPr>
                <w:b/>
                <w:color w:val="17324D"/>
              </w:rPr>
              <w:t>1  ORDER &amp; PAYMENT</w:t>
            </w:r>
          </w:p>
          <w:p>
            <w:pPr>
              <w:spacing w:after="40"/>
            </w:pPr>
            <w:r>
              <w:t>Customer places order → platform creates CTK → gateway authorises/captures payment.</w:t>
            </w:r>
          </w:p>
          <w:p>
            <w:pPr>
              <w:spacing w:after="0"/>
            </w:pPr>
            <w:r>
              <w:rPr>
                <w:i/>
                <w:color w:val="C23B3B"/>
              </w:rPr>
              <w:t>Breakpoint: order ID, gateway ID and captured amount may not align; split tenders and retries create duplicates.</w:t>
            </w:r>
          </w:p>
        </w:tc>
      </w:tr>
      <w:tr>
        <w:tc>
          <w:tcPr>
            <w:tcW w:type="dxa" w:w="10166"/>
          </w:tcPr>
          <w:p>
            <w:pPr>
              <w:jc w:val="center"/>
            </w:pPr>
            <w:r>
              <w:rPr>
                <w:color w:val="0D7C86"/>
                <w:sz w:val="26"/>
              </w:rPr>
              <w:t>↓</w:t>
            </w:r>
          </w:p>
        </w:tc>
      </w:tr>
      <w:tr>
        <w:tc>
          <w:tcPr>
            <w:tcW w:type="dxa" w:w="10166"/>
            <w:shd w:fill="EAF0F5"/>
            <w:tcMar>
              <w:top w:w="130" w:type="dxa"/>
              <w:start w:w="170" w:type="dxa"/>
              <w:bottom w:w="130" w:type="dxa"/>
              <w:end w:w="170" w:type="dxa"/>
            </w:tcMar>
          </w:tcPr>
          <w:p>
            <w:r>
              <w:rPr>
                <w:b/>
                <w:color w:val="17324D"/>
              </w:rPr>
              <w:t>2  BANK &amp; GATEWAY SETTLEMENT</w:t>
            </w:r>
          </w:p>
          <w:p>
            <w:pPr>
              <w:spacing w:after="40"/>
            </w:pPr>
            <w:r>
              <w:t>Gateway batches captured payments, fees, reversals and chargebacks → bank credits net amount.</w:t>
            </w:r>
          </w:p>
          <w:p>
            <w:pPr>
              <w:spacing w:after="0"/>
            </w:pPr>
            <w:r>
              <w:rPr>
                <w:i/>
                <w:color w:val="C23B3B"/>
              </w:rPr>
              <w:t>Breakpoint: net settlement obscures gross components; settlement timing and reference differ across gateway and bank.</w:t>
            </w:r>
          </w:p>
        </w:tc>
      </w:tr>
      <w:tr>
        <w:tc>
          <w:tcPr>
            <w:tcW w:type="dxa" w:w="10166"/>
          </w:tcPr>
          <w:p>
            <w:pPr>
              <w:jc w:val="center"/>
            </w:pPr>
            <w:r>
              <w:rPr>
                <w:color w:val="0D7C86"/>
                <w:sz w:val="26"/>
              </w:rPr>
              <w:t>↓</w:t>
            </w:r>
          </w:p>
        </w:tc>
      </w:tr>
      <w:tr>
        <w:tc>
          <w:tcPr>
            <w:tcW w:type="dxa" w:w="10166"/>
            <w:shd w:fill="DDEFF0"/>
            <w:tcMar>
              <w:top w:w="130" w:type="dxa"/>
              <w:start w:w="170" w:type="dxa"/>
              <w:bottom w:w="130" w:type="dxa"/>
              <w:end w:w="170" w:type="dxa"/>
            </w:tcMar>
          </w:tcPr>
          <w:p>
            <w:r>
              <w:rPr>
                <w:b/>
                <w:color w:val="17324D"/>
              </w:rPr>
              <w:t>3  FULFILMENT &amp; ECONOMIC ALLOCATION</w:t>
            </w:r>
          </w:p>
          <w:p>
            <w:pPr>
              <w:spacing w:after="40"/>
            </w:pPr>
            <w:r>
              <w:t>Shipment/delivery events determine earned revenue, promotional funding, commission, tax and seller payable.</w:t>
            </w:r>
          </w:p>
          <w:p>
            <w:pPr>
              <w:spacing w:after="0"/>
            </w:pPr>
            <w:r>
              <w:rPr>
                <w:i/>
                <w:color w:val="C23B3B"/>
              </w:rPr>
              <w:t>Breakpoint: partial shipment, cancellation and promotion references do not consistently link to payment records.</w:t>
            </w:r>
          </w:p>
        </w:tc>
      </w:tr>
      <w:tr>
        <w:tc>
          <w:tcPr>
            <w:tcW w:type="dxa" w:w="10166"/>
          </w:tcPr>
          <w:p>
            <w:pPr>
              <w:jc w:val="center"/>
            </w:pPr>
            <w:r>
              <w:rPr>
                <w:color w:val="0D7C86"/>
                <w:sz w:val="26"/>
              </w:rPr>
              <w:t>↓</w:t>
            </w:r>
          </w:p>
        </w:tc>
      </w:tr>
      <w:tr>
        <w:tc>
          <w:tcPr>
            <w:tcW w:type="dxa" w:w="10166"/>
            <w:shd w:fill="EAF0F5"/>
            <w:tcMar>
              <w:top w:w="130" w:type="dxa"/>
              <w:start w:w="170" w:type="dxa"/>
              <w:bottom w:w="130" w:type="dxa"/>
              <w:end w:w="170" w:type="dxa"/>
            </w:tcMar>
          </w:tcPr>
          <w:p>
            <w:r>
              <w:rPr>
                <w:b/>
                <w:color w:val="17324D"/>
              </w:rPr>
              <w:t>4  REFUND / REVERSAL</w:t>
            </w:r>
          </w:p>
          <w:p>
            <w:pPr>
              <w:spacing w:after="40"/>
            </w:pPr>
            <w:r>
              <w:t>Approved request → refund instruction → gateway response → customer notification → accounting entry.</w:t>
            </w:r>
          </w:p>
          <w:p>
            <w:pPr>
              <w:spacing w:after="0"/>
            </w:pPr>
            <w:r>
              <w:rPr>
                <w:i/>
                <w:color w:val="C23B3B"/>
              </w:rPr>
              <w:t>Breakpoint: duplicate requests, approval bypass, failed-but-marked-complete refunds and timing gaps.</w:t>
            </w:r>
          </w:p>
        </w:tc>
      </w:tr>
      <w:tr>
        <w:tc>
          <w:tcPr>
            <w:tcW w:type="dxa" w:w="10166"/>
          </w:tcPr>
          <w:p>
            <w:pPr>
              <w:jc w:val="center"/>
            </w:pPr>
            <w:r>
              <w:rPr>
                <w:color w:val="0D7C86"/>
                <w:sz w:val="26"/>
              </w:rPr>
              <w:t>↓</w:t>
            </w:r>
          </w:p>
        </w:tc>
      </w:tr>
      <w:tr>
        <w:tc>
          <w:tcPr>
            <w:tcW w:type="dxa" w:w="10166"/>
            <w:shd w:fill="DDEFF0"/>
            <w:tcMar>
              <w:top w:w="130" w:type="dxa"/>
              <w:start w:w="170" w:type="dxa"/>
              <w:bottom w:w="130" w:type="dxa"/>
              <w:end w:w="170" w:type="dxa"/>
            </w:tcMar>
          </w:tcPr>
          <w:p>
            <w:r>
              <w:rPr>
                <w:b/>
                <w:color w:val="17324D"/>
              </w:rPr>
              <w:t>5  SELLER / LOGISTICS PAYABLE</w:t>
            </w:r>
          </w:p>
          <w:p>
            <w:pPr>
              <w:spacing w:after="40"/>
            </w:pPr>
            <w:r>
              <w:t>Approved payable or invoice → duplicate check → settlement run → bank instruction.</w:t>
            </w:r>
          </w:p>
          <w:p>
            <w:pPr>
              <w:spacing w:after="0"/>
            </w:pPr>
            <w:r>
              <w:rPr>
                <w:i/>
                <w:color w:val="C23B3B"/>
              </w:rPr>
              <w:t>Breakpoint: duplicate invoices, incorrect bank master, holds not visible and payment status treated as cash confirmation.</w:t>
            </w:r>
          </w:p>
        </w:tc>
      </w:tr>
      <w:tr>
        <w:tc>
          <w:tcPr>
            <w:tcW w:type="dxa" w:w="10166"/>
          </w:tcPr>
          <w:p>
            <w:pPr>
              <w:jc w:val="center"/>
            </w:pPr>
            <w:r>
              <w:rPr>
                <w:color w:val="0D7C86"/>
                <w:sz w:val="26"/>
              </w:rPr>
              <w:t>↓</w:t>
            </w:r>
          </w:p>
        </w:tc>
      </w:tr>
      <w:tr>
        <w:tc>
          <w:tcPr>
            <w:tcW w:type="dxa" w:w="10166"/>
            <w:shd w:fill="EAF0F5"/>
            <w:tcMar>
              <w:top w:w="130" w:type="dxa"/>
              <w:start w:w="170" w:type="dxa"/>
              <w:bottom w:w="130" w:type="dxa"/>
              <w:end w:w="170" w:type="dxa"/>
            </w:tcMar>
          </w:tcPr>
          <w:p>
            <w:r>
              <w:rPr>
                <w:b/>
                <w:color w:val="17324D"/>
              </w:rPr>
              <w:t>6  CASH CONFIRMATION &amp; GL</w:t>
            </w:r>
          </w:p>
          <w:p>
            <w:pPr>
              <w:spacing w:after="40"/>
            </w:pPr>
            <w:r>
              <w:t>Bank debit/credit and gateway confirmation → subledger posting → general ledger → account reconciliation.</w:t>
            </w:r>
          </w:p>
          <w:p>
            <w:pPr>
              <w:spacing w:after="0"/>
            </w:pPr>
            <w:r>
              <w:rPr>
                <w:i/>
                <w:color w:val="C23B3B"/>
              </w:rPr>
              <w:t>Breakpoint: processed status is not bank settlement; manual journals and mapping errors break traceability.</w:t>
            </w:r>
          </w:p>
        </w:tc>
      </w:tr>
      <w:tr>
        <w:tc>
          <w:tcPr>
            <w:tcW w:type="dxa" w:w="10166"/>
          </w:tcPr>
          <w:p>
            <w:pPr>
              <w:jc w:val="center"/>
            </w:pPr>
            <w:r>
              <w:rPr>
                <w:color w:val="0D7C86"/>
                <w:sz w:val="26"/>
              </w:rPr>
              <w:t>↓</w:t>
            </w:r>
          </w:p>
        </w:tc>
      </w:tr>
      <w:tr>
        <w:tc>
          <w:tcPr>
            <w:tcW w:type="dxa" w:w="10166"/>
            <w:shd w:fill="DDEFF0"/>
            <w:tcMar>
              <w:top w:w="130" w:type="dxa"/>
              <w:start w:w="170" w:type="dxa"/>
              <w:bottom w:w="130" w:type="dxa"/>
              <w:end w:w="170" w:type="dxa"/>
            </w:tcMar>
          </w:tcPr>
          <w:p>
            <w:r>
              <w:rPr>
                <w:b/>
                <w:color w:val="17324D"/>
              </w:rPr>
              <w:t>7  EXCEPTION RESOLUTION &amp; CLOSE</w:t>
            </w:r>
          </w:p>
          <w:p>
            <w:pPr>
              <w:spacing w:after="40"/>
            </w:pPr>
            <w:r>
              <w:t>Rules create a case → named owner resolves/escalates → evidence retained → period close certified.</w:t>
            </w:r>
          </w:p>
          <w:p>
            <w:pPr>
              <w:spacing w:after="0"/>
            </w:pPr>
            <w:r>
              <w:rPr>
                <w:i/>
                <w:color w:val="C23B3B"/>
              </w:rPr>
              <w:t>Breakpoint: spreadsheet/email queues have no authoritative owner, SLA, ageing or complete audit trail.</w:t>
            </w:r>
          </w:p>
        </w:tc>
      </w:tr>
    </w:tbl>
    <w:p>
      <w:pPr>
        <w:pStyle w:val="Caption"/>
      </w:pPr>
      <w:r>
        <w:t>Why this visual matters: it shows that reconciliation is not a month-end task. Breakpoints originate throughout the lifecycle, while the present email-and-spreadsheet process concentrates detection at the end. The proposed CTK and event-level controls move detection closer to the source.</w:t>
      </w:r>
    </w:p>
    <w:p>
      <w:pPr>
        <w:pStyle w:val="Heading2"/>
        <w:keepNext/>
      </w:pPr>
      <w:r>
        <w:t>3.1 Highest-priority breakpoints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vAlign w:val="center"/>
            <w:tcMar>
              <w:top w:w="90" w:type="dxa"/>
              <w:start w:w="90" w:type="dxa"/>
              <w:bottom w:w="90" w:type="dxa"/>
              <w:end w:w="90" w:type="dxa"/>
            </w:tcMar>
          </w:tcPr>
          <w:p>
            <w:pPr>
              <w:jc w:val="left"/>
            </w:pPr>
            <w:r>
              <w:rPr>
                <w:b/>
                <w:color w:val="FFFFFF"/>
                <w:sz w:val="15"/>
              </w:rPr>
              <w:t>Breakpoint</w:t>
            </w:r>
          </w:p>
        </w:tc>
        <w:tc>
          <w:tcPr>
            <w:tcW w:type="dxa" w:w="2541"/>
            <w:shd w:fill="17324D"/>
            <w:vAlign w:val="center"/>
            <w:tcMar>
              <w:top w:w="90" w:type="dxa"/>
              <w:start w:w="90" w:type="dxa"/>
              <w:bottom w:w="90" w:type="dxa"/>
              <w:end w:w="90" w:type="dxa"/>
            </w:tcMar>
          </w:tcPr>
          <w:p>
            <w:pPr>
              <w:jc w:val="left"/>
            </w:pPr>
            <w:r>
              <w:rPr>
                <w:b/>
                <w:color w:val="FFFFFF"/>
                <w:sz w:val="15"/>
              </w:rPr>
              <w:t>Likely cause</w:t>
            </w:r>
          </w:p>
        </w:tc>
        <w:tc>
          <w:tcPr>
            <w:tcW w:type="dxa" w:w="2541"/>
            <w:shd w:fill="17324D"/>
            <w:vAlign w:val="center"/>
            <w:tcMar>
              <w:top w:w="90" w:type="dxa"/>
              <w:start w:w="90" w:type="dxa"/>
              <w:bottom w:w="90" w:type="dxa"/>
              <w:end w:w="90" w:type="dxa"/>
            </w:tcMar>
          </w:tcPr>
          <w:p>
            <w:pPr>
              <w:jc w:val="left"/>
            </w:pPr>
            <w:r>
              <w:rPr>
                <w:b/>
                <w:color w:val="FFFFFF"/>
                <w:sz w:val="15"/>
              </w:rPr>
              <w:t>Operational effect</w:t>
            </w:r>
          </w:p>
        </w:tc>
        <w:tc>
          <w:tcPr>
            <w:tcW w:type="dxa" w:w="2541"/>
            <w:shd w:fill="17324D"/>
            <w:vAlign w:val="center"/>
            <w:tcMar>
              <w:top w:w="90" w:type="dxa"/>
              <w:start w:w="90" w:type="dxa"/>
              <w:bottom w:w="90" w:type="dxa"/>
              <w:end w:w="90" w:type="dxa"/>
            </w:tcMar>
          </w:tcPr>
          <w:p>
            <w:pPr>
              <w:jc w:val="left"/>
            </w:pPr>
            <w:r>
              <w:rPr>
                <w:b/>
                <w:color w:val="FFFFFF"/>
                <w:sz w:val="15"/>
              </w:rPr>
              <w:t>Priority action</w:t>
            </w:r>
          </w:p>
        </w:tc>
      </w:tr>
      <w:tr>
        <w:tc>
          <w:tcPr>
            <w:tcW w:type="dxa" w:w="2541"/>
            <w:vAlign w:val="top"/>
            <w:tcMar>
              <w:top w:w="85" w:type="dxa"/>
              <w:start w:w="90" w:type="dxa"/>
              <w:bottom w:w="85" w:type="dxa"/>
              <w:end w:w="90" w:type="dxa"/>
            </w:tcMar>
          </w:tcPr>
          <w:p>
            <w:pPr>
              <w:spacing w:after="0"/>
            </w:pPr>
            <w:r>
              <w:rPr>
                <w:sz w:val="15"/>
              </w:rPr>
              <w:t>Gateway-to-bank net settlement</w:t>
            </w:r>
          </w:p>
        </w:tc>
        <w:tc>
          <w:tcPr>
            <w:tcW w:type="dxa" w:w="2541"/>
            <w:vAlign w:val="top"/>
            <w:tcMar>
              <w:top w:w="85" w:type="dxa"/>
              <w:start w:w="90" w:type="dxa"/>
              <w:bottom w:w="85" w:type="dxa"/>
              <w:end w:w="90" w:type="dxa"/>
            </w:tcMar>
          </w:tcPr>
          <w:p>
            <w:pPr>
              <w:spacing w:after="0"/>
            </w:pPr>
            <w:r>
              <w:rPr>
                <w:sz w:val="15"/>
              </w:rPr>
              <w:t>Fees, refunds and chargebacks bundled; timing differences</w:t>
            </w:r>
          </w:p>
        </w:tc>
        <w:tc>
          <w:tcPr>
            <w:tcW w:type="dxa" w:w="2541"/>
            <w:vAlign w:val="top"/>
            <w:tcMar>
              <w:top w:w="85" w:type="dxa"/>
              <w:start w:w="90" w:type="dxa"/>
              <w:bottom w:w="85" w:type="dxa"/>
              <w:end w:w="90" w:type="dxa"/>
            </w:tcMar>
          </w:tcPr>
          <w:p>
            <w:pPr>
              <w:spacing w:after="0"/>
            </w:pPr>
            <w:r>
              <w:rPr>
                <w:sz w:val="15"/>
              </w:rPr>
              <w:t>Cash cannot be matched to individual events</w:t>
            </w:r>
          </w:p>
        </w:tc>
        <w:tc>
          <w:tcPr>
            <w:tcW w:type="dxa" w:w="2541"/>
            <w:vAlign w:val="top"/>
            <w:tcMar>
              <w:top w:w="85" w:type="dxa"/>
              <w:start w:w="90" w:type="dxa"/>
              <w:bottom w:w="85" w:type="dxa"/>
              <w:end w:w="90" w:type="dxa"/>
            </w:tcMar>
          </w:tcPr>
          <w:p>
            <w:pPr>
              <w:spacing w:after="0"/>
            </w:pPr>
            <w:r>
              <w:rPr>
                <w:sz w:val="15"/>
              </w:rPr>
              <w:t>Obtain settlement detail; reconcile gross-to-net by batch and CTK</w:t>
            </w:r>
          </w:p>
        </w:tc>
      </w:tr>
      <w:tr>
        <w:tc>
          <w:tcPr>
            <w:tcW w:type="dxa" w:w="2541"/>
            <w:vAlign w:val="top"/>
            <w:tcMar>
              <w:top w:w="85" w:type="dxa"/>
              <w:start w:w="90" w:type="dxa"/>
              <w:bottom w:w="85" w:type="dxa"/>
              <w:end w:w="90" w:type="dxa"/>
            </w:tcMar>
            <w:shd w:fill="F3F5F7"/>
          </w:tcPr>
          <w:p>
            <w:pPr>
              <w:spacing w:after="0"/>
            </w:pPr>
            <w:r>
              <w:rPr>
                <w:sz w:val="15"/>
              </w:rPr>
              <w:t>Processed versus paid status</w:t>
            </w:r>
          </w:p>
        </w:tc>
        <w:tc>
          <w:tcPr>
            <w:tcW w:type="dxa" w:w="2541"/>
            <w:vAlign w:val="top"/>
            <w:tcMar>
              <w:top w:w="85" w:type="dxa"/>
              <w:start w:w="90" w:type="dxa"/>
              <w:bottom w:w="85" w:type="dxa"/>
              <w:end w:w="90" w:type="dxa"/>
            </w:tcMar>
            <w:shd w:fill="F3F5F7"/>
          </w:tcPr>
          <w:p>
            <w:pPr>
              <w:spacing w:after="0"/>
            </w:pPr>
            <w:r>
              <w:rPr>
                <w:sz w:val="15"/>
              </w:rPr>
              <w:t>Dashboard status based on instruction, not confirmed bank debit/credit</w:t>
            </w:r>
          </w:p>
        </w:tc>
        <w:tc>
          <w:tcPr>
            <w:tcW w:type="dxa" w:w="2541"/>
            <w:vAlign w:val="top"/>
            <w:tcMar>
              <w:top w:w="85" w:type="dxa"/>
              <w:start w:w="90" w:type="dxa"/>
              <w:bottom w:w="85" w:type="dxa"/>
              <w:end w:w="90" w:type="dxa"/>
            </w:tcMar>
            <w:shd w:fill="F3F5F7"/>
          </w:tcPr>
          <w:p>
            <w:pPr>
              <w:spacing w:after="0"/>
            </w:pPr>
            <w:r>
              <w:rPr>
                <w:sz w:val="15"/>
              </w:rPr>
              <w:t>Late vendors despite ‘processed’ display</w:t>
            </w:r>
          </w:p>
        </w:tc>
        <w:tc>
          <w:tcPr>
            <w:tcW w:type="dxa" w:w="2541"/>
            <w:vAlign w:val="top"/>
            <w:tcMar>
              <w:top w:w="85" w:type="dxa"/>
              <w:start w:w="90" w:type="dxa"/>
              <w:bottom w:w="85" w:type="dxa"/>
              <w:end w:w="90" w:type="dxa"/>
            </w:tcMar>
            <w:shd w:fill="F3F5F7"/>
          </w:tcPr>
          <w:p>
            <w:pPr>
              <w:spacing w:after="0"/>
            </w:pPr>
            <w:r>
              <w:rPr>
                <w:sz w:val="15"/>
              </w:rPr>
              <w:t>Use explicit initiated/accepted/settled/failed statuses and bank confirmation</w:t>
            </w:r>
          </w:p>
        </w:tc>
      </w:tr>
      <w:tr>
        <w:tc>
          <w:tcPr>
            <w:tcW w:type="dxa" w:w="2541"/>
            <w:vAlign w:val="top"/>
            <w:tcMar>
              <w:top w:w="85" w:type="dxa"/>
              <w:start w:w="90" w:type="dxa"/>
              <w:bottom w:w="85" w:type="dxa"/>
              <w:end w:w="90" w:type="dxa"/>
            </w:tcMar>
          </w:tcPr>
          <w:p>
            <w:pPr>
              <w:spacing w:after="0"/>
            </w:pPr>
            <w:r>
              <w:rPr>
                <w:sz w:val="15"/>
              </w:rPr>
              <w:t>Order–shipment–settlement mismatch</w:t>
            </w:r>
          </w:p>
        </w:tc>
        <w:tc>
          <w:tcPr>
            <w:tcW w:type="dxa" w:w="2541"/>
            <w:vAlign w:val="top"/>
            <w:tcMar>
              <w:top w:w="85" w:type="dxa"/>
              <w:start w:w="90" w:type="dxa"/>
              <w:bottom w:w="85" w:type="dxa"/>
              <w:end w:w="90" w:type="dxa"/>
            </w:tcMar>
          </w:tcPr>
          <w:p>
            <w:pPr>
              <w:spacing w:after="0"/>
            </w:pPr>
            <w:r>
              <w:rPr>
                <w:sz w:val="15"/>
              </w:rPr>
              <w:t>Different identifiers; partial fulfilment</w:t>
            </w:r>
          </w:p>
        </w:tc>
        <w:tc>
          <w:tcPr>
            <w:tcW w:type="dxa" w:w="2541"/>
            <w:vAlign w:val="top"/>
            <w:tcMar>
              <w:top w:w="85" w:type="dxa"/>
              <w:start w:w="90" w:type="dxa"/>
              <w:bottom w:w="85" w:type="dxa"/>
              <w:end w:w="90" w:type="dxa"/>
            </w:tcMar>
          </w:tcPr>
          <w:p>
            <w:pPr>
              <w:spacing w:after="0"/>
            </w:pPr>
            <w:r>
              <w:rPr>
                <w:sz w:val="15"/>
              </w:rPr>
              <w:t>Incorrect seller payable and revenue timing</w:t>
            </w:r>
          </w:p>
        </w:tc>
        <w:tc>
          <w:tcPr>
            <w:tcW w:type="dxa" w:w="2541"/>
            <w:vAlign w:val="top"/>
            <w:tcMar>
              <w:top w:w="85" w:type="dxa"/>
              <w:start w:w="90" w:type="dxa"/>
              <w:bottom w:w="85" w:type="dxa"/>
              <w:end w:w="90" w:type="dxa"/>
            </w:tcMar>
          </w:tcPr>
          <w:p>
            <w:pPr>
              <w:spacing w:after="0"/>
            </w:pPr>
            <w:r>
              <w:rPr>
                <w:sz w:val="15"/>
              </w:rPr>
              <w:t>CTK plus line/shipment suffix; event schema and completeness controls</w:t>
            </w:r>
          </w:p>
        </w:tc>
      </w:tr>
      <w:tr>
        <w:tc>
          <w:tcPr>
            <w:tcW w:type="dxa" w:w="2541"/>
            <w:vAlign w:val="top"/>
            <w:tcMar>
              <w:top w:w="85" w:type="dxa"/>
              <w:start w:w="90" w:type="dxa"/>
              <w:bottom w:w="85" w:type="dxa"/>
              <w:end w:w="90" w:type="dxa"/>
            </w:tcMar>
            <w:shd w:fill="F3F5F7"/>
          </w:tcPr>
          <w:p>
            <w:pPr>
              <w:spacing w:after="0"/>
            </w:pPr>
            <w:r>
              <w:rPr>
                <w:sz w:val="15"/>
              </w:rPr>
              <w:t>Refund request-to-cash gap</w:t>
            </w:r>
          </w:p>
        </w:tc>
        <w:tc>
          <w:tcPr>
            <w:tcW w:type="dxa" w:w="2541"/>
            <w:vAlign w:val="top"/>
            <w:tcMar>
              <w:top w:w="85" w:type="dxa"/>
              <w:start w:w="90" w:type="dxa"/>
              <w:bottom w:w="85" w:type="dxa"/>
              <w:end w:w="90" w:type="dxa"/>
            </w:tcMar>
            <w:shd w:fill="F3F5F7"/>
          </w:tcPr>
          <w:p>
            <w:pPr>
              <w:spacing w:after="0"/>
            </w:pPr>
            <w:r>
              <w:rPr>
                <w:sz w:val="15"/>
              </w:rPr>
              <w:t>Duplicate intake, weak approval, asynchronous gateway result</w:t>
            </w:r>
          </w:p>
        </w:tc>
        <w:tc>
          <w:tcPr>
            <w:tcW w:type="dxa" w:w="2541"/>
            <w:vAlign w:val="top"/>
            <w:tcMar>
              <w:top w:w="85" w:type="dxa"/>
              <w:start w:w="90" w:type="dxa"/>
              <w:bottom w:w="85" w:type="dxa"/>
              <w:end w:w="90" w:type="dxa"/>
            </w:tcMar>
            <w:shd w:fill="F3F5F7"/>
          </w:tcPr>
          <w:p>
            <w:pPr>
              <w:spacing w:after="0"/>
            </w:pPr>
            <w:r>
              <w:rPr>
                <w:sz w:val="15"/>
              </w:rPr>
              <w:t>Customer delay and leakage</w:t>
            </w:r>
          </w:p>
        </w:tc>
        <w:tc>
          <w:tcPr>
            <w:tcW w:type="dxa" w:w="2541"/>
            <w:vAlign w:val="top"/>
            <w:tcMar>
              <w:top w:w="85" w:type="dxa"/>
              <w:start w:w="90" w:type="dxa"/>
              <w:bottom w:w="85" w:type="dxa"/>
              <w:end w:w="90" w:type="dxa"/>
            </w:tcMar>
            <w:shd w:fill="F3F5F7"/>
          </w:tcPr>
          <w:p>
            <w:pPr>
              <w:spacing w:after="0"/>
            </w:pPr>
            <w:r>
              <w:rPr>
                <w:sz w:val="15"/>
              </w:rPr>
              <w:t>Idempotency key, risk-based approval and callback reconciliation</w:t>
            </w:r>
          </w:p>
        </w:tc>
      </w:tr>
      <w:tr>
        <w:tc>
          <w:tcPr>
            <w:tcW w:type="dxa" w:w="2541"/>
            <w:vAlign w:val="top"/>
            <w:tcMar>
              <w:top w:w="85" w:type="dxa"/>
              <w:start w:w="90" w:type="dxa"/>
              <w:bottom w:w="85" w:type="dxa"/>
              <w:end w:w="90" w:type="dxa"/>
            </w:tcMar>
          </w:tcPr>
          <w:p>
            <w:pPr>
              <w:spacing w:after="0"/>
            </w:pPr>
            <w:r>
              <w:rPr>
                <w:sz w:val="15"/>
              </w:rPr>
              <w:t>Invoice duplicate</w:t>
            </w:r>
          </w:p>
        </w:tc>
        <w:tc>
          <w:tcPr>
            <w:tcW w:type="dxa" w:w="2541"/>
            <w:vAlign w:val="top"/>
            <w:tcMar>
              <w:top w:w="85" w:type="dxa"/>
              <w:start w:w="90" w:type="dxa"/>
              <w:bottom w:w="85" w:type="dxa"/>
              <w:end w:w="90" w:type="dxa"/>
            </w:tcMar>
          </w:tcPr>
          <w:p>
            <w:pPr>
              <w:spacing w:after="0"/>
            </w:pPr>
            <w:r>
              <w:rPr>
                <w:sz w:val="15"/>
              </w:rPr>
              <w:t>Variations in invoice number, vendor record or amount</w:t>
            </w:r>
          </w:p>
        </w:tc>
        <w:tc>
          <w:tcPr>
            <w:tcW w:type="dxa" w:w="2541"/>
            <w:vAlign w:val="top"/>
            <w:tcMar>
              <w:top w:w="85" w:type="dxa"/>
              <w:start w:w="90" w:type="dxa"/>
              <w:bottom w:w="85" w:type="dxa"/>
              <w:end w:w="90" w:type="dxa"/>
            </w:tcMar>
          </w:tcPr>
          <w:p>
            <w:pPr>
              <w:spacing w:after="0"/>
            </w:pPr>
            <w:r>
              <w:rPr>
                <w:sz w:val="15"/>
              </w:rPr>
              <w:t>Duplicate payment and recovery effort</w:t>
            </w:r>
          </w:p>
        </w:tc>
        <w:tc>
          <w:tcPr>
            <w:tcW w:type="dxa" w:w="2541"/>
            <w:vAlign w:val="top"/>
            <w:tcMar>
              <w:top w:w="85" w:type="dxa"/>
              <w:start w:w="90" w:type="dxa"/>
              <w:bottom w:w="85" w:type="dxa"/>
              <w:end w:w="90" w:type="dxa"/>
            </w:tcMar>
          </w:tcPr>
          <w:p>
            <w:pPr>
              <w:spacing w:after="0"/>
            </w:pPr>
            <w:r>
              <w:rPr>
                <w:sz w:val="15"/>
              </w:rPr>
              <w:t>Exact and fuzzy duplicate checks before posting and payment</w:t>
            </w:r>
          </w:p>
        </w:tc>
      </w:tr>
      <w:tr>
        <w:tc>
          <w:tcPr>
            <w:tcW w:type="dxa" w:w="2541"/>
            <w:vAlign w:val="top"/>
            <w:tcMar>
              <w:top w:w="85" w:type="dxa"/>
              <w:start w:w="90" w:type="dxa"/>
              <w:bottom w:w="85" w:type="dxa"/>
              <w:end w:w="90" w:type="dxa"/>
            </w:tcMar>
            <w:shd w:fill="F3F5F7"/>
          </w:tcPr>
          <w:p>
            <w:pPr>
              <w:spacing w:after="0"/>
            </w:pPr>
            <w:r>
              <w:rPr>
                <w:sz w:val="15"/>
              </w:rPr>
              <w:t>Manual GL journals</w:t>
            </w:r>
          </w:p>
        </w:tc>
        <w:tc>
          <w:tcPr>
            <w:tcW w:type="dxa" w:w="2541"/>
            <w:vAlign w:val="top"/>
            <w:tcMar>
              <w:top w:w="85" w:type="dxa"/>
              <w:start w:w="90" w:type="dxa"/>
              <w:bottom w:w="85" w:type="dxa"/>
              <w:end w:w="90" w:type="dxa"/>
            </w:tcMar>
            <w:shd w:fill="F3F5F7"/>
          </w:tcPr>
          <w:p>
            <w:pPr>
              <w:spacing w:after="0"/>
            </w:pPr>
            <w:r>
              <w:rPr>
                <w:sz w:val="15"/>
              </w:rPr>
              <w:t>Unresolved mappings and late corrections</w:t>
            </w:r>
          </w:p>
        </w:tc>
        <w:tc>
          <w:tcPr>
            <w:tcW w:type="dxa" w:w="2541"/>
            <w:vAlign w:val="top"/>
            <w:tcMar>
              <w:top w:w="85" w:type="dxa"/>
              <w:start w:w="90" w:type="dxa"/>
              <w:bottom w:w="85" w:type="dxa"/>
              <w:end w:w="90" w:type="dxa"/>
            </w:tcMar>
            <w:shd w:fill="F3F5F7"/>
          </w:tcPr>
          <w:p>
            <w:pPr>
              <w:spacing w:after="0"/>
            </w:pPr>
            <w:r>
              <w:rPr>
                <w:sz w:val="15"/>
              </w:rPr>
              <w:t>Long close and weak audit trail</w:t>
            </w:r>
          </w:p>
        </w:tc>
        <w:tc>
          <w:tcPr>
            <w:tcW w:type="dxa" w:w="2541"/>
            <w:vAlign w:val="top"/>
            <w:tcMar>
              <w:top w:w="85" w:type="dxa"/>
              <w:start w:w="90" w:type="dxa"/>
              <w:bottom w:w="85" w:type="dxa"/>
              <w:end w:w="90" w:type="dxa"/>
            </w:tcMar>
            <w:shd w:fill="F3F5F7"/>
          </w:tcPr>
          <w:p>
            <w:pPr>
              <w:spacing w:after="0"/>
            </w:pPr>
            <w:r>
              <w:rPr>
                <w:sz w:val="15"/>
              </w:rPr>
              <w:t>Controlled mappings, journal approval and aged suspense ownership</w:t>
            </w:r>
          </w:p>
        </w:tc>
      </w:tr>
    </w:tbl>
    <w:p>
      <w:pPr>
        <w:pStyle w:val="Heading1"/>
        <w:keepNext/>
      </w:pPr>
      <w:r>
        <w:t>4. Issue analysis</w:t>
      </w:r>
    </w:p>
    <w:p>
      <w:pPr>
        <w:pStyle w:val="Heading2"/>
        <w:keepNext/>
      </w:pPr>
      <w:r>
        <w:t>4.1 Root-cause diagnosis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vAlign w:val="center"/>
            <w:tcMar>
              <w:top w:w="90" w:type="dxa"/>
              <w:start w:w="90" w:type="dxa"/>
              <w:bottom w:w="90" w:type="dxa"/>
              <w:end w:w="90" w:type="dxa"/>
            </w:tcMar>
          </w:tcPr>
          <w:p>
            <w:pPr>
              <w:jc w:val="left"/>
            </w:pPr>
            <w:r>
              <w:rPr>
                <w:b/>
                <w:color w:val="FFFFFF"/>
                <w:sz w:val="15"/>
              </w:rPr>
              <w:t>Dimension</w:t>
            </w:r>
          </w:p>
        </w:tc>
        <w:tc>
          <w:tcPr>
            <w:tcW w:type="dxa" w:w="2541"/>
            <w:shd w:fill="17324D"/>
            <w:vAlign w:val="center"/>
            <w:tcMar>
              <w:top w:w="90" w:type="dxa"/>
              <w:start w:w="90" w:type="dxa"/>
              <w:bottom w:w="90" w:type="dxa"/>
              <w:end w:w="90" w:type="dxa"/>
            </w:tcMar>
          </w:tcPr>
          <w:p>
            <w:pPr>
              <w:jc w:val="left"/>
            </w:pPr>
            <w:r>
              <w:rPr>
                <w:b/>
                <w:color w:val="FFFFFF"/>
                <w:sz w:val="15"/>
              </w:rPr>
              <w:t>Observed fact</w:t>
            </w:r>
          </w:p>
        </w:tc>
        <w:tc>
          <w:tcPr>
            <w:tcW w:type="dxa" w:w="2541"/>
            <w:shd w:fill="17324D"/>
            <w:vAlign w:val="center"/>
            <w:tcMar>
              <w:top w:w="90" w:type="dxa"/>
              <w:start w:w="90" w:type="dxa"/>
              <w:bottom w:w="90" w:type="dxa"/>
              <w:end w:w="90" w:type="dxa"/>
            </w:tcMar>
          </w:tcPr>
          <w:p>
            <w:pPr>
              <w:jc w:val="left"/>
            </w:pPr>
            <w:r>
              <w:rPr>
                <w:b/>
                <w:color w:val="FFFFFF"/>
                <w:sz w:val="15"/>
              </w:rPr>
              <w:t>Interpretation</w:t>
            </w:r>
          </w:p>
        </w:tc>
        <w:tc>
          <w:tcPr>
            <w:tcW w:type="dxa" w:w="2541"/>
            <w:shd w:fill="17324D"/>
            <w:vAlign w:val="center"/>
            <w:tcMar>
              <w:top w:w="90" w:type="dxa"/>
              <w:start w:w="90" w:type="dxa"/>
              <w:bottom w:w="90" w:type="dxa"/>
              <w:end w:w="90" w:type="dxa"/>
            </w:tcMar>
          </w:tcPr>
          <w:p>
            <w:pPr>
              <w:jc w:val="left"/>
            </w:pPr>
            <w:r>
              <w:rPr>
                <w:b/>
                <w:color w:val="FFFFFF"/>
                <w:sz w:val="15"/>
              </w:rPr>
              <w:t>Consequence</w:t>
            </w:r>
          </w:p>
        </w:tc>
      </w:tr>
      <w:tr>
        <w:tc>
          <w:tcPr>
            <w:tcW w:type="dxa" w:w="2541"/>
            <w:vAlign w:val="top"/>
            <w:tcMar>
              <w:top w:w="85" w:type="dxa"/>
              <w:start w:w="90" w:type="dxa"/>
              <w:bottom w:w="85" w:type="dxa"/>
              <w:end w:w="90" w:type="dxa"/>
            </w:tcMar>
          </w:tcPr>
          <w:p>
            <w:pPr>
              <w:spacing w:after="0"/>
            </w:pPr>
            <w:r>
              <w:rPr>
                <w:sz w:val="15"/>
              </w:rPr>
              <w:t>Data</w:t>
            </w:r>
          </w:p>
        </w:tc>
        <w:tc>
          <w:tcPr>
            <w:tcW w:type="dxa" w:w="2541"/>
            <w:vAlign w:val="top"/>
            <w:tcMar>
              <w:top w:w="85" w:type="dxa"/>
              <w:start w:w="90" w:type="dxa"/>
              <w:bottom w:w="85" w:type="dxa"/>
              <w:end w:w="90" w:type="dxa"/>
            </w:tcMar>
          </w:tcPr>
          <w:p>
            <w:pPr>
              <w:spacing w:after="0"/>
            </w:pPr>
            <w:r>
              <w:rPr>
                <w:sz w:val="15"/>
              </w:rPr>
              <w:t>Identifiers differ across systems</w:t>
            </w:r>
          </w:p>
        </w:tc>
        <w:tc>
          <w:tcPr>
            <w:tcW w:type="dxa" w:w="2541"/>
            <w:vAlign w:val="top"/>
            <w:tcMar>
              <w:top w:w="85" w:type="dxa"/>
              <w:start w:w="90" w:type="dxa"/>
              <w:bottom w:w="85" w:type="dxa"/>
              <w:end w:w="90" w:type="dxa"/>
            </w:tcMar>
          </w:tcPr>
          <w:p>
            <w:pPr>
              <w:spacing w:after="0"/>
            </w:pPr>
            <w:r>
              <w:rPr>
                <w:sz w:val="15"/>
              </w:rPr>
              <w:t>No shared matching key or governed data lineage</w:t>
            </w:r>
          </w:p>
        </w:tc>
        <w:tc>
          <w:tcPr>
            <w:tcW w:type="dxa" w:w="2541"/>
            <w:vAlign w:val="top"/>
            <w:tcMar>
              <w:top w:w="85" w:type="dxa"/>
              <w:start w:w="90" w:type="dxa"/>
              <w:bottom w:w="85" w:type="dxa"/>
              <w:end w:w="90" w:type="dxa"/>
            </w:tcMar>
          </w:tcPr>
          <w:p>
            <w:pPr>
              <w:spacing w:after="0"/>
            </w:pPr>
            <w:r>
              <w:rPr>
                <w:sz w:val="15"/>
              </w:rPr>
              <w:t>False exceptions, missed matches and laborious investigation</w:t>
            </w:r>
          </w:p>
        </w:tc>
      </w:tr>
      <w:tr>
        <w:tc>
          <w:tcPr>
            <w:tcW w:type="dxa" w:w="2541"/>
            <w:vAlign w:val="top"/>
            <w:tcMar>
              <w:top w:w="85" w:type="dxa"/>
              <w:start w:w="90" w:type="dxa"/>
              <w:bottom w:w="85" w:type="dxa"/>
              <w:end w:w="90" w:type="dxa"/>
            </w:tcMar>
            <w:shd w:fill="F3F5F7"/>
          </w:tcPr>
          <w:p>
            <w:pPr>
              <w:spacing w:after="0"/>
            </w:pPr>
            <w:r>
              <w:rPr>
                <w:sz w:val="15"/>
              </w:rPr>
              <w:t>Process</w:t>
            </w:r>
          </w:p>
        </w:tc>
        <w:tc>
          <w:tcPr>
            <w:tcW w:type="dxa" w:w="2541"/>
            <w:vAlign w:val="top"/>
            <w:tcMar>
              <w:top w:w="85" w:type="dxa"/>
              <w:start w:w="90" w:type="dxa"/>
              <w:bottom w:w="85" w:type="dxa"/>
              <w:end w:w="90" w:type="dxa"/>
            </w:tcMar>
            <w:shd w:fill="F3F5F7"/>
          </w:tcPr>
          <w:p>
            <w:pPr>
              <w:spacing w:after="0"/>
            </w:pPr>
            <w:r>
              <w:rPr>
                <w:sz w:val="15"/>
              </w:rPr>
              <w:t>Reconciliation is spreadsheet-based</w:t>
            </w:r>
          </w:p>
        </w:tc>
        <w:tc>
          <w:tcPr>
            <w:tcW w:type="dxa" w:w="2541"/>
            <w:vAlign w:val="top"/>
            <w:tcMar>
              <w:top w:w="85" w:type="dxa"/>
              <w:start w:w="90" w:type="dxa"/>
              <w:bottom w:w="85" w:type="dxa"/>
              <w:end w:w="90" w:type="dxa"/>
            </w:tcMar>
            <w:shd w:fill="F3F5F7"/>
          </w:tcPr>
          <w:p>
            <w:pPr>
              <w:spacing w:after="0"/>
            </w:pPr>
            <w:r>
              <w:rPr>
                <w:sz w:val="15"/>
              </w:rPr>
              <w:t>Controls are detective, late and person-dependent</w:t>
            </w:r>
          </w:p>
        </w:tc>
        <w:tc>
          <w:tcPr>
            <w:tcW w:type="dxa" w:w="2541"/>
            <w:vAlign w:val="top"/>
            <w:tcMar>
              <w:top w:w="85" w:type="dxa"/>
              <w:start w:w="90" w:type="dxa"/>
              <w:bottom w:w="85" w:type="dxa"/>
              <w:end w:w="90" w:type="dxa"/>
            </w:tcMar>
            <w:shd w:fill="F3F5F7"/>
          </w:tcPr>
          <w:p>
            <w:pPr>
              <w:spacing w:after="0"/>
            </w:pPr>
            <w:r>
              <w:rPr>
                <w:sz w:val="15"/>
              </w:rPr>
              <w:t>Slow close, version risk and limited scalability</w:t>
            </w:r>
          </w:p>
        </w:tc>
      </w:tr>
      <w:tr>
        <w:tc>
          <w:tcPr>
            <w:tcW w:type="dxa" w:w="2541"/>
            <w:vAlign w:val="top"/>
            <w:tcMar>
              <w:top w:w="85" w:type="dxa"/>
              <w:start w:w="90" w:type="dxa"/>
              <w:bottom w:w="85" w:type="dxa"/>
              <w:end w:w="90" w:type="dxa"/>
            </w:tcMar>
          </w:tcPr>
          <w:p>
            <w:pPr>
              <w:spacing w:after="0"/>
            </w:pPr>
            <w:r>
              <w:rPr>
                <w:sz w:val="15"/>
              </w:rPr>
              <w:t>Ownership</w:t>
            </w:r>
          </w:p>
        </w:tc>
        <w:tc>
          <w:tcPr>
            <w:tcW w:type="dxa" w:w="2541"/>
            <w:vAlign w:val="top"/>
            <w:tcMar>
              <w:top w:w="85" w:type="dxa"/>
              <w:start w:w="90" w:type="dxa"/>
              <w:bottom w:w="85" w:type="dxa"/>
              <w:end w:w="90" w:type="dxa"/>
            </w:tcMar>
          </w:tcPr>
          <w:p>
            <w:pPr>
              <w:spacing w:after="0"/>
            </w:pPr>
            <w:r>
              <w:rPr>
                <w:sz w:val="15"/>
              </w:rPr>
              <w:t>Exceptions move by email without owner/deadline</w:t>
            </w:r>
          </w:p>
        </w:tc>
        <w:tc>
          <w:tcPr>
            <w:tcW w:type="dxa" w:w="2541"/>
            <w:vAlign w:val="top"/>
            <w:tcMar>
              <w:top w:w="85" w:type="dxa"/>
              <w:start w:w="90" w:type="dxa"/>
              <w:bottom w:w="85" w:type="dxa"/>
              <w:end w:w="90" w:type="dxa"/>
            </w:tcMar>
          </w:tcPr>
          <w:p>
            <w:pPr>
              <w:spacing w:after="0"/>
            </w:pPr>
            <w:r>
              <w:rPr>
                <w:sz w:val="15"/>
              </w:rPr>
              <w:t>No single source of truth or SLA</w:t>
            </w:r>
          </w:p>
        </w:tc>
        <w:tc>
          <w:tcPr>
            <w:tcW w:type="dxa" w:w="2541"/>
            <w:vAlign w:val="top"/>
            <w:tcMar>
              <w:top w:w="85" w:type="dxa"/>
              <w:start w:w="90" w:type="dxa"/>
              <w:bottom w:w="85" w:type="dxa"/>
              <w:end w:w="90" w:type="dxa"/>
            </w:tcMar>
          </w:tcPr>
          <w:p>
            <w:pPr>
              <w:spacing w:after="0"/>
            </w:pPr>
            <w:r>
              <w:rPr>
                <w:sz w:val="15"/>
              </w:rPr>
              <w:t>Aged items recur and accountability diffuses</w:t>
            </w:r>
          </w:p>
        </w:tc>
      </w:tr>
      <w:tr>
        <w:tc>
          <w:tcPr>
            <w:tcW w:type="dxa" w:w="2541"/>
            <w:vAlign w:val="top"/>
            <w:tcMar>
              <w:top w:w="85" w:type="dxa"/>
              <w:start w:w="90" w:type="dxa"/>
              <w:bottom w:w="85" w:type="dxa"/>
              <w:end w:w="90" w:type="dxa"/>
            </w:tcMar>
            <w:shd w:fill="F3F5F7"/>
          </w:tcPr>
          <w:p>
            <w:pPr>
              <w:spacing w:after="0"/>
            </w:pPr>
            <w:r>
              <w:rPr>
                <w:sz w:val="15"/>
              </w:rPr>
              <w:t>Master data</w:t>
            </w:r>
          </w:p>
        </w:tc>
        <w:tc>
          <w:tcPr>
            <w:tcW w:type="dxa" w:w="2541"/>
            <w:vAlign w:val="top"/>
            <w:tcMar>
              <w:top w:w="85" w:type="dxa"/>
              <w:start w:w="90" w:type="dxa"/>
              <w:bottom w:w="85" w:type="dxa"/>
              <w:end w:w="90" w:type="dxa"/>
            </w:tcMar>
            <w:shd w:fill="F3F5F7"/>
          </w:tcPr>
          <w:p>
            <w:pPr>
              <w:spacing w:after="0"/>
            </w:pPr>
            <w:r>
              <w:rPr>
                <w:sz w:val="15"/>
              </w:rPr>
              <w:t>Finance warns vendor data is inaccurate</w:t>
            </w:r>
          </w:p>
        </w:tc>
        <w:tc>
          <w:tcPr>
            <w:tcW w:type="dxa" w:w="2541"/>
            <w:vAlign w:val="top"/>
            <w:tcMar>
              <w:top w:w="85" w:type="dxa"/>
              <w:start w:w="90" w:type="dxa"/>
              <w:bottom w:w="85" w:type="dxa"/>
              <w:end w:w="90" w:type="dxa"/>
            </w:tcMar>
            <w:shd w:fill="F3F5F7"/>
          </w:tcPr>
          <w:p>
            <w:pPr>
              <w:spacing w:after="0"/>
            </w:pPr>
            <w:r>
              <w:rPr>
                <w:sz w:val="15"/>
              </w:rPr>
              <w:t>Payment controls can execute accurately against wrong data</w:t>
            </w:r>
          </w:p>
        </w:tc>
        <w:tc>
          <w:tcPr>
            <w:tcW w:type="dxa" w:w="2541"/>
            <w:vAlign w:val="top"/>
            <w:tcMar>
              <w:top w:w="85" w:type="dxa"/>
              <w:start w:w="90" w:type="dxa"/>
              <w:bottom w:w="85" w:type="dxa"/>
              <w:end w:w="90" w:type="dxa"/>
            </w:tcMar>
            <w:shd w:fill="F3F5F7"/>
          </w:tcPr>
          <w:p>
            <w:pPr>
              <w:spacing w:after="0"/>
            </w:pPr>
            <w:r>
              <w:rPr>
                <w:sz w:val="15"/>
              </w:rPr>
              <w:t>Misdirected payment and failed settlement risk</w:t>
            </w:r>
          </w:p>
        </w:tc>
      </w:tr>
      <w:tr>
        <w:tc>
          <w:tcPr>
            <w:tcW w:type="dxa" w:w="2541"/>
            <w:vAlign w:val="top"/>
            <w:tcMar>
              <w:top w:w="85" w:type="dxa"/>
              <w:start w:w="90" w:type="dxa"/>
              <w:bottom w:w="85" w:type="dxa"/>
              <w:end w:w="90" w:type="dxa"/>
            </w:tcMar>
          </w:tcPr>
          <w:p>
            <w:pPr>
              <w:spacing w:after="0"/>
            </w:pPr>
            <w:r>
              <w:rPr>
                <w:sz w:val="15"/>
              </w:rPr>
              <w:t>Status design</w:t>
            </w:r>
          </w:p>
        </w:tc>
        <w:tc>
          <w:tcPr>
            <w:tcW w:type="dxa" w:w="2541"/>
            <w:vAlign w:val="top"/>
            <w:tcMar>
              <w:top w:w="85" w:type="dxa"/>
              <w:start w:w="90" w:type="dxa"/>
              <w:bottom w:w="85" w:type="dxa"/>
              <w:end w:w="90" w:type="dxa"/>
            </w:tcMar>
          </w:tcPr>
          <w:p>
            <w:pPr>
              <w:spacing w:after="0"/>
            </w:pPr>
            <w:r>
              <w:rPr>
                <w:sz w:val="15"/>
              </w:rPr>
              <w:t>Dashboard shows processed while vendors report late</w:t>
            </w:r>
          </w:p>
        </w:tc>
        <w:tc>
          <w:tcPr>
            <w:tcW w:type="dxa" w:w="2541"/>
            <w:vAlign w:val="top"/>
            <w:tcMar>
              <w:top w:w="85" w:type="dxa"/>
              <w:start w:w="90" w:type="dxa"/>
              <w:bottom w:w="85" w:type="dxa"/>
              <w:end w:w="90" w:type="dxa"/>
            </w:tcMar>
          </w:tcPr>
          <w:p>
            <w:pPr>
              <w:spacing w:after="0"/>
            </w:pPr>
            <w:r>
              <w:rPr>
                <w:sz w:val="15"/>
              </w:rPr>
              <w:t>Operational status is confused with final settlement</w:t>
            </w:r>
          </w:p>
        </w:tc>
        <w:tc>
          <w:tcPr>
            <w:tcW w:type="dxa" w:w="2541"/>
            <w:vAlign w:val="top"/>
            <w:tcMar>
              <w:top w:w="85" w:type="dxa"/>
              <w:start w:w="90" w:type="dxa"/>
              <w:bottom w:w="85" w:type="dxa"/>
              <w:end w:w="90" w:type="dxa"/>
            </w:tcMar>
          </w:tcPr>
          <w:p>
            <w:pPr>
              <w:spacing w:after="0"/>
            </w:pPr>
            <w:r>
              <w:rPr>
                <w:sz w:val="15"/>
              </w:rPr>
              <w:t>Vendor distrust and avoidable queries</w:t>
            </w:r>
          </w:p>
        </w:tc>
      </w:tr>
      <w:tr>
        <w:tc>
          <w:tcPr>
            <w:tcW w:type="dxa" w:w="2541"/>
            <w:vAlign w:val="top"/>
            <w:tcMar>
              <w:top w:w="85" w:type="dxa"/>
              <w:start w:w="90" w:type="dxa"/>
              <w:bottom w:w="85" w:type="dxa"/>
              <w:end w:w="90" w:type="dxa"/>
            </w:tcMar>
            <w:shd w:fill="F3F5F7"/>
          </w:tcPr>
          <w:p>
            <w:pPr>
              <w:spacing w:after="0"/>
            </w:pPr>
            <w:r>
              <w:rPr>
                <w:sz w:val="15"/>
              </w:rPr>
              <w:t>Control design</w:t>
            </w:r>
          </w:p>
        </w:tc>
        <w:tc>
          <w:tcPr>
            <w:tcW w:type="dxa" w:w="2541"/>
            <w:vAlign w:val="top"/>
            <w:tcMar>
              <w:top w:w="85" w:type="dxa"/>
              <w:start w:w="90" w:type="dxa"/>
              <w:bottom w:w="85" w:type="dxa"/>
              <w:end w:w="90" w:type="dxa"/>
            </w:tcMar>
            <w:shd w:fill="F3F5F7"/>
          </w:tcPr>
          <w:p>
            <w:pPr>
              <w:spacing w:after="0"/>
            </w:pPr>
            <w:r>
              <w:rPr>
                <w:sz w:val="15"/>
              </w:rPr>
              <w:t>Refunds and duplicate invoices are increasing</w:t>
            </w:r>
          </w:p>
        </w:tc>
        <w:tc>
          <w:tcPr>
            <w:tcW w:type="dxa" w:w="2541"/>
            <w:vAlign w:val="top"/>
            <w:tcMar>
              <w:top w:w="85" w:type="dxa"/>
              <w:start w:w="90" w:type="dxa"/>
              <w:bottom w:w="85" w:type="dxa"/>
              <w:end w:w="90" w:type="dxa"/>
            </w:tcMar>
            <w:shd w:fill="F3F5F7"/>
          </w:tcPr>
          <w:p>
            <w:pPr>
              <w:spacing w:after="0"/>
            </w:pPr>
            <w:r>
              <w:rPr>
                <w:sz w:val="15"/>
              </w:rPr>
              <w:t>Preventive checks and risk-based approvals are insufficient</w:t>
            </w:r>
          </w:p>
        </w:tc>
        <w:tc>
          <w:tcPr>
            <w:tcW w:type="dxa" w:w="2541"/>
            <w:vAlign w:val="top"/>
            <w:tcMar>
              <w:top w:w="85" w:type="dxa"/>
              <w:start w:w="90" w:type="dxa"/>
              <w:bottom w:w="85" w:type="dxa"/>
              <w:end w:w="90" w:type="dxa"/>
            </w:tcMar>
            <w:shd w:fill="F3F5F7"/>
          </w:tcPr>
          <w:p>
            <w:pPr>
              <w:spacing w:after="0"/>
            </w:pPr>
            <w:r>
              <w:rPr>
                <w:sz w:val="15"/>
              </w:rPr>
              <w:t>Loss, rework and customer friction</w:t>
            </w:r>
          </w:p>
        </w:tc>
      </w:tr>
      <w:tr>
        <w:tc>
          <w:tcPr>
            <w:tcW w:type="dxa" w:w="2541"/>
            <w:vAlign w:val="top"/>
            <w:tcMar>
              <w:top w:w="85" w:type="dxa"/>
              <w:start w:w="90" w:type="dxa"/>
              <w:bottom w:w="85" w:type="dxa"/>
              <w:end w:w="90" w:type="dxa"/>
            </w:tcMar>
          </w:tcPr>
          <w:p>
            <w:pPr>
              <w:spacing w:after="0"/>
            </w:pPr>
            <w:r>
              <w:rPr>
                <w:sz w:val="15"/>
              </w:rPr>
              <w:t>Technology</w:t>
            </w:r>
          </w:p>
        </w:tc>
        <w:tc>
          <w:tcPr>
            <w:tcW w:type="dxa" w:w="2541"/>
            <w:vAlign w:val="top"/>
            <w:tcMar>
              <w:top w:w="85" w:type="dxa"/>
              <w:start w:w="90" w:type="dxa"/>
              <w:bottom w:w="85" w:type="dxa"/>
              <w:end w:w="90" w:type="dxa"/>
            </w:tcMar>
          </w:tcPr>
          <w:p>
            <w:pPr>
              <w:spacing w:after="0"/>
            </w:pPr>
            <w:r>
              <w:rPr>
                <w:sz w:val="15"/>
              </w:rPr>
              <w:t>Automation platform proposed</w:t>
            </w:r>
          </w:p>
        </w:tc>
        <w:tc>
          <w:tcPr>
            <w:tcW w:type="dxa" w:w="2541"/>
            <w:vAlign w:val="top"/>
            <w:tcMar>
              <w:top w:w="85" w:type="dxa"/>
              <w:start w:w="90" w:type="dxa"/>
              <w:bottom w:w="85" w:type="dxa"/>
              <w:end w:w="90" w:type="dxa"/>
            </w:tcMar>
          </w:tcPr>
          <w:p>
            <w:pPr>
              <w:spacing w:after="0"/>
            </w:pPr>
            <w:r>
              <w:rPr>
                <w:sz w:val="15"/>
              </w:rPr>
              <w:t>Potential enabler, not a cure for weak inputs and ownership</w:t>
            </w:r>
          </w:p>
        </w:tc>
        <w:tc>
          <w:tcPr>
            <w:tcW w:type="dxa" w:w="2541"/>
            <w:vAlign w:val="top"/>
            <w:tcMar>
              <w:top w:w="85" w:type="dxa"/>
              <w:start w:w="90" w:type="dxa"/>
              <w:bottom w:w="85" w:type="dxa"/>
              <w:end w:w="90" w:type="dxa"/>
            </w:tcMar>
          </w:tcPr>
          <w:p>
            <w:pPr>
              <w:spacing w:after="0"/>
            </w:pPr>
            <w:r>
              <w:rPr>
                <w:sz w:val="15"/>
              </w:rPr>
              <w:t>Risk of automating bad data and opaque exceptions</w:t>
            </w:r>
          </w:p>
        </w:tc>
      </w:tr>
    </w:tbl>
    <w:p>
      <w:pPr>
        <w:pStyle w:val="Heading2"/>
        <w:keepNext/>
      </w:pPr>
      <w:r>
        <w:t>4.2 Bottleneck: unmanaged exception ageing</w:t>
      </w:r>
    </w:p>
    <w:p>
      <w:pPr>
        <w:pStyle w:val="BodyText"/>
      </w:pPr>
      <w:r>
        <w:t>The most material workflow bottleneck is not the creation of exceptions but their uncontrolled dwell time. SwiftCart should replace email queues with a case ledger that records value, type, root cause, owner, next action, due date, evidence and escalation.</w:t>
      </w:r>
    </w:p>
    <w:p>
      <w:pPr>
        <w:pStyle w:val="Caption"/>
      </w:pPr>
      <w:r>
        <w:t>Table 1. Proposed exception-ageing operating table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24D"/>
            <w:vAlign w:val="center"/>
            <w:tcMar>
              <w:top w:w="90" w:type="dxa"/>
              <w:start w:w="90" w:type="dxa"/>
              <w:bottom w:w="90" w:type="dxa"/>
              <w:end w:w="90" w:type="dxa"/>
            </w:tcMar>
          </w:tcPr>
          <w:p>
            <w:pPr>
              <w:jc w:val="left"/>
            </w:pPr>
            <w:r>
              <w:rPr>
                <w:b/>
                <w:color w:val="FFFFFF"/>
                <w:sz w:val="15"/>
              </w:rPr>
              <w:t>Age</w:t>
            </w:r>
          </w:p>
        </w:tc>
        <w:tc>
          <w:tcPr>
            <w:tcW w:type="dxa" w:w="2033"/>
            <w:shd w:fill="17324D"/>
            <w:vAlign w:val="center"/>
            <w:tcMar>
              <w:top w:w="90" w:type="dxa"/>
              <w:start w:w="90" w:type="dxa"/>
              <w:bottom w:w="90" w:type="dxa"/>
              <w:end w:w="90" w:type="dxa"/>
            </w:tcMar>
          </w:tcPr>
          <w:p>
            <w:pPr>
              <w:jc w:val="left"/>
            </w:pPr>
            <w:r>
              <w:rPr>
                <w:b/>
                <w:color w:val="FFFFFF"/>
                <w:sz w:val="15"/>
              </w:rPr>
              <w:t>Operational meaning</w:t>
            </w:r>
          </w:p>
        </w:tc>
        <w:tc>
          <w:tcPr>
            <w:tcW w:type="dxa" w:w="2033"/>
            <w:shd w:fill="17324D"/>
            <w:vAlign w:val="center"/>
            <w:tcMar>
              <w:top w:w="90" w:type="dxa"/>
              <w:start w:w="90" w:type="dxa"/>
              <w:bottom w:w="90" w:type="dxa"/>
              <w:end w:w="90" w:type="dxa"/>
            </w:tcMar>
          </w:tcPr>
          <w:p>
            <w:pPr>
              <w:jc w:val="left"/>
            </w:pPr>
            <w:r>
              <w:rPr>
                <w:b/>
                <w:color w:val="FFFFFF"/>
                <w:sz w:val="15"/>
              </w:rPr>
              <w:t>Required action</w:t>
            </w:r>
          </w:p>
        </w:tc>
        <w:tc>
          <w:tcPr>
            <w:tcW w:type="dxa" w:w="2033"/>
            <w:shd w:fill="17324D"/>
            <w:vAlign w:val="center"/>
            <w:tcMar>
              <w:top w:w="90" w:type="dxa"/>
              <w:start w:w="90" w:type="dxa"/>
              <w:bottom w:w="90" w:type="dxa"/>
              <w:end w:w="90" w:type="dxa"/>
            </w:tcMar>
          </w:tcPr>
          <w:p>
            <w:pPr>
              <w:jc w:val="left"/>
            </w:pPr>
            <w:r>
              <w:rPr>
                <w:b/>
                <w:color w:val="FFFFFF"/>
                <w:sz w:val="15"/>
              </w:rPr>
              <w:t>Escalation / owner</w:t>
            </w:r>
          </w:p>
        </w:tc>
        <w:tc>
          <w:tcPr>
            <w:tcW w:type="dxa" w:w="2033"/>
            <w:shd w:fill="17324D"/>
            <w:vAlign w:val="center"/>
            <w:tcMar>
              <w:top w:w="90" w:type="dxa"/>
              <w:start w:w="90" w:type="dxa"/>
              <w:bottom w:w="90" w:type="dxa"/>
              <w:end w:w="90" w:type="dxa"/>
            </w:tcMar>
          </w:tcPr>
          <w:p>
            <w:pPr>
              <w:jc w:val="left"/>
            </w:pPr>
            <w:r>
              <w:rPr>
                <w:b/>
                <w:color w:val="FFFFFF"/>
                <w:sz w:val="15"/>
              </w:rPr>
              <w:t>Target share of open count</w:t>
            </w:r>
          </w:p>
        </w:tc>
      </w:tr>
      <w:tr>
        <w:tc>
          <w:tcPr>
            <w:tcW w:type="dxa" w:w="2033"/>
            <w:vAlign w:val="top"/>
            <w:tcMar>
              <w:top w:w="85" w:type="dxa"/>
              <w:start w:w="90" w:type="dxa"/>
              <w:bottom w:w="85" w:type="dxa"/>
              <w:end w:w="90" w:type="dxa"/>
            </w:tcMar>
          </w:tcPr>
          <w:p>
            <w:pPr>
              <w:spacing w:after="0"/>
            </w:pPr>
            <w:r>
              <w:rPr>
                <w:sz w:val="15"/>
              </w:rPr>
              <w:t>0–1 day</w:t>
            </w:r>
          </w:p>
        </w:tc>
        <w:tc>
          <w:tcPr>
            <w:tcW w:type="dxa" w:w="2033"/>
            <w:vAlign w:val="top"/>
            <w:tcMar>
              <w:top w:w="85" w:type="dxa"/>
              <w:start w:w="90" w:type="dxa"/>
              <w:bottom w:w="85" w:type="dxa"/>
              <w:end w:w="90" w:type="dxa"/>
            </w:tcMar>
          </w:tcPr>
          <w:p>
            <w:pPr>
              <w:spacing w:after="0"/>
            </w:pPr>
            <w:r>
              <w:rPr>
                <w:sz w:val="15"/>
              </w:rPr>
              <w:t>New exception; auto-match retry pending</w:t>
            </w:r>
          </w:p>
        </w:tc>
        <w:tc>
          <w:tcPr>
            <w:tcW w:type="dxa" w:w="2033"/>
            <w:vAlign w:val="top"/>
            <w:tcMar>
              <w:top w:w="85" w:type="dxa"/>
              <w:start w:w="90" w:type="dxa"/>
              <w:bottom w:w="85" w:type="dxa"/>
              <w:end w:w="90" w:type="dxa"/>
            </w:tcMar>
          </w:tcPr>
          <w:p>
            <w:pPr>
              <w:spacing w:after="0"/>
            </w:pPr>
            <w:r>
              <w:rPr>
                <w:sz w:val="15"/>
              </w:rPr>
              <w:t>Enrich data, retry rules, assign category and owner</w:t>
            </w:r>
          </w:p>
        </w:tc>
        <w:tc>
          <w:tcPr>
            <w:tcW w:type="dxa" w:w="2033"/>
            <w:vAlign w:val="top"/>
            <w:tcMar>
              <w:top w:w="85" w:type="dxa"/>
              <w:start w:w="90" w:type="dxa"/>
              <w:bottom w:w="85" w:type="dxa"/>
              <w:end w:w="90" w:type="dxa"/>
            </w:tcMar>
          </w:tcPr>
          <w:p>
            <w:pPr>
              <w:spacing w:after="0"/>
            </w:pPr>
            <w:r>
              <w:rPr>
                <w:sz w:val="15"/>
              </w:rPr>
              <w:t>Reconciliation Operations</w:t>
            </w:r>
          </w:p>
        </w:tc>
        <w:tc>
          <w:tcPr>
            <w:tcW w:type="dxa" w:w="2033"/>
            <w:vAlign w:val="top"/>
            <w:tcMar>
              <w:top w:w="85" w:type="dxa"/>
              <w:start w:w="90" w:type="dxa"/>
              <w:bottom w:w="85" w:type="dxa"/>
              <w:end w:w="90" w:type="dxa"/>
            </w:tcMar>
          </w:tcPr>
          <w:p>
            <w:pPr>
              <w:spacing w:after="0"/>
            </w:pPr>
            <w:r>
              <w:rPr>
                <w:sz w:val="15"/>
              </w:rPr>
              <w:t>≤60%</w:t>
            </w:r>
          </w:p>
        </w:tc>
      </w:tr>
      <w:tr>
        <w:tc>
          <w:tcPr>
            <w:tcW w:type="dxa" w:w="2033"/>
            <w:vAlign w:val="top"/>
            <w:tcMar>
              <w:top w:w="85" w:type="dxa"/>
              <w:start w:w="90" w:type="dxa"/>
              <w:bottom w:w="85" w:type="dxa"/>
              <w:end w:w="90" w:type="dxa"/>
            </w:tcMar>
            <w:shd w:fill="F3F5F7"/>
          </w:tcPr>
          <w:p>
            <w:pPr>
              <w:spacing w:after="0"/>
            </w:pPr>
            <w:r>
              <w:rPr>
                <w:sz w:val="15"/>
              </w:rPr>
              <w:t>2–5 days</w:t>
            </w:r>
          </w:p>
        </w:tc>
        <w:tc>
          <w:tcPr>
            <w:tcW w:type="dxa" w:w="2033"/>
            <w:vAlign w:val="top"/>
            <w:tcMar>
              <w:top w:w="85" w:type="dxa"/>
              <w:start w:w="90" w:type="dxa"/>
              <w:bottom w:w="85" w:type="dxa"/>
              <w:end w:w="90" w:type="dxa"/>
            </w:tcMar>
            <w:shd w:fill="F3F5F7"/>
          </w:tcPr>
          <w:p>
            <w:pPr>
              <w:spacing w:after="0"/>
            </w:pPr>
            <w:r>
              <w:rPr>
                <w:sz w:val="15"/>
              </w:rPr>
              <w:t>Normal investigation window</w:t>
            </w:r>
          </w:p>
        </w:tc>
        <w:tc>
          <w:tcPr>
            <w:tcW w:type="dxa" w:w="2033"/>
            <w:vAlign w:val="top"/>
            <w:tcMar>
              <w:top w:w="85" w:type="dxa"/>
              <w:start w:w="90" w:type="dxa"/>
              <w:bottom w:w="85" w:type="dxa"/>
              <w:end w:w="90" w:type="dxa"/>
            </w:tcMar>
            <w:shd w:fill="F3F5F7"/>
          </w:tcPr>
          <w:p>
            <w:pPr>
              <w:spacing w:after="0"/>
            </w:pPr>
            <w:r>
              <w:rPr>
                <w:sz w:val="15"/>
              </w:rPr>
              <w:t>Resolve or document dependency and next action</w:t>
            </w:r>
          </w:p>
        </w:tc>
        <w:tc>
          <w:tcPr>
            <w:tcW w:type="dxa" w:w="2033"/>
            <w:vAlign w:val="top"/>
            <w:tcMar>
              <w:top w:w="85" w:type="dxa"/>
              <w:start w:w="90" w:type="dxa"/>
              <w:bottom w:w="85" w:type="dxa"/>
              <w:end w:w="90" w:type="dxa"/>
            </w:tcMar>
            <w:shd w:fill="F3F5F7"/>
          </w:tcPr>
          <w:p>
            <w:pPr>
              <w:spacing w:after="0"/>
            </w:pPr>
            <w:r>
              <w:rPr>
                <w:sz w:val="15"/>
              </w:rPr>
              <w:t>Team Lead</w:t>
            </w:r>
          </w:p>
        </w:tc>
        <w:tc>
          <w:tcPr>
            <w:tcW w:type="dxa" w:w="2033"/>
            <w:vAlign w:val="top"/>
            <w:tcMar>
              <w:top w:w="85" w:type="dxa"/>
              <w:start w:w="90" w:type="dxa"/>
              <w:bottom w:w="85" w:type="dxa"/>
              <w:end w:w="90" w:type="dxa"/>
            </w:tcMar>
            <w:shd w:fill="F3F5F7"/>
          </w:tcPr>
          <w:p>
            <w:pPr>
              <w:spacing w:after="0"/>
            </w:pPr>
            <w:r>
              <w:rPr>
                <w:sz w:val="15"/>
              </w:rPr>
              <w:t>≤25%</w:t>
            </w:r>
          </w:p>
        </w:tc>
      </w:tr>
      <w:tr>
        <w:tc>
          <w:tcPr>
            <w:tcW w:type="dxa" w:w="2033"/>
            <w:vAlign w:val="top"/>
            <w:tcMar>
              <w:top w:w="85" w:type="dxa"/>
              <w:start w:w="90" w:type="dxa"/>
              <w:bottom w:w="85" w:type="dxa"/>
              <w:end w:w="90" w:type="dxa"/>
            </w:tcMar>
          </w:tcPr>
          <w:p>
            <w:pPr>
              <w:spacing w:after="0"/>
            </w:pPr>
            <w:r>
              <w:rPr>
                <w:sz w:val="15"/>
              </w:rPr>
              <w:t>6–10 days</w:t>
            </w:r>
          </w:p>
        </w:tc>
        <w:tc>
          <w:tcPr>
            <w:tcW w:type="dxa" w:w="2033"/>
            <w:vAlign w:val="top"/>
            <w:tcMar>
              <w:top w:w="85" w:type="dxa"/>
              <w:start w:w="90" w:type="dxa"/>
              <w:bottom w:w="85" w:type="dxa"/>
              <w:end w:w="90" w:type="dxa"/>
            </w:tcMar>
          </w:tcPr>
          <w:p>
            <w:pPr>
              <w:spacing w:after="0"/>
            </w:pPr>
            <w:r>
              <w:rPr>
                <w:sz w:val="15"/>
              </w:rPr>
              <w:t>SLA at risk</w:t>
            </w:r>
          </w:p>
        </w:tc>
        <w:tc>
          <w:tcPr>
            <w:tcW w:type="dxa" w:w="2033"/>
            <w:vAlign w:val="top"/>
            <w:tcMar>
              <w:top w:w="85" w:type="dxa"/>
              <w:start w:w="90" w:type="dxa"/>
              <w:bottom w:w="85" w:type="dxa"/>
              <w:end w:w="90" w:type="dxa"/>
            </w:tcMar>
          </w:tcPr>
          <w:p>
            <w:pPr>
              <w:spacing w:after="0"/>
            </w:pPr>
            <w:r>
              <w:rPr>
                <w:sz w:val="15"/>
              </w:rPr>
              <w:t>Daily review; counterparty/system follow-up</w:t>
            </w:r>
          </w:p>
        </w:tc>
        <w:tc>
          <w:tcPr>
            <w:tcW w:type="dxa" w:w="2033"/>
            <w:vAlign w:val="top"/>
            <w:tcMar>
              <w:top w:w="85" w:type="dxa"/>
              <w:start w:w="90" w:type="dxa"/>
              <w:bottom w:w="85" w:type="dxa"/>
              <w:end w:w="90" w:type="dxa"/>
            </w:tcMar>
          </w:tcPr>
          <w:p>
            <w:pPr>
              <w:spacing w:after="0"/>
            </w:pPr>
            <w:r>
              <w:rPr>
                <w:sz w:val="15"/>
              </w:rPr>
              <w:t>Process Owner</w:t>
            </w:r>
          </w:p>
        </w:tc>
        <w:tc>
          <w:tcPr>
            <w:tcW w:type="dxa" w:w="2033"/>
            <w:vAlign w:val="top"/>
            <w:tcMar>
              <w:top w:w="85" w:type="dxa"/>
              <w:start w:w="90" w:type="dxa"/>
              <w:bottom w:w="85" w:type="dxa"/>
              <w:end w:w="90" w:type="dxa"/>
            </w:tcMar>
          </w:tcPr>
          <w:p>
            <w:pPr>
              <w:spacing w:after="0"/>
            </w:pPr>
            <w:r>
              <w:rPr>
                <w:sz w:val="15"/>
              </w:rPr>
              <w:t>≤10%</w:t>
            </w:r>
          </w:p>
        </w:tc>
      </w:tr>
      <w:tr>
        <w:tc>
          <w:tcPr>
            <w:tcW w:type="dxa" w:w="2033"/>
            <w:vAlign w:val="top"/>
            <w:tcMar>
              <w:top w:w="85" w:type="dxa"/>
              <w:start w:w="90" w:type="dxa"/>
              <w:bottom w:w="85" w:type="dxa"/>
              <w:end w:w="90" w:type="dxa"/>
            </w:tcMar>
            <w:shd w:fill="F3F5F7"/>
          </w:tcPr>
          <w:p>
            <w:pPr>
              <w:spacing w:after="0"/>
            </w:pPr>
            <w:r>
              <w:rPr>
                <w:sz w:val="15"/>
              </w:rPr>
              <w:t>11–30 days</w:t>
            </w:r>
          </w:p>
        </w:tc>
        <w:tc>
          <w:tcPr>
            <w:tcW w:type="dxa" w:w="2033"/>
            <w:vAlign w:val="top"/>
            <w:tcMar>
              <w:top w:w="85" w:type="dxa"/>
              <w:start w:w="90" w:type="dxa"/>
              <w:bottom w:w="85" w:type="dxa"/>
              <w:end w:w="90" w:type="dxa"/>
            </w:tcMar>
            <w:shd w:fill="F3F5F7"/>
          </w:tcPr>
          <w:p>
            <w:pPr>
              <w:spacing w:after="0"/>
            </w:pPr>
            <w:r>
              <w:rPr>
                <w:sz w:val="15"/>
              </w:rPr>
              <w:t>Material delay or unresolved dependency</w:t>
            </w:r>
          </w:p>
        </w:tc>
        <w:tc>
          <w:tcPr>
            <w:tcW w:type="dxa" w:w="2033"/>
            <w:vAlign w:val="top"/>
            <w:tcMar>
              <w:top w:w="85" w:type="dxa"/>
              <w:start w:w="90" w:type="dxa"/>
              <w:bottom w:w="85" w:type="dxa"/>
              <w:end w:w="90" w:type="dxa"/>
            </w:tcMar>
            <w:shd w:fill="F3F5F7"/>
          </w:tcPr>
          <w:p>
            <w:pPr>
              <w:spacing w:after="0"/>
            </w:pPr>
            <w:r>
              <w:rPr>
                <w:sz w:val="15"/>
              </w:rPr>
              <w:t>Root-cause review; reserve/write-off assessment where relevant</w:t>
            </w:r>
          </w:p>
        </w:tc>
        <w:tc>
          <w:tcPr>
            <w:tcW w:type="dxa" w:w="2033"/>
            <w:vAlign w:val="top"/>
            <w:tcMar>
              <w:top w:w="85" w:type="dxa"/>
              <w:start w:w="90" w:type="dxa"/>
              <w:bottom w:w="85" w:type="dxa"/>
              <w:end w:w="90" w:type="dxa"/>
            </w:tcMar>
            <w:shd w:fill="F3F5F7"/>
          </w:tcPr>
          <w:p>
            <w:pPr>
              <w:spacing w:after="0"/>
            </w:pPr>
            <w:r>
              <w:rPr>
                <w:sz w:val="15"/>
              </w:rPr>
              <w:t>Finance Controller</w:t>
            </w:r>
          </w:p>
        </w:tc>
        <w:tc>
          <w:tcPr>
            <w:tcW w:type="dxa" w:w="2033"/>
            <w:vAlign w:val="top"/>
            <w:tcMar>
              <w:top w:w="85" w:type="dxa"/>
              <w:start w:w="90" w:type="dxa"/>
              <w:bottom w:w="85" w:type="dxa"/>
              <w:end w:w="90" w:type="dxa"/>
            </w:tcMar>
            <w:shd w:fill="F3F5F7"/>
          </w:tcPr>
          <w:p>
            <w:pPr>
              <w:spacing w:after="0"/>
            </w:pPr>
            <w:r>
              <w:rPr>
                <w:sz w:val="15"/>
              </w:rPr>
              <w:t>≤4%</w:t>
            </w:r>
          </w:p>
        </w:tc>
      </w:tr>
      <w:tr>
        <w:tc>
          <w:tcPr>
            <w:tcW w:type="dxa" w:w="2033"/>
            <w:vAlign w:val="top"/>
            <w:tcMar>
              <w:top w:w="85" w:type="dxa"/>
              <w:start w:w="90" w:type="dxa"/>
              <w:bottom w:w="85" w:type="dxa"/>
              <w:end w:w="90" w:type="dxa"/>
            </w:tcMar>
          </w:tcPr>
          <w:p>
            <w:pPr>
              <w:spacing w:after="0"/>
            </w:pPr>
            <w:r>
              <w:rPr>
                <w:sz w:val="15"/>
              </w:rPr>
              <w:t>&gt;30 days</w:t>
            </w:r>
          </w:p>
        </w:tc>
        <w:tc>
          <w:tcPr>
            <w:tcW w:type="dxa" w:w="2033"/>
            <w:vAlign w:val="top"/>
            <w:tcMar>
              <w:top w:w="85" w:type="dxa"/>
              <w:start w:w="90" w:type="dxa"/>
              <w:bottom w:w="85" w:type="dxa"/>
              <w:end w:w="90" w:type="dxa"/>
            </w:tcMar>
          </w:tcPr>
          <w:p>
            <w:pPr>
              <w:spacing w:after="0"/>
            </w:pPr>
            <w:r>
              <w:rPr>
                <w:sz w:val="15"/>
              </w:rPr>
              <w:t>Control failure / potential loss</w:t>
            </w:r>
          </w:p>
        </w:tc>
        <w:tc>
          <w:tcPr>
            <w:tcW w:type="dxa" w:w="2033"/>
            <w:vAlign w:val="top"/>
            <w:tcMar>
              <w:top w:w="85" w:type="dxa"/>
              <w:start w:w="90" w:type="dxa"/>
              <w:bottom w:w="85" w:type="dxa"/>
              <w:end w:w="90" w:type="dxa"/>
            </w:tcMar>
          </w:tcPr>
          <w:p>
            <w:pPr>
              <w:spacing w:after="0"/>
            </w:pPr>
            <w:r>
              <w:rPr>
                <w:sz w:val="15"/>
              </w:rPr>
              <w:t>Mandatory resolution plan, CFO delegate review and Internal Audit visibility</w:t>
            </w:r>
          </w:p>
        </w:tc>
        <w:tc>
          <w:tcPr>
            <w:tcW w:type="dxa" w:w="2033"/>
            <w:vAlign w:val="top"/>
            <w:tcMar>
              <w:top w:w="85" w:type="dxa"/>
              <w:start w:w="90" w:type="dxa"/>
              <w:bottom w:w="85" w:type="dxa"/>
              <w:end w:w="90" w:type="dxa"/>
            </w:tcMar>
          </w:tcPr>
          <w:p>
            <w:pPr>
              <w:spacing w:after="0"/>
            </w:pPr>
            <w:r>
              <w:rPr>
                <w:sz w:val="15"/>
              </w:rPr>
              <w:t>Controller + accountable executive</w:t>
            </w:r>
          </w:p>
        </w:tc>
        <w:tc>
          <w:tcPr>
            <w:tcW w:type="dxa" w:w="2033"/>
            <w:vAlign w:val="top"/>
            <w:tcMar>
              <w:top w:w="85" w:type="dxa"/>
              <w:start w:w="90" w:type="dxa"/>
              <w:bottom w:w="85" w:type="dxa"/>
              <w:end w:w="90" w:type="dxa"/>
            </w:tcMar>
          </w:tcPr>
          <w:p>
            <w:pPr>
              <w:spacing w:after="0"/>
            </w:pPr>
            <w:r>
              <w:rPr>
                <w:sz w:val="15"/>
              </w:rPr>
              <w:t>≤1% and zero high-risk items</w:t>
            </w:r>
          </w:p>
        </w:tc>
      </w:tr>
    </w:tbl>
    <w:p>
      <w:pPr>
        <w:pStyle w:val="Caption"/>
      </w:pPr>
      <w:r>
        <w:t>How this visual supports action: the table turns ageing into a control trigger. It sets an owner and response for each band, making the doubled &gt;30-day population a governed backlog rather than a static report. Percentage targets apply after the Phase 0 baseline is validated.</w:t>
      </w:r>
    </w:p>
    <w:p>
      <w:pPr>
        <w:pStyle w:val="Heading1"/>
        <w:keepNext/>
      </w:pPr>
      <w:r>
        <w:t>5. Risk and control assessment</w:t>
      </w:r>
    </w:p>
    <w:p>
      <w:pPr>
        <w:pStyle w:val="BodyText"/>
      </w:pPr>
      <w:r>
        <w:t>Controls should combine prevention, detection and correction. High-value or high-risk events require independent approval, while clean low-risk activity should flow automatically. Control evidence must be system-generated where possible and retained in the case record.</w:t>
      </w:r>
    </w:p>
    <w:p>
      <w:pPr>
        <w:pStyle w:val="Caption"/>
      </w:pPr>
      <w:r>
        <w:t>Table 2. Key risk and control matrix</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24D"/>
            <w:vAlign w:val="center"/>
            <w:tcMar>
              <w:top w:w="90" w:type="dxa"/>
              <w:start w:w="90" w:type="dxa"/>
              <w:bottom w:w="90" w:type="dxa"/>
              <w:end w:w="90" w:type="dxa"/>
            </w:tcMar>
          </w:tcPr>
          <w:p>
            <w:pPr>
              <w:jc w:val="left"/>
            </w:pPr>
            <w:r>
              <w:rPr>
                <w:b/>
                <w:color w:val="FFFFFF"/>
                <w:sz w:val="13"/>
              </w:rPr>
              <w:t>Risk</w:t>
            </w:r>
          </w:p>
        </w:tc>
        <w:tc>
          <w:tcPr>
            <w:tcW w:type="dxa" w:w="1694"/>
            <w:shd w:fill="17324D"/>
            <w:vAlign w:val="center"/>
            <w:tcMar>
              <w:top w:w="90" w:type="dxa"/>
              <w:start w:w="90" w:type="dxa"/>
              <w:bottom w:w="90" w:type="dxa"/>
              <w:end w:w="90" w:type="dxa"/>
            </w:tcMar>
          </w:tcPr>
          <w:p>
            <w:pPr>
              <w:jc w:val="left"/>
            </w:pPr>
            <w:r>
              <w:rPr>
                <w:b/>
                <w:color w:val="FFFFFF"/>
                <w:sz w:val="13"/>
              </w:rPr>
              <w:t>Impact</w:t>
            </w:r>
          </w:p>
        </w:tc>
        <w:tc>
          <w:tcPr>
            <w:tcW w:type="dxa" w:w="1694"/>
            <w:shd w:fill="17324D"/>
            <w:vAlign w:val="center"/>
            <w:tcMar>
              <w:top w:w="90" w:type="dxa"/>
              <w:start w:w="90" w:type="dxa"/>
              <w:bottom w:w="90" w:type="dxa"/>
              <w:end w:w="90" w:type="dxa"/>
            </w:tcMar>
          </w:tcPr>
          <w:p>
            <w:pPr>
              <w:jc w:val="left"/>
            </w:pPr>
            <w:r>
              <w:rPr>
                <w:b/>
                <w:color w:val="FFFFFF"/>
                <w:sz w:val="13"/>
              </w:rPr>
              <w:t>Rating</w:t>
            </w:r>
          </w:p>
        </w:tc>
        <w:tc>
          <w:tcPr>
            <w:tcW w:type="dxa" w:w="1694"/>
            <w:shd w:fill="17324D"/>
            <w:vAlign w:val="center"/>
            <w:tcMar>
              <w:top w:w="90" w:type="dxa"/>
              <w:start w:w="90" w:type="dxa"/>
              <w:bottom w:w="90" w:type="dxa"/>
              <w:end w:w="90" w:type="dxa"/>
            </w:tcMar>
          </w:tcPr>
          <w:p>
            <w:pPr>
              <w:jc w:val="left"/>
            </w:pPr>
            <w:r>
              <w:rPr>
                <w:b/>
                <w:color w:val="FFFFFF"/>
                <w:sz w:val="13"/>
              </w:rPr>
              <w:t>Key controls</w:t>
            </w:r>
          </w:p>
        </w:tc>
        <w:tc>
          <w:tcPr>
            <w:tcW w:type="dxa" w:w="1694"/>
            <w:shd w:fill="17324D"/>
            <w:vAlign w:val="center"/>
            <w:tcMar>
              <w:top w:w="90" w:type="dxa"/>
              <w:start w:w="90" w:type="dxa"/>
              <w:bottom w:w="90" w:type="dxa"/>
              <w:end w:w="90" w:type="dxa"/>
            </w:tcMar>
          </w:tcPr>
          <w:p>
            <w:pPr>
              <w:jc w:val="left"/>
            </w:pPr>
            <w:r>
              <w:rPr>
                <w:b/>
                <w:color w:val="FFFFFF"/>
                <w:sz w:val="13"/>
              </w:rPr>
              <w:t>Control owner</w:t>
            </w:r>
          </w:p>
        </w:tc>
        <w:tc>
          <w:tcPr>
            <w:tcW w:type="dxa" w:w="1694"/>
            <w:shd w:fill="17324D"/>
            <w:vAlign w:val="center"/>
            <w:tcMar>
              <w:top w:w="90" w:type="dxa"/>
              <w:start w:w="90" w:type="dxa"/>
              <w:bottom w:w="90" w:type="dxa"/>
              <w:end w:w="90" w:type="dxa"/>
            </w:tcMar>
          </w:tcPr>
          <w:p>
            <w:pPr>
              <w:jc w:val="left"/>
            </w:pPr>
            <w:r>
              <w:rPr>
                <w:b/>
                <w:color w:val="FFFFFF"/>
                <w:sz w:val="13"/>
              </w:rPr>
              <w:t>Evidence / KCI</w:t>
            </w:r>
          </w:p>
        </w:tc>
      </w:tr>
      <w:tr>
        <w:tc>
          <w:tcPr>
            <w:tcW w:type="dxa" w:w="1694"/>
            <w:vAlign w:val="top"/>
            <w:tcMar>
              <w:top w:w="85" w:type="dxa"/>
              <w:start w:w="90" w:type="dxa"/>
              <w:bottom w:w="85" w:type="dxa"/>
              <w:end w:w="90" w:type="dxa"/>
            </w:tcMar>
          </w:tcPr>
          <w:p>
            <w:pPr>
              <w:spacing w:after="0"/>
            </w:pPr>
            <w:r>
              <w:rPr>
                <w:sz w:val="13"/>
              </w:rPr>
              <w:t>Duplicate vendor invoices</w:t>
            </w:r>
          </w:p>
        </w:tc>
        <w:tc>
          <w:tcPr>
            <w:tcW w:type="dxa" w:w="1694"/>
            <w:vAlign w:val="top"/>
            <w:tcMar>
              <w:top w:w="85" w:type="dxa"/>
              <w:start w:w="90" w:type="dxa"/>
              <w:bottom w:w="85" w:type="dxa"/>
              <w:end w:w="90" w:type="dxa"/>
            </w:tcMar>
          </w:tcPr>
          <w:p>
            <w:pPr>
              <w:spacing w:after="0"/>
            </w:pPr>
            <w:r>
              <w:rPr>
                <w:sz w:val="13"/>
              </w:rPr>
              <w:t>Financial loss; recovery cost; misstated payables</w:t>
            </w:r>
          </w:p>
        </w:tc>
        <w:tc>
          <w:tcPr>
            <w:tcW w:type="dxa" w:w="1694"/>
            <w:vAlign w:val="top"/>
            <w:tcMar>
              <w:top w:w="85" w:type="dxa"/>
              <w:start w:w="90" w:type="dxa"/>
              <w:bottom w:w="85" w:type="dxa"/>
              <w:end w:w="90" w:type="dxa"/>
            </w:tcMar>
          </w:tcPr>
          <w:p>
            <w:pPr>
              <w:spacing w:after="0"/>
            </w:pPr>
            <w:r>
              <w:rPr>
                <w:sz w:val="13"/>
              </w:rPr>
              <w:t>High</w:t>
            </w:r>
          </w:p>
        </w:tc>
        <w:tc>
          <w:tcPr>
            <w:tcW w:type="dxa" w:w="1694"/>
            <w:vAlign w:val="top"/>
            <w:tcMar>
              <w:top w:w="85" w:type="dxa"/>
              <w:start w:w="90" w:type="dxa"/>
              <w:bottom w:w="85" w:type="dxa"/>
              <w:end w:w="90" w:type="dxa"/>
            </w:tcMar>
          </w:tcPr>
          <w:p>
            <w:pPr>
              <w:spacing w:after="0"/>
            </w:pPr>
            <w:r>
              <w:rPr>
                <w:sz w:val="13"/>
              </w:rPr>
              <w:t>Three-way/contract match; exact duplicate block on vendor + invoice + amount + date; fuzzy similarity check; payment-file duplicate hash</w:t>
            </w:r>
          </w:p>
        </w:tc>
        <w:tc>
          <w:tcPr>
            <w:tcW w:type="dxa" w:w="1694"/>
            <w:vAlign w:val="top"/>
            <w:tcMar>
              <w:top w:w="85" w:type="dxa"/>
              <w:start w:w="90" w:type="dxa"/>
              <w:bottom w:w="85" w:type="dxa"/>
              <w:end w:w="90" w:type="dxa"/>
            </w:tcMar>
          </w:tcPr>
          <w:p>
            <w:pPr>
              <w:spacing w:after="0"/>
            </w:pPr>
            <w:r>
              <w:rPr>
                <w:sz w:val="13"/>
              </w:rPr>
              <w:t>AP Manager</w:t>
            </w:r>
          </w:p>
        </w:tc>
        <w:tc>
          <w:tcPr>
            <w:tcW w:type="dxa" w:w="1694"/>
            <w:vAlign w:val="top"/>
            <w:tcMar>
              <w:top w:w="85" w:type="dxa"/>
              <w:start w:w="90" w:type="dxa"/>
              <w:bottom w:w="85" w:type="dxa"/>
              <w:end w:w="90" w:type="dxa"/>
            </w:tcMar>
          </w:tcPr>
          <w:p>
            <w:pPr>
              <w:spacing w:after="0"/>
            </w:pPr>
            <w:r>
              <w:rPr>
                <w:sz w:val="13"/>
              </w:rPr>
              <w:t>Blocked/flagged rate; confirmed duplicates paid; override count</w:t>
            </w:r>
          </w:p>
        </w:tc>
      </w:tr>
      <w:tr>
        <w:tc>
          <w:tcPr>
            <w:tcW w:type="dxa" w:w="1694"/>
            <w:vAlign w:val="top"/>
            <w:tcMar>
              <w:top w:w="85" w:type="dxa"/>
              <w:start w:w="90" w:type="dxa"/>
              <w:bottom w:w="85" w:type="dxa"/>
              <w:end w:w="90" w:type="dxa"/>
            </w:tcMar>
            <w:shd w:fill="F3F5F7"/>
          </w:tcPr>
          <w:p>
            <w:pPr>
              <w:spacing w:after="0"/>
            </w:pPr>
            <w:r>
              <w:rPr>
                <w:sz w:val="13"/>
              </w:rPr>
              <w:t>Unauthorised or duplicate refunds</w:t>
            </w:r>
          </w:p>
        </w:tc>
        <w:tc>
          <w:tcPr>
            <w:tcW w:type="dxa" w:w="1694"/>
            <w:vAlign w:val="top"/>
            <w:tcMar>
              <w:top w:w="85" w:type="dxa"/>
              <w:start w:w="90" w:type="dxa"/>
              <w:bottom w:w="85" w:type="dxa"/>
              <w:end w:w="90" w:type="dxa"/>
            </w:tcMar>
            <w:shd w:fill="F3F5F7"/>
          </w:tcPr>
          <w:p>
            <w:pPr>
              <w:spacing w:after="0"/>
            </w:pPr>
            <w:r>
              <w:rPr>
                <w:sz w:val="13"/>
              </w:rPr>
              <w:t>Cash leakage; fraud; customer harm</w:t>
            </w:r>
          </w:p>
        </w:tc>
        <w:tc>
          <w:tcPr>
            <w:tcW w:type="dxa" w:w="1694"/>
            <w:vAlign w:val="top"/>
            <w:tcMar>
              <w:top w:w="85" w:type="dxa"/>
              <w:start w:w="90" w:type="dxa"/>
              <w:bottom w:w="85" w:type="dxa"/>
              <w:end w:w="90" w:type="dxa"/>
            </w:tcMar>
            <w:shd w:fill="F3F5F7"/>
          </w:tcPr>
          <w:p>
            <w:pPr>
              <w:spacing w:after="0"/>
            </w:pPr>
            <w:r>
              <w:rPr>
                <w:sz w:val="13"/>
              </w:rPr>
              <w:t>High</w:t>
            </w:r>
          </w:p>
        </w:tc>
        <w:tc>
          <w:tcPr>
            <w:tcW w:type="dxa" w:w="1694"/>
            <w:vAlign w:val="top"/>
            <w:tcMar>
              <w:top w:w="85" w:type="dxa"/>
              <w:start w:w="90" w:type="dxa"/>
              <w:bottom w:w="85" w:type="dxa"/>
              <w:end w:w="90" w:type="dxa"/>
            </w:tcMar>
            <w:shd w:fill="F3F5F7"/>
          </w:tcPr>
          <w:p>
            <w:pPr>
              <w:spacing w:after="0"/>
            </w:pPr>
            <w:r>
              <w:rPr>
                <w:sz w:val="13"/>
              </w:rPr>
              <w:t>Role/value thresholds; no requester self-approval; refund idempotency key; original-payment validation; velocity/device rules; daily request-to-gateway-to-bank reconciliation</w:t>
            </w:r>
          </w:p>
        </w:tc>
        <w:tc>
          <w:tcPr>
            <w:tcW w:type="dxa" w:w="1694"/>
            <w:vAlign w:val="top"/>
            <w:tcMar>
              <w:top w:w="85" w:type="dxa"/>
              <w:start w:w="90" w:type="dxa"/>
              <w:bottom w:w="85" w:type="dxa"/>
              <w:end w:w="90" w:type="dxa"/>
            </w:tcMar>
            <w:shd w:fill="F3F5F7"/>
          </w:tcPr>
          <w:p>
            <w:pPr>
              <w:spacing w:after="0"/>
            </w:pPr>
            <w:r>
              <w:rPr>
                <w:sz w:val="13"/>
              </w:rPr>
              <w:t>Customer Payments Lead</w:t>
            </w:r>
          </w:p>
        </w:tc>
        <w:tc>
          <w:tcPr>
            <w:tcW w:type="dxa" w:w="1694"/>
            <w:vAlign w:val="top"/>
            <w:tcMar>
              <w:top w:w="85" w:type="dxa"/>
              <w:start w:w="90" w:type="dxa"/>
              <w:bottom w:w="85" w:type="dxa"/>
              <w:end w:w="90" w:type="dxa"/>
            </w:tcMar>
            <w:shd w:fill="F3F5F7"/>
          </w:tcPr>
          <w:p>
            <w:pPr>
              <w:spacing w:after="0"/>
            </w:pPr>
            <w:r>
              <w:rPr>
                <w:sz w:val="13"/>
              </w:rPr>
              <w:t>Leakage %; duplicate attempts; approval exceptions; refund SLA</w:t>
            </w:r>
          </w:p>
        </w:tc>
      </w:tr>
      <w:tr>
        <w:tc>
          <w:tcPr>
            <w:tcW w:type="dxa" w:w="1694"/>
            <w:vAlign w:val="top"/>
            <w:tcMar>
              <w:top w:w="85" w:type="dxa"/>
              <w:start w:w="90" w:type="dxa"/>
              <w:bottom w:w="85" w:type="dxa"/>
              <w:end w:w="90" w:type="dxa"/>
            </w:tcMar>
          </w:tcPr>
          <w:p>
            <w:pPr>
              <w:spacing w:after="0"/>
            </w:pPr>
            <w:r>
              <w:rPr>
                <w:sz w:val="13"/>
              </w:rPr>
              <w:t>Altered vendor bank details</w:t>
            </w:r>
          </w:p>
        </w:tc>
        <w:tc>
          <w:tcPr>
            <w:tcW w:type="dxa" w:w="1694"/>
            <w:vAlign w:val="top"/>
            <w:tcMar>
              <w:top w:w="85" w:type="dxa"/>
              <w:start w:w="90" w:type="dxa"/>
              <w:bottom w:w="85" w:type="dxa"/>
              <w:end w:w="90" w:type="dxa"/>
            </w:tcMar>
          </w:tcPr>
          <w:p>
            <w:pPr>
              <w:spacing w:after="0"/>
            </w:pPr>
            <w:r>
              <w:rPr>
                <w:sz w:val="13"/>
              </w:rPr>
              <w:t>Payment diversion and fraud</w:t>
            </w:r>
          </w:p>
        </w:tc>
        <w:tc>
          <w:tcPr>
            <w:tcW w:type="dxa" w:w="1694"/>
            <w:vAlign w:val="top"/>
            <w:tcMar>
              <w:top w:w="85" w:type="dxa"/>
              <w:start w:w="90" w:type="dxa"/>
              <w:bottom w:w="85" w:type="dxa"/>
              <w:end w:w="90" w:type="dxa"/>
            </w:tcMar>
          </w:tcPr>
          <w:p>
            <w:pPr>
              <w:spacing w:after="0"/>
            </w:pPr>
            <w:r>
              <w:rPr>
                <w:sz w:val="13"/>
              </w:rPr>
              <w:t>Critical</w:t>
            </w:r>
          </w:p>
        </w:tc>
        <w:tc>
          <w:tcPr>
            <w:tcW w:type="dxa" w:w="1694"/>
            <w:vAlign w:val="top"/>
            <w:tcMar>
              <w:top w:w="85" w:type="dxa"/>
              <w:start w:w="90" w:type="dxa"/>
              <w:bottom w:w="85" w:type="dxa"/>
              <w:end w:w="90" w:type="dxa"/>
            </w:tcMar>
          </w:tcPr>
          <w:p>
            <w:pPr>
              <w:spacing w:after="0"/>
            </w:pPr>
            <w:r>
              <w:rPr>
                <w:sz w:val="13"/>
              </w:rPr>
              <w:t>Maker–checker; authenticated out-of-band callback using independently sourced contact; cooling period for high-risk changes; change alert to existing contact; first-payment hold/review; immutable audit log</w:t>
            </w:r>
          </w:p>
        </w:tc>
        <w:tc>
          <w:tcPr>
            <w:tcW w:type="dxa" w:w="1694"/>
            <w:vAlign w:val="top"/>
            <w:tcMar>
              <w:top w:w="85" w:type="dxa"/>
              <w:start w:w="90" w:type="dxa"/>
              <w:bottom w:w="85" w:type="dxa"/>
              <w:end w:w="90" w:type="dxa"/>
            </w:tcMar>
          </w:tcPr>
          <w:p>
            <w:pPr>
              <w:spacing w:after="0"/>
            </w:pPr>
            <w:r>
              <w:rPr>
                <w:sz w:val="13"/>
              </w:rPr>
              <w:t>Vendor Master Data Owner</w:t>
            </w:r>
          </w:p>
        </w:tc>
        <w:tc>
          <w:tcPr>
            <w:tcW w:type="dxa" w:w="1694"/>
            <w:vAlign w:val="top"/>
            <w:tcMar>
              <w:top w:w="85" w:type="dxa"/>
              <w:start w:w="90" w:type="dxa"/>
              <w:bottom w:w="85" w:type="dxa"/>
              <w:end w:w="90" w:type="dxa"/>
            </w:tcMar>
          </w:tcPr>
          <w:p>
            <w:pPr>
              <w:spacing w:after="0"/>
            </w:pPr>
            <w:r>
              <w:rPr>
                <w:sz w:val="13"/>
              </w:rPr>
              <w:t>% independently verified; payments during cooling period; failed callbacks</w:t>
            </w:r>
          </w:p>
        </w:tc>
      </w:tr>
      <w:tr>
        <w:tc>
          <w:tcPr>
            <w:tcW w:type="dxa" w:w="1694"/>
            <w:vAlign w:val="top"/>
            <w:tcMar>
              <w:top w:w="85" w:type="dxa"/>
              <w:start w:w="90" w:type="dxa"/>
              <w:bottom w:w="85" w:type="dxa"/>
              <w:end w:w="90" w:type="dxa"/>
            </w:tcMar>
            <w:shd w:fill="F3F5F7"/>
          </w:tcPr>
          <w:p>
            <w:pPr>
              <w:spacing w:after="0"/>
            </w:pPr>
            <w:r>
              <w:rPr>
                <w:sz w:val="13"/>
              </w:rPr>
              <w:t>Failed or delayed settlement</w:t>
            </w:r>
          </w:p>
        </w:tc>
        <w:tc>
          <w:tcPr>
            <w:tcW w:type="dxa" w:w="1694"/>
            <w:vAlign w:val="top"/>
            <w:tcMar>
              <w:top w:w="85" w:type="dxa"/>
              <w:start w:w="90" w:type="dxa"/>
              <w:bottom w:w="85" w:type="dxa"/>
              <w:end w:w="90" w:type="dxa"/>
            </w:tcMar>
            <w:shd w:fill="F3F5F7"/>
          </w:tcPr>
          <w:p>
            <w:pPr>
              <w:spacing w:after="0"/>
            </w:pPr>
            <w:r>
              <w:rPr>
                <w:sz w:val="13"/>
              </w:rPr>
              <w:t>Vendor distrust; contractual breach; liquidity/reputation impact</w:t>
            </w:r>
          </w:p>
        </w:tc>
        <w:tc>
          <w:tcPr>
            <w:tcW w:type="dxa" w:w="1694"/>
            <w:vAlign w:val="top"/>
            <w:tcMar>
              <w:top w:w="85" w:type="dxa"/>
              <w:start w:w="90" w:type="dxa"/>
              <w:bottom w:w="85" w:type="dxa"/>
              <w:end w:w="90" w:type="dxa"/>
            </w:tcMar>
            <w:shd w:fill="F3F5F7"/>
          </w:tcPr>
          <w:p>
            <w:pPr>
              <w:spacing w:after="0"/>
            </w:pPr>
            <w:r>
              <w:rPr>
                <w:sz w:val="13"/>
              </w:rPr>
              <w:t>High</w:t>
            </w:r>
          </w:p>
        </w:tc>
        <w:tc>
          <w:tcPr>
            <w:tcW w:type="dxa" w:w="1694"/>
            <w:vAlign w:val="top"/>
            <w:tcMar>
              <w:top w:w="85" w:type="dxa"/>
              <w:start w:w="90" w:type="dxa"/>
              <w:bottom w:w="85" w:type="dxa"/>
              <w:end w:w="90" w:type="dxa"/>
            </w:tcMar>
            <w:shd w:fill="F3F5F7"/>
          </w:tcPr>
          <w:p>
            <w:pPr>
              <w:spacing w:after="0"/>
            </w:pPr>
            <w:r>
              <w:rPr>
                <w:sz w:val="13"/>
              </w:rPr>
              <w:t>Four-state payment status; bank acknowledgement and return-file reconciliation; automated retry rules; ageing SLA; proactive vendor notification</w:t>
            </w:r>
          </w:p>
        </w:tc>
        <w:tc>
          <w:tcPr>
            <w:tcW w:type="dxa" w:w="1694"/>
            <w:vAlign w:val="top"/>
            <w:tcMar>
              <w:top w:w="85" w:type="dxa"/>
              <w:start w:w="90" w:type="dxa"/>
              <w:bottom w:w="85" w:type="dxa"/>
              <w:end w:w="90" w:type="dxa"/>
            </w:tcMar>
            <w:shd w:fill="F3F5F7"/>
          </w:tcPr>
          <w:p>
            <w:pPr>
              <w:spacing w:after="0"/>
            </w:pPr>
            <w:r>
              <w:rPr>
                <w:sz w:val="13"/>
              </w:rPr>
              <w:t>Treasury Operations</w:t>
            </w:r>
          </w:p>
        </w:tc>
        <w:tc>
          <w:tcPr>
            <w:tcW w:type="dxa" w:w="1694"/>
            <w:vAlign w:val="top"/>
            <w:tcMar>
              <w:top w:w="85" w:type="dxa"/>
              <w:start w:w="90" w:type="dxa"/>
              <w:bottom w:w="85" w:type="dxa"/>
              <w:end w:w="90" w:type="dxa"/>
            </w:tcMar>
            <w:shd w:fill="F3F5F7"/>
          </w:tcPr>
          <w:p>
            <w:pPr>
              <w:spacing w:after="0"/>
            </w:pPr>
            <w:r>
              <w:rPr>
                <w:sz w:val="13"/>
              </w:rPr>
              <w:t>On-time settlement %; failure rate; mean time to resolve; complaints</w:t>
            </w:r>
          </w:p>
        </w:tc>
      </w:tr>
      <w:tr>
        <w:tc>
          <w:tcPr>
            <w:tcW w:type="dxa" w:w="1694"/>
            <w:vAlign w:val="top"/>
            <w:tcMar>
              <w:top w:w="85" w:type="dxa"/>
              <w:start w:w="90" w:type="dxa"/>
              <w:bottom w:w="85" w:type="dxa"/>
              <w:end w:w="90" w:type="dxa"/>
            </w:tcMar>
          </w:tcPr>
          <w:p>
            <w:pPr>
              <w:spacing w:after="0"/>
            </w:pPr>
            <w:r>
              <w:rPr>
                <w:sz w:val="13"/>
              </w:rPr>
              <w:t>Inappropriate access</w:t>
            </w:r>
          </w:p>
        </w:tc>
        <w:tc>
          <w:tcPr>
            <w:tcW w:type="dxa" w:w="1694"/>
            <w:vAlign w:val="top"/>
            <w:tcMar>
              <w:top w:w="85" w:type="dxa"/>
              <w:start w:w="90" w:type="dxa"/>
              <w:bottom w:w="85" w:type="dxa"/>
              <w:end w:w="90" w:type="dxa"/>
            </w:tcMar>
          </w:tcPr>
          <w:p>
            <w:pPr>
              <w:spacing w:after="0"/>
            </w:pPr>
            <w:r>
              <w:rPr>
                <w:sz w:val="13"/>
              </w:rPr>
              <w:t>Fraud; override; data exposure; audit failure</w:t>
            </w:r>
          </w:p>
        </w:tc>
        <w:tc>
          <w:tcPr>
            <w:tcW w:type="dxa" w:w="1694"/>
            <w:vAlign w:val="top"/>
            <w:tcMar>
              <w:top w:w="85" w:type="dxa"/>
              <w:start w:w="90" w:type="dxa"/>
              <w:bottom w:w="85" w:type="dxa"/>
              <w:end w:w="90" w:type="dxa"/>
            </w:tcMar>
          </w:tcPr>
          <w:p>
            <w:pPr>
              <w:spacing w:after="0"/>
            </w:pPr>
            <w:r>
              <w:rPr>
                <w:sz w:val="13"/>
              </w:rPr>
              <w:t>Critical</w:t>
            </w:r>
          </w:p>
        </w:tc>
        <w:tc>
          <w:tcPr>
            <w:tcW w:type="dxa" w:w="1694"/>
            <w:vAlign w:val="top"/>
            <w:tcMar>
              <w:top w:w="85" w:type="dxa"/>
              <w:start w:w="90" w:type="dxa"/>
              <w:bottom w:w="85" w:type="dxa"/>
              <w:end w:w="90" w:type="dxa"/>
            </w:tcMar>
          </w:tcPr>
          <w:p>
            <w:pPr>
              <w:spacing w:after="0"/>
            </w:pPr>
            <w:r>
              <w:rPr>
                <w:sz w:val="13"/>
              </w:rPr>
              <w:t>Least privilege; SSO/MFA; segregated roles; privileged access management; quarterly recertification; dormant-user removal; real-time logs and anomaly alerts</w:t>
            </w:r>
          </w:p>
        </w:tc>
        <w:tc>
          <w:tcPr>
            <w:tcW w:type="dxa" w:w="1694"/>
            <w:vAlign w:val="top"/>
            <w:tcMar>
              <w:top w:w="85" w:type="dxa"/>
              <w:start w:w="90" w:type="dxa"/>
              <w:bottom w:w="85" w:type="dxa"/>
              <w:end w:w="90" w:type="dxa"/>
            </w:tcMar>
          </w:tcPr>
          <w:p>
            <w:pPr>
              <w:spacing w:after="0"/>
            </w:pPr>
            <w:r>
              <w:rPr>
                <w:sz w:val="13"/>
              </w:rPr>
              <w:t>CISO / System Owners</w:t>
            </w:r>
          </w:p>
        </w:tc>
        <w:tc>
          <w:tcPr>
            <w:tcW w:type="dxa" w:w="1694"/>
            <w:vAlign w:val="top"/>
            <w:tcMar>
              <w:top w:w="85" w:type="dxa"/>
              <w:start w:w="90" w:type="dxa"/>
              <w:bottom w:w="85" w:type="dxa"/>
              <w:end w:w="90" w:type="dxa"/>
            </w:tcMar>
          </w:tcPr>
          <w:p>
            <w:pPr>
              <w:spacing w:after="0"/>
            </w:pPr>
            <w:r>
              <w:rPr>
                <w:sz w:val="13"/>
              </w:rPr>
              <w:t>% recertified; SoD conflicts; dormant users; privileged exceptions</w:t>
            </w:r>
          </w:p>
        </w:tc>
      </w:tr>
      <w:tr>
        <w:tc>
          <w:tcPr>
            <w:tcW w:type="dxa" w:w="1694"/>
            <w:vAlign w:val="top"/>
            <w:tcMar>
              <w:top w:w="85" w:type="dxa"/>
              <w:start w:w="90" w:type="dxa"/>
              <w:bottom w:w="85" w:type="dxa"/>
              <w:end w:w="90" w:type="dxa"/>
            </w:tcMar>
            <w:shd w:fill="F3F5F7"/>
          </w:tcPr>
          <w:p>
            <w:pPr>
              <w:spacing w:after="0"/>
            </w:pPr>
            <w:r>
              <w:rPr>
                <w:sz w:val="13"/>
              </w:rPr>
              <w:t>Unreconciled cash / GL</w:t>
            </w:r>
          </w:p>
        </w:tc>
        <w:tc>
          <w:tcPr>
            <w:tcW w:type="dxa" w:w="1694"/>
            <w:vAlign w:val="top"/>
            <w:tcMar>
              <w:top w:w="85" w:type="dxa"/>
              <w:start w:w="90" w:type="dxa"/>
              <w:bottom w:w="85" w:type="dxa"/>
              <w:end w:w="90" w:type="dxa"/>
            </w:tcMar>
            <w:shd w:fill="F3F5F7"/>
          </w:tcPr>
          <w:p>
            <w:pPr>
              <w:spacing w:after="0"/>
            </w:pPr>
            <w:r>
              <w:rPr>
                <w:sz w:val="13"/>
              </w:rPr>
              <w:t>Misstatement; delayed close; concealed loss</w:t>
            </w:r>
          </w:p>
        </w:tc>
        <w:tc>
          <w:tcPr>
            <w:tcW w:type="dxa" w:w="1694"/>
            <w:vAlign w:val="top"/>
            <w:tcMar>
              <w:top w:w="85" w:type="dxa"/>
              <w:start w:w="90" w:type="dxa"/>
              <w:bottom w:w="85" w:type="dxa"/>
              <w:end w:w="90" w:type="dxa"/>
            </w:tcMar>
            <w:shd w:fill="F3F5F7"/>
          </w:tcPr>
          <w:p>
            <w:pPr>
              <w:spacing w:after="0"/>
            </w:pPr>
            <w:r>
              <w:rPr>
                <w:sz w:val="13"/>
              </w:rPr>
              <w:t>High</w:t>
            </w:r>
          </w:p>
        </w:tc>
        <w:tc>
          <w:tcPr>
            <w:tcW w:type="dxa" w:w="1694"/>
            <w:vAlign w:val="top"/>
            <w:tcMar>
              <w:top w:w="85" w:type="dxa"/>
              <w:start w:w="90" w:type="dxa"/>
              <w:bottom w:w="85" w:type="dxa"/>
              <w:end w:w="90" w:type="dxa"/>
            </w:tcMar>
            <w:shd w:fill="F3F5F7"/>
          </w:tcPr>
          <w:p>
            <w:pPr>
              <w:spacing w:after="0"/>
            </w:pPr>
            <w:r>
              <w:rPr>
                <w:sz w:val="13"/>
              </w:rPr>
              <w:t>Daily three-way reconciliation; controlled suspense accounts; journal maker–checker; certification and aged-item escalation</w:t>
            </w:r>
          </w:p>
        </w:tc>
        <w:tc>
          <w:tcPr>
            <w:tcW w:type="dxa" w:w="1694"/>
            <w:vAlign w:val="top"/>
            <w:tcMar>
              <w:top w:w="85" w:type="dxa"/>
              <w:start w:w="90" w:type="dxa"/>
              <w:bottom w:w="85" w:type="dxa"/>
              <w:end w:w="90" w:type="dxa"/>
            </w:tcMar>
            <w:shd w:fill="F3F5F7"/>
          </w:tcPr>
          <w:p>
            <w:pPr>
              <w:spacing w:after="0"/>
            </w:pPr>
            <w:r>
              <w:rPr>
                <w:sz w:val="13"/>
              </w:rPr>
              <w:t>Financial Controller</w:t>
            </w:r>
          </w:p>
        </w:tc>
        <w:tc>
          <w:tcPr>
            <w:tcW w:type="dxa" w:w="1694"/>
            <w:vAlign w:val="top"/>
            <w:tcMar>
              <w:top w:w="85" w:type="dxa"/>
              <w:start w:w="90" w:type="dxa"/>
              <w:bottom w:w="85" w:type="dxa"/>
              <w:end w:w="90" w:type="dxa"/>
            </w:tcMar>
            <w:shd w:fill="F3F5F7"/>
          </w:tcPr>
          <w:p>
            <w:pPr>
              <w:spacing w:after="0"/>
            </w:pPr>
            <w:r>
              <w:rPr>
                <w:sz w:val="13"/>
              </w:rPr>
              <w:t>Auto-match %; open value/count; &gt;30-day items; close days</w:t>
            </w:r>
          </w:p>
        </w:tc>
      </w:tr>
    </w:tbl>
    <w:p>
      <w:pPr>
        <w:pStyle w:val="Caption"/>
      </w:pPr>
      <w:r>
        <w:t>How this visual supports action: it links each material failure to an accountable owner and evidence-based control indicator. It also distinguishes critical controls—bank-detail changes and privileged access—from routine operational matching.</w:t>
      </w:r>
    </w:p>
    <w:p>
      <w:pPr>
        <w:pStyle w:val="Heading2"/>
        <w:keepNext/>
      </w:pPr>
      <w:r>
        <w:t>5.1 Control principles</w:t>
      </w:r>
    </w:p>
    <w:p>
      <w:pPr>
        <w:pStyle w:val="ListBullet"/>
      </w:pPr>
      <w:r>
        <w:t>No transaction should be marked settled until external confirmation is received from the bank or gateway; ‘processed’ is an intermediate status.</w:t>
      </w:r>
    </w:p>
    <w:p>
      <w:pPr>
        <w:pStyle w:val="ListBullet"/>
      </w:pPr>
      <w:r>
        <w:t>No person may create or change payee details and approve the related payment. Emergency overrides must expire, be logged and receive next-business-day review.</w:t>
      </w:r>
    </w:p>
    <w:p>
      <w:pPr>
        <w:pStyle w:val="ListBullet"/>
      </w:pPr>
      <w:r>
        <w:t>Refund controls should be proportional: automate low-value, low-risk refunds within limits; route high-value, repeated, anomalous or bank-detail-sensitive cases for review.</w:t>
      </w:r>
    </w:p>
    <w:p>
      <w:pPr>
        <w:pStyle w:val="ListBullet"/>
      </w:pPr>
      <w:r>
        <w:t>Every override requires a reason code, approver identity, timestamp and linked evidence. Management should review override trends, not only individual approvals.</w:t>
      </w:r>
    </w:p>
    <w:p>
      <w:pPr>
        <w:pStyle w:val="ListBullet"/>
      </w:pPr>
      <w:r>
        <w:t>Reconciliations must prove completeness as well as matching accuracy—for example, batch control totals, sequence checks and source-to-target record counts.</w:t>
      </w:r>
    </w:p>
    <w:p>
      <w:pPr>
        <w:pStyle w:val="Heading1"/>
        <w:keepNext/>
      </w:pPr>
      <w:r>
        <w:t>6. Options assessment</w:t>
      </w:r>
    </w:p>
    <w:p>
      <w:pPr>
        <w:pStyle w:val="BodyText"/>
      </w:pPr>
      <w:r>
        <w:t>Four options were assessed against control strength, speed, customer/vendor experience, scalability, implementation risk and cost. Scores use a five-point scale, where 5 is strongest. Cost is scored inversely: 5 represents the lowest cost. Weightings reflect SwiftCart’s need to reduce risk without slowing legitimate transactions.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24D"/>
            <w:vAlign w:val="center"/>
            <w:tcMar>
              <w:top w:w="90" w:type="dxa"/>
              <w:start w:w="90" w:type="dxa"/>
              <w:bottom w:w="90" w:type="dxa"/>
              <w:end w:w="90" w:type="dxa"/>
            </w:tcMar>
          </w:tcPr>
          <w:p>
            <w:pPr>
              <w:jc w:val="left"/>
            </w:pPr>
            <w:r>
              <w:rPr>
                <w:b/>
                <w:color w:val="FFFFFF"/>
                <w:sz w:val="14"/>
              </w:rPr>
              <w:t>Criterion</w:t>
            </w:r>
          </w:p>
        </w:tc>
        <w:tc>
          <w:tcPr>
            <w:tcW w:type="dxa" w:w="1694"/>
            <w:shd w:fill="17324D"/>
            <w:vAlign w:val="center"/>
            <w:tcMar>
              <w:top w:w="90" w:type="dxa"/>
              <w:start w:w="90" w:type="dxa"/>
              <w:bottom w:w="90" w:type="dxa"/>
              <w:end w:w="90" w:type="dxa"/>
            </w:tcMar>
          </w:tcPr>
          <w:p>
            <w:pPr>
              <w:jc w:val="left"/>
            </w:pPr>
            <w:r>
              <w:rPr>
                <w:b/>
                <w:color w:val="FFFFFF"/>
                <w:sz w:val="14"/>
              </w:rPr>
              <w:t>Weight</w:t>
            </w:r>
          </w:p>
        </w:tc>
        <w:tc>
          <w:tcPr>
            <w:tcW w:type="dxa" w:w="1694"/>
            <w:shd w:fill="17324D"/>
            <w:vAlign w:val="center"/>
            <w:tcMar>
              <w:top w:w="90" w:type="dxa"/>
              <w:start w:w="90" w:type="dxa"/>
              <w:bottom w:w="90" w:type="dxa"/>
              <w:end w:w="90" w:type="dxa"/>
            </w:tcMar>
          </w:tcPr>
          <w:p>
            <w:pPr>
              <w:jc w:val="left"/>
            </w:pPr>
            <w:r>
              <w:rPr>
                <w:b/>
                <w:color w:val="FFFFFF"/>
                <w:sz w:val="14"/>
              </w:rPr>
              <w:t>A: More staff / spreadsheets</w:t>
            </w:r>
          </w:p>
        </w:tc>
        <w:tc>
          <w:tcPr>
            <w:tcW w:type="dxa" w:w="1694"/>
            <w:shd w:fill="17324D"/>
            <w:vAlign w:val="center"/>
            <w:tcMar>
              <w:top w:w="90" w:type="dxa"/>
              <w:start w:w="90" w:type="dxa"/>
              <w:bottom w:w="90" w:type="dxa"/>
              <w:end w:w="90" w:type="dxa"/>
            </w:tcMar>
          </w:tcPr>
          <w:p>
            <w:pPr>
              <w:jc w:val="left"/>
            </w:pPr>
            <w:r>
              <w:rPr>
                <w:b/>
                <w:color w:val="FFFFFF"/>
                <w:sz w:val="14"/>
              </w:rPr>
              <w:t>B: Process &amp; controls only</w:t>
            </w:r>
          </w:p>
        </w:tc>
        <w:tc>
          <w:tcPr>
            <w:tcW w:type="dxa" w:w="1694"/>
            <w:shd w:fill="17324D"/>
            <w:vAlign w:val="center"/>
            <w:tcMar>
              <w:top w:w="90" w:type="dxa"/>
              <w:start w:w="90" w:type="dxa"/>
              <w:bottom w:w="90" w:type="dxa"/>
              <w:end w:w="90" w:type="dxa"/>
            </w:tcMar>
          </w:tcPr>
          <w:p>
            <w:pPr>
              <w:jc w:val="left"/>
            </w:pPr>
            <w:r>
              <w:rPr>
                <w:b/>
                <w:color w:val="FFFFFF"/>
                <w:sz w:val="14"/>
              </w:rPr>
              <w:t>C: Automation first</w:t>
            </w:r>
          </w:p>
        </w:tc>
        <w:tc>
          <w:tcPr>
            <w:tcW w:type="dxa" w:w="1694"/>
            <w:shd w:fill="17324D"/>
            <w:vAlign w:val="center"/>
            <w:tcMar>
              <w:top w:w="90" w:type="dxa"/>
              <w:start w:w="90" w:type="dxa"/>
              <w:bottom w:w="90" w:type="dxa"/>
              <w:end w:w="90" w:type="dxa"/>
            </w:tcMar>
          </w:tcPr>
          <w:p>
            <w:pPr>
              <w:jc w:val="left"/>
            </w:pPr>
            <w:r>
              <w:rPr>
                <w:b/>
                <w:color w:val="FFFFFF"/>
                <w:sz w:val="14"/>
              </w:rPr>
              <w:t>D: Process + data + phased automation</w:t>
            </w:r>
          </w:p>
        </w:tc>
      </w:tr>
      <w:tr>
        <w:tc>
          <w:tcPr>
            <w:tcW w:type="dxa" w:w="1694"/>
            <w:vAlign w:val="top"/>
            <w:tcMar>
              <w:top w:w="85" w:type="dxa"/>
              <w:start w:w="90" w:type="dxa"/>
              <w:bottom w:w="85" w:type="dxa"/>
              <w:end w:w="90" w:type="dxa"/>
            </w:tcMar>
          </w:tcPr>
          <w:p>
            <w:pPr>
              <w:spacing w:after="0"/>
            </w:pPr>
            <w:r>
              <w:rPr>
                <w:sz w:val="14"/>
              </w:rPr>
              <w:t>Control strength</w:t>
            </w:r>
          </w:p>
        </w:tc>
        <w:tc>
          <w:tcPr>
            <w:tcW w:type="dxa" w:w="1694"/>
            <w:vAlign w:val="top"/>
            <w:tcMar>
              <w:top w:w="85" w:type="dxa"/>
              <w:start w:w="90" w:type="dxa"/>
              <w:bottom w:w="85" w:type="dxa"/>
              <w:end w:w="90" w:type="dxa"/>
            </w:tcMar>
          </w:tcPr>
          <w:p>
            <w:pPr>
              <w:spacing w:after="0"/>
            </w:pPr>
            <w:r>
              <w:rPr>
                <w:sz w:val="14"/>
              </w:rPr>
              <w:t>25%</w:t>
            </w:r>
          </w:p>
        </w:tc>
        <w:tc>
          <w:tcPr>
            <w:tcW w:type="dxa" w:w="1694"/>
            <w:vAlign w:val="top"/>
            <w:tcMar>
              <w:top w:w="85" w:type="dxa"/>
              <w:start w:w="90" w:type="dxa"/>
              <w:bottom w:w="85" w:type="dxa"/>
              <w:end w:w="90" w:type="dxa"/>
            </w:tcMar>
          </w:tcPr>
          <w:p>
            <w:pPr>
              <w:spacing w:after="0"/>
            </w:pPr>
            <w:r>
              <w:rPr>
                <w:sz w:val="14"/>
              </w:rPr>
              <w:t>2</w:t>
            </w:r>
          </w:p>
        </w:tc>
        <w:tc>
          <w:tcPr>
            <w:tcW w:type="dxa" w:w="1694"/>
            <w:vAlign w:val="top"/>
            <w:tcMar>
              <w:top w:w="85" w:type="dxa"/>
              <w:start w:w="90" w:type="dxa"/>
              <w:bottom w:w="85" w:type="dxa"/>
              <w:end w:w="90" w:type="dxa"/>
            </w:tcMar>
          </w:tcPr>
          <w:p>
            <w:pPr>
              <w:spacing w:after="0"/>
            </w:pPr>
            <w:r>
              <w:rPr>
                <w:sz w:val="14"/>
              </w:rPr>
              <w:t>4</w:t>
            </w:r>
          </w:p>
        </w:tc>
        <w:tc>
          <w:tcPr>
            <w:tcW w:type="dxa" w:w="1694"/>
            <w:vAlign w:val="top"/>
            <w:tcMar>
              <w:top w:w="85" w:type="dxa"/>
              <w:start w:w="90" w:type="dxa"/>
              <w:bottom w:w="85" w:type="dxa"/>
              <w:end w:w="90" w:type="dxa"/>
            </w:tcMar>
          </w:tcPr>
          <w:p>
            <w:pPr>
              <w:spacing w:after="0"/>
            </w:pPr>
            <w:r>
              <w:rPr>
                <w:sz w:val="14"/>
              </w:rPr>
              <w:t>3</w:t>
            </w:r>
          </w:p>
        </w:tc>
        <w:tc>
          <w:tcPr>
            <w:tcW w:type="dxa" w:w="1694"/>
            <w:vAlign w:val="top"/>
            <w:tcMar>
              <w:top w:w="85" w:type="dxa"/>
              <w:start w:w="90" w:type="dxa"/>
              <w:bottom w:w="85" w:type="dxa"/>
              <w:end w:w="90" w:type="dxa"/>
            </w:tcMar>
          </w:tcPr>
          <w:p>
            <w:pPr>
              <w:spacing w:after="0"/>
            </w:pPr>
            <w:r>
              <w:rPr>
                <w:sz w:val="14"/>
              </w:rPr>
              <w:t>5</w:t>
            </w:r>
          </w:p>
        </w:tc>
      </w:tr>
      <w:tr>
        <w:tc>
          <w:tcPr>
            <w:tcW w:type="dxa" w:w="1694"/>
            <w:vAlign w:val="top"/>
            <w:tcMar>
              <w:top w:w="85" w:type="dxa"/>
              <w:start w:w="90" w:type="dxa"/>
              <w:bottom w:w="85" w:type="dxa"/>
              <w:end w:w="90" w:type="dxa"/>
            </w:tcMar>
            <w:shd w:fill="F3F5F7"/>
          </w:tcPr>
          <w:p>
            <w:pPr>
              <w:spacing w:after="0"/>
            </w:pPr>
            <w:r>
              <w:rPr>
                <w:sz w:val="14"/>
              </w:rPr>
              <w:t>Operational efficiency</w:t>
            </w:r>
          </w:p>
        </w:tc>
        <w:tc>
          <w:tcPr>
            <w:tcW w:type="dxa" w:w="1694"/>
            <w:vAlign w:val="top"/>
            <w:tcMar>
              <w:top w:w="85" w:type="dxa"/>
              <w:start w:w="90" w:type="dxa"/>
              <w:bottom w:w="85" w:type="dxa"/>
              <w:end w:w="90" w:type="dxa"/>
            </w:tcMar>
            <w:shd w:fill="F3F5F7"/>
          </w:tcPr>
          <w:p>
            <w:pPr>
              <w:spacing w:after="0"/>
            </w:pPr>
            <w:r>
              <w:rPr>
                <w:sz w:val="14"/>
              </w:rPr>
              <w:t>20%</w:t>
            </w:r>
          </w:p>
        </w:tc>
        <w:tc>
          <w:tcPr>
            <w:tcW w:type="dxa" w:w="1694"/>
            <w:vAlign w:val="top"/>
            <w:tcMar>
              <w:top w:w="85" w:type="dxa"/>
              <w:start w:w="90" w:type="dxa"/>
              <w:bottom w:w="85" w:type="dxa"/>
              <w:end w:w="90" w:type="dxa"/>
            </w:tcMar>
            <w:shd w:fill="F3F5F7"/>
          </w:tcPr>
          <w:p>
            <w:pPr>
              <w:spacing w:after="0"/>
            </w:pPr>
            <w:r>
              <w:rPr>
                <w:sz w:val="14"/>
              </w:rPr>
              <w:t>2</w:t>
            </w:r>
          </w:p>
        </w:tc>
        <w:tc>
          <w:tcPr>
            <w:tcW w:type="dxa" w:w="1694"/>
            <w:vAlign w:val="top"/>
            <w:tcMar>
              <w:top w:w="85" w:type="dxa"/>
              <w:start w:w="90" w:type="dxa"/>
              <w:bottom w:w="85" w:type="dxa"/>
              <w:end w:w="90" w:type="dxa"/>
            </w:tcMar>
            <w:shd w:fill="F3F5F7"/>
          </w:tcPr>
          <w:p>
            <w:pPr>
              <w:spacing w:after="0"/>
            </w:pPr>
            <w:r>
              <w:rPr>
                <w:sz w:val="14"/>
              </w:rPr>
              <w:t>3</w:t>
            </w:r>
          </w:p>
        </w:tc>
        <w:tc>
          <w:tcPr>
            <w:tcW w:type="dxa" w:w="1694"/>
            <w:vAlign w:val="top"/>
            <w:tcMar>
              <w:top w:w="85" w:type="dxa"/>
              <w:start w:w="90" w:type="dxa"/>
              <w:bottom w:w="85" w:type="dxa"/>
              <w:end w:w="90" w:type="dxa"/>
            </w:tcMar>
            <w:shd w:fill="F3F5F7"/>
          </w:tcPr>
          <w:p>
            <w:pPr>
              <w:spacing w:after="0"/>
            </w:pPr>
            <w:r>
              <w:rPr>
                <w:sz w:val="14"/>
              </w:rPr>
              <w:t>5</w:t>
            </w:r>
          </w:p>
        </w:tc>
        <w:tc>
          <w:tcPr>
            <w:tcW w:type="dxa" w:w="1694"/>
            <w:vAlign w:val="top"/>
            <w:tcMar>
              <w:top w:w="85" w:type="dxa"/>
              <w:start w:w="90" w:type="dxa"/>
              <w:bottom w:w="85" w:type="dxa"/>
              <w:end w:w="90" w:type="dxa"/>
            </w:tcMar>
            <w:shd w:fill="F3F5F7"/>
          </w:tcPr>
          <w:p>
            <w:pPr>
              <w:spacing w:after="0"/>
            </w:pPr>
            <w:r>
              <w:rPr>
                <w:sz w:val="14"/>
              </w:rPr>
              <w:t>5</w:t>
            </w:r>
          </w:p>
        </w:tc>
      </w:tr>
      <w:tr>
        <w:tc>
          <w:tcPr>
            <w:tcW w:type="dxa" w:w="1694"/>
            <w:vAlign w:val="top"/>
            <w:tcMar>
              <w:top w:w="85" w:type="dxa"/>
              <w:start w:w="90" w:type="dxa"/>
              <w:bottom w:w="85" w:type="dxa"/>
              <w:end w:w="90" w:type="dxa"/>
            </w:tcMar>
          </w:tcPr>
          <w:p>
            <w:pPr>
              <w:spacing w:after="0"/>
            </w:pPr>
            <w:r>
              <w:rPr>
                <w:sz w:val="14"/>
              </w:rPr>
              <w:t>Customer/vendor experience</w:t>
            </w:r>
          </w:p>
        </w:tc>
        <w:tc>
          <w:tcPr>
            <w:tcW w:type="dxa" w:w="1694"/>
            <w:vAlign w:val="top"/>
            <w:tcMar>
              <w:top w:w="85" w:type="dxa"/>
              <w:start w:w="90" w:type="dxa"/>
              <w:bottom w:w="85" w:type="dxa"/>
              <w:end w:w="90" w:type="dxa"/>
            </w:tcMar>
          </w:tcPr>
          <w:p>
            <w:pPr>
              <w:spacing w:after="0"/>
            </w:pPr>
            <w:r>
              <w:rPr>
                <w:sz w:val="14"/>
              </w:rPr>
              <w:t>15%</w:t>
            </w:r>
          </w:p>
        </w:tc>
        <w:tc>
          <w:tcPr>
            <w:tcW w:type="dxa" w:w="1694"/>
            <w:vAlign w:val="top"/>
            <w:tcMar>
              <w:top w:w="85" w:type="dxa"/>
              <w:start w:w="90" w:type="dxa"/>
              <w:bottom w:w="85" w:type="dxa"/>
              <w:end w:w="90" w:type="dxa"/>
            </w:tcMar>
          </w:tcPr>
          <w:p>
            <w:pPr>
              <w:spacing w:after="0"/>
            </w:pPr>
            <w:r>
              <w:rPr>
                <w:sz w:val="14"/>
              </w:rPr>
              <w:t>2</w:t>
            </w:r>
          </w:p>
        </w:tc>
        <w:tc>
          <w:tcPr>
            <w:tcW w:type="dxa" w:w="1694"/>
            <w:vAlign w:val="top"/>
            <w:tcMar>
              <w:top w:w="85" w:type="dxa"/>
              <w:start w:w="90" w:type="dxa"/>
              <w:bottom w:w="85" w:type="dxa"/>
              <w:end w:w="90" w:type="dxa"/>
            </w:tcMar>
          </w:tcPr>
          <w:p>
            <w:pPr>
              <w:spacing w:after="0"/>
            </w:pPr>
            <w:r>
              <w:rPr>
                <w:sz w:val="14"/>
              </w:rPr>
              <w:t>4</w:t>
            </w:r>
          </w:p>
        </w:tc>
        <w:tc>
          <w:tcPr>
            <w:tcW w:type="dxa" w:w="1694"/>
            <w:vAlign w:val="top"/>
            <w:tcMar>
              <w:top w:w="85" w:type="dxa"/>
              <w:start w:w="90" w:type="dxa"/>
              <w:bottom w:w="85" w:type="dxa"/>
              <w:end w:w="90" w:type="dxa"/>
            </w:tcMar>
          </w:tcPr>
          <w:p>
            <w:pPr>
              <w:spacing w:after="0"/>
            </w:pPr>
            <w:r>
              <w:rPr>
                <w:sz w:val="14"/>
              </w:rPr>
              <w:t>3</w:t>
            </w:r>
          </w:p>
        </w:tc>
        <w:tc>
          <w:tcPr>
            <w:tcW w:type="dxa" w:w="1694"/>
            <w:vAlign w:val="top"/>
            <w:tcMar>
              <w:top w:w="85" w:type="dxa"/>
              <w:start w:w="90" w:type="dxa"/>
              <w:bottom w:w="85" w:type="dxa"/>
              <w:end w:w="90" w:type="dxa"/>
            </w:tcMar>
          </w:tcPr>
          <w:p>
            <w:pPr>
              <w:spacing w:after="0"/>
            </w:pPr>
            <w:r>
              <w:rPr>
                <w:sz w:val="14"/>
              </w:rPr>
              <w:t>5</w:t>
            </w:r>
          </w:p>
        </w:tc>
      </w:tr>
      <w:tr>
        <w:tc>
          <w:tcPr>
            <w:tcW w:type="dxa" w:w="1694"/>
            <w:vAlign w:val="top"/>
            <w:tcMar>
              <w:top w:w="85" w:type="dxa"/>
              <w:start w:w="90" w:type="dxa"/>
              <w:bottom w:w="85" w:type="dxa"/>
              <w:end w:w="90" w:type="dxa"/>
            </w:tcMar>
            <w:shd w:fill="F3F5F7"/>
          </w:tcPr>
          <w:p>
            <w:pPr>
              <w:spacing w:after="0"/>
            </w:pPr>
            <w:r>
              <w:rPr>
                <w:sz w:val="14"/>
              </w:rPr>
              <w:t>Scalability</w:t>
            </w:r>
          </w:p>
        </w:tc>
        <w:tc>
          <w:tcPr>
            <w:tcW w:type="dxa" w:w="1694"/>
            <w:vAlign w:val="top"/>
            <w:tcMar>
              <w:top w:w="85" w:type="dxa"/>
              <w:start w:w="90" w:type="dxa"/>
              <w:bottom w:w="85" w:type="dxa"/>
              <w:end w:w="90" w:type="dxa"/>
            </w:tcMar>
            <w:shd w:fill="F3F5F7"/>
          </w:tcPr>
          <w:p>
            <w:pPr>
              <w:spacing w:after="0"/>
            </w:pPr>
            <w:r>
              <w:rPr>
                <w:sz w:val="14"/>
              </w:rPr>
              <w:t>15%</w:t>
            </w:r>
          </w:p>
        </w:tc>
        <w:tc>
          <w:tcPr>
            <w:tcW w:type="dxa" w:w="1694"/>
            <w:vAlign w:val="top"/>
            <w:tcMar>
              <w:top w:w="85" w:type="dxa"/>
              <w:start w:w="90" w:type="dxa"/>
              <w:bottom w:w="85" w:type="dxa"/>
              <w:end w:w="90" w:type="dxa"/>
            </w:tcMar>
            <w:shd w:fill="F3F5F7"/>
          </w:tcPr>
          <w:p>
            <w:pPr>
              <w:spacing w:after="0"/>
            </w:pPr>
            <w:r>
              <w:rPr>
                <w:sz w:val="14"/>
              </w:rPr>
              <w:t>1</w:t>
            </w:r>
          </w:p>
        </w:tc>
        <w:tc>
          <w:tcPr>
            <w:tcW w:type="dxa" w:w="1694"/>
            <w:vAlign w:val="top"/>
            <w:tcMar>
              <w:top w:w="85" w:type="dxa"/>
              <w:start w:w="90" w:type="dxa"/>
              <w:bottom w:w="85" w:type="dxa"/>
              <w:end w:w="90" w:type="dxa"/>
            </w:tcMar>
            <w:shd w:fill="F3F5F7"/>
          </w:tcPr>
          <w:p>
            <w:pPr>
              <w:spacing w:after="0"/>
            </w:pPr>
            <w:r>
              <w:rPr>
                <w:sz w:val="14"/>
              </w:rPr>
              <w:t>2</w:t>
            </w:r>
          </w:p>
        </w:tc>
        <w:tc>
          <w:tcPr>
            <w:tcW w:type="dxa" w:w="1694"/>
            <w:vAlign w:val="top"/>
            <w:tcMar>
              <w:top w:w="85" w:type="dxa"/>
              <w:start w:w="90" w:type="dxa"/>
              <w:bottom w:w="85" w:type="dxa"/>
              <w:end w:w="90" w:type="dxa"/>
            </w:tcMar>
            <w:shd w:fill="F3F5F7"/>
          </w:tcPr>
          <w:p>
            <w:pPr>
              <w:spacing w:after="0"/>
            </w:pPr>
            <w:r>
              <w:rPr>
                <w:sz w:val="14"/>
              </w:rPr>
              <w:t>5</w:t>
            </w:r>
          </w:p>
        </w:tc>
        <w:tc>
          <w:tcPr>
            <w:tcW w:type="dxa" w:w="1694"/>
            <w:vAlign w:val="top"/>
            <w:tcMar>
              <w:top w:w="85" w:type="dxa"/>
              <w:start w:w="90" w:type="dxa"/>
              <w:bottom w:w="85" w:type="dxa"/>
              <w:end w:w="90" w:type="dxa"/>
            </w:tcMar>
            <w:shd w:fill="F3F5F7"/>
          </w:tcPr>
          <w:p>
            <w:pPr>
              <w:spacing w:after="0"/>
            </w:pPr>
            <w:r>
              <w:rPr>
                <w:sz w:val="14"/>
              </w:rPr>
              <w:t>5</w:t>
            </w:r>
          </w:p>
        </w:tc>
      </w:tr>
      <w:tr>
        <w:tc>
          <w:tcPr>
            <w:tcW w:type="dxa" w:w="1694"/>
            <w:vAlign w:val="top"/>
            <w:tcMar>
              <w:top w:w="85" w:type="dxa"/>
              <w:start w:w="90" w:type="dxa"/>
              <w:bottom w:w="85" w:type="dxa"/>
              <w:end w:w="90" w:type="dxa"/>
            </w:tcMar>
          </w:tcPr>
          <w:p>
            <w:pPr>
              <w:spacing w:after="0"/>
            </w:pPr>
            <w:r>
              <w:rPr>
                <w:sz w:val="14"/>
              </w:rPr>
              <w:t>Implementation risk</w:t>
            </w:r>
          </w:p>
        </w:tc>
        <w:tc>
          <w:tcPr>
            <w:tcW w:type="dxa" w:w="1694"/>
            <w:vAlign w:val="top"/>
            <w:tcMar>
              <w:top w:w="85" w:type="dxa"/>
              <w:start w:w="90" w:type="dxa"/>
              <w:bottom w:w="85" w:type="dxa"/>
              <w:end w:w="90" w:type="dxa"/>
            </w:tcMar>
          </w:tcPr>
          <w:p>
            <w:pPr>
              <w:spacing w:after="0"/>
            </w:pPr>
            <w:r>
              <w:rPr>
                <w:sz w:val="14"/>
              </w:rPr>
              <w:t>10%</w:t>
            </w:r>
          </w:p>
        </w:tc>
        <w:tc>
          <w:tcPr>
            <w:tcW w:type="dxa" w:w="1694"/>
            <w:vAlign w:val="top"/>
            <w:tcMar>
              <w:top w:w="85" w:type="dxa"/>
              <w:start w:w="90" w:type="dxa"/>
              <w:bottom w:w="85" w:type="dxa"/>
              <w:end w:w="90" w:type="dxa"/>
            </w:tcMar>
          </w:tcPr>
          <w:p>
            <w:pPr>
              <w:spacing w:after="0"/>
            </w:pPr>
            <w:r>
              <w:rPr>
                <w:sz w:val="14"/>
              </w:rPr>
              <w:t>4</w:t>
            </w:r>
          </w:p>
        </w:tc>
        <w:tc>
          <w:tcPr>
            <w:tcW w:type="dxa" w:w="1694"/>
            <w:vAlign w:val="top"/>
            <w:tcMar>
              <w:top w:w="85" w:type="dxa"/>
              <w:start w:w="90" w:type="dxa"/>
              <w:bottom w:w="85" w:type="dxa"/>
              <w:end w:w="90" w:type="dxa"/>
            </w:tcMar>
          </w:tcPr>
          <w:p>
            <w:pPr>
              <w:spacing w:after="0"/>
            </w:pPr>
            <w:r>
              <w:rPr>
                <w:sz w:val="14"/>
              </w:rPr>
              <w:t>4</w:t>
            </w:r>
          </w:p>
        </w:tc>
        <w:tc>
          <w:tcPr>
            <w:tcW w:type="dxa" w:w="1694"/>
            <w:vAlign w:val="top"/>
            <w:tcMar>
              <w:top w:w="85" w:type="dxa"/>
              <w:start w:w="90" w:type="dxa"/>
              <w:bottom w:w="85" w:type="dxa"/>
              <w:end w:w="90" w:type="dxa"/>
            </w:tcMar>
          </w:tcPr>
          <w:p>
            <w:pPr>
              <w:spacing w:after="0"/>
            </w:pPr>
            <w:r>
              <w:rPr>
                <w:sz w:val="14"/>
              </w:rPr>
              <w:t>2</w:t>
            </w:r>
          </w:p>
        </w:tc>
        <w:tc>
          <w:tcPr>
            <w:tcW w:type="dxa" w:w="1694"/>
            <w:vAlign w:val="top"/>
            <w:tcMar>
              <w:top w:w="85" w:type="dxa"/>
              <w:start w:w="90" w:type="dxa"/>
              <w:bottom w:w="85" w:type="dxa"/>
              <w:end w:w="90" w:type="dxa"/>
            </w:tcMar>
          </w:tcPr>
          <w:p>
            <w:pPr>
              <w:spacing w:after="0"/>
            </w:pPr>
            <w:r>
              <w:rPr>
                <w:sz w:val="14"/>
              </w:rPr>
              <w:t>4</w:t>
            </w:r>
          </w:p>
        </w:tc>
      </w:tr>
      <w:tr>
        <w:tc>
          <w:tcPr>
            <w:tcW w:type="dxa" w:w="1694"/>
            <w:vAlign w:val="top"/>
            <w:tcMar>
              <w:top w:w="85" w:type="dxa"/>
              <w:start w:w="90" w:type="dxa"/>
              <w:bottom w:w="85" w:type="dxa"/>
              <w:end w:w="90" w:type="dxa"/>
            </w:tcMar>
            <w:shd w:fill="F3F5F7"/>
          </w:tcPr>
          <w:p>
            <w:pPr>
              <w:spacing w:after="0"/>
            </w:pPr>
            <w:r>
              <w:rPr>
                <w:sz w:val="14"/>
              </w:rPr>
              <w:t>Time to initial benefit</w:t>
            </w:r>
          </w:p>
        </w:tc>
        <w:tc>
          <w:tcPr>
            <w:tcW w:type="dxa" w:w="1694"/>
            <w:vAlign w:val="top"/>
            <w:tcMar>
              <w:top w:w="85" w:type="dxa"/>
              <w:start w:w="90" w:type="dxa"/>
              <w:bottom w:w="85" w:type="dxa"/>
              <w:end w:w="90" w:type="dxa"/>
            </w:tcMar>
            <w:shd w:fill="F3F5F7"/>
          </w:tcPr>
          <w:p>
            <w:pPr>
              <w:spacing w:after="0"/>
            </w:pPr>
            <w:r>
              <w:rPr>
                <w:sz w:val="14"/>
              </w:rPr>
              <w:t>10%</w:t>
            </w:r>
          </w:p>
        </w:tc>
        <w:tc>
          <w:tcPr>
            <w:tcW w:type="dxa" w:w="1694"/>
            <w:vAlign w:val="top"/>
            <w:tcMar>
              <w:top w:w="85" w:type="dxa"/>
              <w:start w:w="90" w:type="dxa"/>
              <w:bottom w:w="85" w:type="dxa"/>
              <w:end w:w="90" w:type="dxa"/>
            </w:tcMar>
            <w:shd w:fill="F3F5F7"/>
          </w:tcPr>
          <w:p>
            <w:pPr>
              <w:spacing w:after="0"/>
            </w:pPr>
            <w:r>
              <w:rPr>
                <w:sz w:val="14"/>
              </w:rPr>
              <w:t>3</w:t>
            </w:r>
          </w:p>
        </w:tc>
        <w:tc>
          <w:tcPr>
            <w:tcW w:type="dxa" w:w="1694"/>
            <w:vAlign w:val="top"/>
            <w:tcMar>
              <w:top w:w="85" w:type="dxa"/>
              <w:start w:w="90" w:type="dxa"/>
              <w:bottom w:w="85" w:type="dxa"/>
              <w:end w:w="90" w:type="dxa"/>
            </w:tcMar>
            <w:shd w:fill="F3F5F7"/>
          </w:tcPr>
          <w:p>
            <w:pPr>
              <w:spacing w:after="0"/>
            </w:pPr>
            <w:r>
              <w:rPr>
                <w:sz w:val="14"/>
              </w:rPr>
              <w:t>5</w:t>
            </w:r>
          </w:p>
        </w:tc>
        <w:tc>
          <w:tcPr>
            <w:tcW w:type="dxa" w:w="1694"/>
            <w:vAlign w:val="top"/>
            <w:tcMar>
              <w:top w:w="85" w:type="dxa"/>
              <w:start w:w="90" w:type="dxa"/>
              <w:bottom w:w="85" w:type="dxa"/>
              <w:end w:w="90" w:type="dxa"/>
            </w:tcMar>
            <w:shd w:fill="F3F5F7"/>
          </w:tcPr>
          <w:p>
            <w:pPr>
              <w:spacing w:after="0"/>
            </w:pPr>
            <w:r>
              <w:rPr>
                <w:sz w:val="14"/>
              </w:rPr>
              <w:t>3</w:t>
            </w:r>
          </w:p>
        </w:tc>
        <w:tc>
          <w:tcPr>
            <w:tcW w:type="dxa" w:w="1694"/>
            <w:vAlign w:val="top"/>
            <w:tcMar>
              <w:top w:w="85" w:type="dxa"/>
              <w:start w:w="90" w:type="dxa"/>
              <w:bottom w:w="85" w:type="dxa"/>
              <w:end w:w="90" w:type="dxa"/>
            </w:tcMar>
            <w:shd w:fill="F3F5F7"/>
          </w:tcPr>
          <w:p>
            <w:pPr>
              <w:spacing w:after="0"/>
            </w:pPr>
            <w:r>
              <w:rPr>
                <w:sz w:val="14"/>
              </w:rPr>
              <w:t>4</w:t>
            </w:r>
          </w:p>
        </w:tc>
      </w:tr>
      <w:tr>
        <w:tc>
          <w:tcPr>
            <w:tcW w:type="dxa" w:w="1694"/>
            <w:vAlign w:val="top"/>
            <w:tcMar>
              <w:top w:w="85" w:type="dxa"/>
              <w:start w:w="90" w:type="dxa"/>
              <w:bottom w:w="85" w:type="dxa"/>
              <w:end w:w="90" w:type="dxa"/>
            </w:tcMar>
          </w:tcPr>
          <w:p>
            <w:pPr>
              <w:spacing w:after="0"/>
            </w:pPr>
            <w:r>
              <w:rPr>
                <w:sz w:val="14"/>
              </w:rPr>
              <w:t>Cost (low cost = high score)</w:t>
            </w:r>
          </w:p>
        </w:tc>
        <w:tc>
          <w:tcPr>
            <w:tcW w:type="dxa" w:w="1694"/>
            <w:vAlign w:val="top"/>
            <w:tcMar>
              <w:top w:w="85" w:type="dxa"/>
              <w:start w:w="90" w:type="dxa"/>
              <w:bottom w:w="85" w:type="dxa"/>
              <w:end w:w="90" w:type="dxa"/>
            </w:tcMar>
          </w:tcPr>
          <w:p>
            <w:pPr>
              <w:spacing w:after="0"/>
            </w:pPr>
            <w:r>
              <w:rPr>
                <w:sz w:val="14"/>
              </w:rPr>
              <w:t>5%</w:t>
            </w:r>
          </w:p>
        </w:tc>
        <w:tc>
          <w:tcPr>
            <w:tcW w:type="dxa" w:w="1694"/>
            <w:vAlign w:val="top"/>
            <w:tcMar>
              <w:top w:w="85" w:type="dxa"/>
              <w:start w:w="90" w:type="dxa"/>
              <w:bottom w:w="85" w:type="dxa"/>
              <w:end w:w="90" w:type="dxa"/>
            </w:tcMar>
          </w:tcPr>
          <w:p>
            <w:pPr>
              <w:spacing w:after="0"/>
            </w:pPr>
            <w:r>
              <w:rPr>
                <w:sz w:val="14"/>
              </w:rPr>
              <w:t>3</w:t>
            </w:r>
          </w:p>
        </w:tc>
        <w:tc>
          <w:tcPr>
            <w:tcW w:type="dxa" w:w="1694"/>
            <w:vAlign w:val="top"/>
            <w:tcMar>
              <w:top w:w="85" w:type="dxa"/>
              <w:start w:w="90" w:type="dxa"/>
              <w:bottom w:w="85" w:type="dxa"/>
              <w:end w:w="90" w:type="dxa"/>
            </w:tcMar>
          </w:tcPr>
          <w:p>
            <w:pPr>
              <w:spacing w:after="0"/>
            </w:pPr>
            <w:r>
              <w:rPr>
                <w:sz w:val="14"/>
              </w:rPr>
              <w:t>4</w:t>
            </w:r>
          </w:p>
        </w:tc>
        <w:tc>
          <w:tcPr>
            <w:tcW w:type="dxa" w:w="1694"/>
            <w:vAlign w:val="top"/>
            <w:tcMar>
              <w:top w:w="85" w:type="dxa"/>
              <w:start w:w="90" w:type="dxa"/>
              <w:bottom w:w="85" w:type="dxa"/>
              <w:end w:w="90" w:type="dxa"/>
            </w:tcMar>
          </w:tcPr>
          <w:p>
            <w:pPr>
              <w:spacing w:after="0"/>
            </w:pPr>
            <w:r>
              <w:rPr>
                <w:sz w:val="14"/>
              </w:rPr>
              <w:t>2</w:t>
            </w:r>
          </w:p>
        </w:tc>
        <w:tc>
          <w:tcPr>
            <w:tcW w:type="dxa" w:w="1694"/>
            <w:vAlign w:val="top"/>
            <w:tcMar>
              <w:top w:w="85" w:type="dxa"/>
              <w:start w:w="90" w:type="dxa"/>
              <w:bottom w:w="85" w:type="dxa"/>
              <w:end w:w="90" w:type="dxa"/>
            </w:tcMar>
          </w:tcPr>
          <w:p>
            <w:pPr>
              <w:spacing w:after="0"/>
            </w:pPr>
            <w:r>
              <w:rPr>
                <w:sz w:val="14"/>
              </w:rPr>
              <w:t>3</w:t>
            </w:r>
          </w:p>
        </w:tc>
      </w:tr>
      <w:tr>
        <w:tc>
          <w:tcPr>
            <w:tcW w:type="dxa" w:w="1694"/>
            <w:vAlign w:val="top"/>
            <w:tcMar>
              <w:top w:w="85" w:type="dxa"/>
              <w:start w:w="90" w:type="dxa"/>
              <w:bottom w:w="85" w:type="dxa"/>
              <w:end w:w="90" w:type="dxa"/>
            </w:tcMar>
            <w:shd w:fill="F3F5F7"/>
          </w:tcPr>
          <w:p>
            <w:pPr>
              <w:spacing w:after="0"/>
            </w:pPr>
            <w:r>
              <w:rPr>
                <w:sz w:val="14"/>
              </w:rPr>
              <w:t>Weighted score / 5</w:t>
            </w:r>
          </w:p>
        </w:tc>
        <w:tc>
          <w:tcPr>
            <w:tcW w:type="dxa" w:w="1694"/>
            <w:vAlign w:val="top"/>
            <w:tcMar>
              <w:top w:w="85" w:type="dxa"/>
              <w:start w:w="90" w:type="dxa"/>
              <w:bottom w:w="85" w:type="dxa"/>
              <w:end w:w="90" w:type="dxa"/>
            </w:tcMar>
            <w:shd w:fill="F3F5F7"/>
          </w:tcPr>
          <w:p>
            <w:pPr>
              <w:spacing w:after="0"/>
            </w:pPr>
            <w:r>
              <w:rPr>
                <w:sz w:val="14"/>
              </w:rPr>
              <w:t>100%</w:t>
            </w:r>
          </w:p>
        </w:tc>
        <w:tc>
          <w:tcPr>
            <w:tcW w:type="dxa" w:w="1694"/>
            <w:vAlign w:val="top"/>
            <w:tcMar>
              <w:top w:w="85" w:type="dxa"/>
              <w:start w:w="90" w:type="dxa"/>
              <w:bottom w:w="85" w:type="dxa"/>
              <w:end w:w="90" w:type="dxa"/>
            </w:tcMar>
            <w:shd w:fill="F3F5F7"/>
          </w:tcPr>
          <w:p>
            <w:pPr>
              <w:spacing w:after="0"/>
            </w:pPr>
            <w:r>
              <w:rPr>
                <w:sz w:val="14"/>
              </w:rPr>
              <w:t>2.20</w:t>
            </w:r>
          </w:p>
        </w:tc>
        <w:tc>
          <w:tcPr>
            <w:tcW w:type="dxa" w:w="1694"/>
            <w:vAlign w:val="top"/>
            <w:tcMar>
              <w:top w:w="85" w:type="dxa"/>
              <w:start w:w="90" w:type="dxa"/>
              <w:bottom w:w="85" w:type="dxa"/>
              <w:end w:w="90" w:type="dxa"/>
            </w:tcMar>
            <w:shd w:fill="F3F5F7"/>
          </w:tcPr>
          <w:p>
            <w:pPr>
              <w:spacing w:after="0"/>
            </w:pPr>
            <w:r>
              <w:rPr>
                <w:sz w:val="14"/>
              </w:rPr>
              <w:t>3.65</w:t>
            </w:r>
          </w:p>
        </w:tc>
        <w:tc>
          <w:tcPr>
            <w:tcW w:type="dxa" w:w="1694"/>
            <w:vAlign w:val="top"/>
            <w:tcMar>
              <w:top w:w="85" w:type="dxa"/>
              <w:start w:w="90" w:type="dxa"/>
              <w:bottom w:w="85" w:type="dxa"/>
              <w:end w:w="90" w:type="dxa"/>
            </w:tcMar>
            <w:shd w:fill="F3F5F7"/>
          </w:tcPr>
          <w:p>
            <w:pPr>
              <w:spacing w:after="0"/>
            </w:pPr>
            <w:r>
              <w:rPr>
                <w:sz w:val="14"/>
              </w:rPr>
              <w:t>3.65</w:t>
            </w:r>
          </w:p>
        </w:tc>
        <w:tc>
          <w:tcPr>
            <w:tcW w:type="dxa" w:w="1694"/>
            <w:vAlign w:val="top"/>
            <w:tcMar>
              <w:top w:w="85" w:type="dxa"/>
              <w:start w:w="90" w:type="dxa"/>
              <w:bottom w:w="85" w:type="dxa"/>
              <w:end w:w="90" w:type="dxa"/>
            </w:tcMar>
            <w:shd w:fill="F3F5F7"/>
          </w:tcPr>
          <w:p>
            <w:pPr>
              <w:spacing w:after="0"/>
            </w:pPr>
            <w:r>
              <w:rPr>
                <w:sz w:val="14"/>
              </w:rPr>
              <w:t>4.75</w:t>
            </w:r>
          </w:p>
        </w:tc>
      </w:tr>
    </w:tbl>
    <w:p>
      <w:pPr>
        <w:pStyle w:val="Caption"/>
      </w:pPr>
      <w:r>
        <w:t>Scoring is an analytical judgement based on the case facts, not a substitute for vendor due diligence or a quantified business case.</w:t>
      </w:r>
    </w:p>
    <w:p>
      <w:pPr>
        <w:pStyle w:val="Heading2"/>
        <w:keepNext/>
      </w:pPr>
      <w:r>
        <w:t>6.1 Option conclusions</w:t>
      </w:r>
    </w:p>
    <w:p>
      <w:pPr>
        <w:pStyle w:val="ListBullet"/>
      </w:pPr>
      <w:r>
        <w:t>Option A—add staff and spreadsheets: may reduce backlog temporarily but increases key-person, version-control and scaling risk. Not recommended.</w:t>
      </w:r>
    </w:p>
    <w:p>
      <w:pPr>
        <w:pStyle w:val="ListBullet"/>
      </w:pPr>
      <w:r>
        <w:t>Option B—process and controls only: essential as an immediate stabilisation step, but manual matching will not scale with transaction growth.</w:t>
      </w:r>
    </w:p>
    <w:p>
      <w:pPr>
        <w:pStyle w:val="ListBullet"/>
      </w:pPr>
      <w:r>
        <w:t>Option C—automation first: offers matching capacity but risks encoding inconsistent identifiers, poor master data and weak ownership. Not recommended as a standalone approach.</w:t>
      </w:r>
    </w:p>
    <w:p>
      <w:pPr>
        <w:pStyle w:val="ListBullet"/>
      </w:pPr>
      <w:r>
        <w:t>Option D—process, data and phased automation: best balances durable control, speed and experience. Recommended.</w:t>
      </w:r>
    </w:p>
    <w:p>
      <w:pPr>
        <w:pStyle w:val="Heading1"/>
        <w:keepNext/>
      </w:pPr>
      <w:r>
        <w:t>7. Recommended target operating model</w:t>
      </w:r>
    </w:p>
    <w:p>
      <w:pPr>
        <w:pStyle w:val="Heading2"/>
        <w:keepNext/>
      </w:pPr>
      <w:r>
        <w:t>7.1 Common data model</w:t>
      </w:r>
    </w:p>
    <w:p>
      <w:pPr>
        <w:pStyle w:val="ListBullet"/>
      </w:pPr>
      <w:r>
        <w:t>Create the CTK at order initiation and propagate it to payment, shipment, refund, payable, settlement and GL events. Use child suffixes for order lines, split shipments, partial refunds and settlement batches.</w:t>
      </w:r>
    </w:p>
    <w:p>
      <w:pPr>
        <w:pStyle w:val="ListBullet"/>
      </w:pPr>
      <w:r>
        <w:t>Maintain a governed cross-reference table for legacy/source IDs. Reject or quarantine events missing mandatory keys; do not silently invent mappings.</w:t>
      </w:r>
    </w:p>
    <w:p>
      <w:pPr>
        <w:pStyle w:val="ListBullet"/>
      </w:pPr>
      <w:r>
        <w:t>Define event status, amount, currency, timestamp, counterparty and source-system fields consistently. Store event time and posting time separately.</w:t>
      </w:r>
    </w:p>
    <w:p>
      <w:pPr>
        <w:pStyle w:val="ListBullet"/>
      </w:pPr>
      <w:r>
        <w:t>Introduce data-quality controls for completeness, uniqueness, validity and timeliness, with named data owners and thresholds.</w:t>
      </w:r>
    </w:p>
    <w:p>
      <w:pPr>
        <w:pStyle w:val="Heading2"/>
        <w:keepNext/>
      </w:pPr>
      <w:r>
        <w:t>7.2 Reconciliation and case management</w:t>
      </w:r>
    </w:p>
    <w:p>
      <w:pPr>
        <w:pStyle w:val="ListBullet"/>
      </w:pPr>
      <w:r>
        <w:t>Match in layers: exact CTK and amount; deterministic one-to-many/batch rules; tolerances for timing/fees; then controlled fuzzy matching. Never allow fuzzy logic to post irreversible cash entries without defined confidence and approval.</w:t>
      </w:r>
    </w:p>
    <w:p>
      <w:pPr>
        <w:pStyle w:val="ListBullet"/>
      </w:pPr>
      <w:r>
        <w:t>Generate one authoritative exception case with severity, financial value, root-cause code, owner, SLA, evidence and escalation. Integrate notifications, but do not use email as the system of record.</w:t>
      </w:r>
    </w:p>
    <w:p>
      <w:pPr>
        <w:pStyle w:val="ListBullet"/>
      </w:pPr>
      <w:r>
        <w:t>Separate operational completion from financial settlement. Dashboards should show initiated, accepted, settled, failed/returned and reconciled statuses.</w:t>
      </w:r>
    </w:p>
    <w:p>
      <w:pPr>
        <w:pStyle w:val="ListBullet"/>
      </w:pPr>
      <w:r>
        <w:t>Provide audit-ready logs for source records, rule version, match decision, manual action, approval and final accounting treatment.</w:t>
      </w:r>
    </w:p>
    <w:p>
      <w:pPr>
        <w:pStyle w:val="Heading2"/>
        <w:keepNext/>
      </w:pPr>
      <w:r>
        <w:t>7.3 Service-preserving refund design</w:t>
      </w:r>
    </w:p>
    <w:p>
      <w:pPr>
        <w:pStyle w:val="BodyText"/>
      </w:pPr>
      <w:r>
        <w:t>A stricter control environment need not slow legitimate refunds. SwiftCart should define a straight-through lane for low-risk requests that pass eligibility, value, velocity and original-payment checks. The system can approve and submit these immediately within delegated limits. Only high-risk exceptions require manual review. Customers should receive a clear status and expected completion date, with automatic escalation if the gateway does not confirm submission or settlement.</w:t>
      </w:r>
    </w:p>
    <w:p>
      <w:pPr>
        <w:pStyle w:val="Heading2"/>
        <w:keepNext/>
      </w:pPr>
      <w:r>
        <w:t>7.4 Governance and accountability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vAlign w:val="center"/>
            <w:tcMar>
              <w:top w:w="90" w:type="dxa"/>
              <w:start w:w="90" w:type="dxa"/>
              <w:bottom w:w="90" w:type="dxa"/>
              <w:end w:w="90" w:type="dxa"/>
            </w:tcMar>
          </w:tcPr>
          <w:p>
            <w:pPr>
              <w:jc w:val="left"/>
            </w:pPr>
            <w:r>
              <w:rPr>
                <w:b/>
                <w:color w:val="FFFFFF"/>
                <w:sz w:val="16"/>
              </w:rPr>
              <w:t>Role</w:t>
            </w:r>
          </w:p>
        </w:tc>
        <w:tc>
          <w:tcPr>
            <w:tcW w:type="dxa" w:w="5083"/>
            <w:shd w:fill="17324D"/>
            <w:vAlign w:val="center"/>
            <w:tcMar>
              <w:top w:w="90" w:type="dxa"/>
              <w:start w:w="90" w:type="dxa"/>
              <w:bottom w:w="90" w:type="dxa"/>
              <w:end w:w="90" w:type="dxa"/>
            </w:tcMar>
          </w:tcPr>
          <w:p>
            <w:pPr>
              <w:jc w:val="left"/>
            </w:pPr>
            <w:r>
              <w:rPr>
                <w:b/>
                <w:color w:val="FFFFFF"/>
                <w:sz w:val="16"/>
              </w:rPr>
              <w:t>Accountability</w:t>
            </w:r>
          </w:p>
        </w:tc>
      </w:tr>
      <w:tr>
        <w:tc>
          <w:tcPr>
            <w:tcW w:type="dxa" w:w="5083"/>
            <w:vAlign w:val="top"/>
            <w:tcMar>
              <w:top w:w="85" w:type="dxa"/>
              <w:start w:w="90" w:type="dxa"/>
              <w:bottom w:w="85" w:type="dxa"/>
              <w:end w:w="90" w:type="dxa"/>
            </w:tcMar>
          </w:tcPr>
          <w:p>
            <w:pPr>
              <w:spacing w:after="0"/>
            </w:pPr>
            <w:r>
              <w:rPr>
                <w:sz w:val="16"/>
              </w:rPr>
              <w:t>Executive sponsor: CFO</w:t>
            </w:r>
          </w:p>
        </w:tc>
        <w:tc>
          <w:tcPr>
            <w:tcW w:type="dxa" w:w="5083"/>
            <w:vAlign w:val="top"/>
            <w:tcMar>
              <w:top w:w="85" w:type="dxa"/>
              <w:start w:w="90" w:type="dxa"/>
              <w:bottom w:w="85" w:type="dxa"/>
              <w:end w:w="90" w:type="dxa"/>
            </w:tcMar>
          </w:tcPr>
          <w:p>
            <w:pPr>
              <w:spacing w:after="0"/>
            </w:pPr>
            <w:r>
              <w:rPr>
                <w:sz w:val="16"/>
              </w:rPr>
              <w:t>Risk appetite, funding, cross-functional decisions and benefit ownership</w:t>
            </w:r>
          </w:p>
        </w:tc>
      </w:tr>
      <w:tr>
        <w:tc>
          <w:tcPr>
            <w:tcW w:type="dxa" w:w="5083"/>
            <w:vAlign w:val="top"/>
            <w:tcMar>
              <w:top w:w="85" w:type="dxa"/>
              <w:start w:w="90" w:type="dxa"/>
              <w:bottom w:w="85" w:type="dxa"/>
              <w:end w:w="90" w:type="dxa"/>
            </w:tcMar>
            <w:shd w:fill="F3F5F7"/>
          </w:tcPr>
          <w:p>
            <w:pPr>
              <w:spacing w:after="0"/>
            </w:pPr>
            <w:r>
              <w:rPr>
                <w:sz w:val="16"/>
              </w:rPr>
              <w:t>Programme owner: Financial Controller</w:t>
            </w:r>
          </w:p>
        </w:tc>
        <w:tc>
          <w:tcPr>
            <w:tcW w:type="dxa" w:w="5083"/>
            <w:vAlign w:val="top"/>
            <w:tcMar>
              <w:top w:w="85" w:type="dxa"/>
              <w:start w:w="90" w:type="dxa"/>
              <w:bottom w:w="85" w:type="dxa"/>
              <w:end w:w="90" w:type="dxa"/>
            </w:tcMar>
            <w:shd w:fill="F3F5F7"/>
          </w:tcPr>
          <w:p>
            <w:pPr>
              <w:spacing w:after="0"/>
            </w:pPr>
            <w:r>
              <w:rPr>
                <w:sz w:val="16"/>
              </w:rPr>
              <w:t>End-to-end transformation, close, policy and control effectiveness</w:t>
            </w:r>
          </w:p>
        </w:tc>
      </w:tr>
      <w:tr>
        <w:tc>
          <w:tcPr>
            <w:tcW w:type="dxa" w:w="5083"/>
            <w:vAlign w:val="top"/>
            <w:tcMar>
              <w:top w:w="85" w:type="dxa"/>
              <w:start w:w="90" w:type="dxa"/>
              <w:bottom w:w="85" w:type="dxa"/>
              <w:end w:w="90" w:type="dxa"/>
            </w:tcMar>
          </w:tcPr>
          <w:p>
            <w:pPr>
              <w:spacing w:after="0"/>
            </w:pPr>
            <w:r>
              <w:rPr>
                <w:sz w:val="16"/>
              </w:rPr>
              <w:t>Process owner: Head of Finance Operations</w:t>
            </w:r>
          </w:p>
        </w:tc>
        <w:tc>
          <w:tcPr>
            <w:tcW w:type="dxa" w:w="5083"/>
            <w:vAlign w:val="top"/>
            <w:tcMar>
              <w:top w:w="85" w:type="dxa"/>
              <w:start w:w="90" w:type="dxa"/>
              <w:bottom w:w="85" w:type="dxa"/>
              <w:end w:w="90" w:type="dxa"/>
            </w:tcMar>
          </w:tcPr>
          <w:p>
            <w:pPr>
              <w:spacing w:after="0"/>
            </w:pPr>
            <w:r>
              <w:rPr>
                <w:sz w:val="16"/>
              </w:rPr>
              <w:t>Daily reconciliation, exception SLAs, seller settlement and continuous improvement</w:t>
            </w:r>
          </w:p>
        </w:tc>
      </w:tr>
      <w:tr>
        <w:tc>
          <w:tcPr>
            <w:tcW w:type="dxa" w:w="5083"/>
            <w:vAlign w:val="top"/>
            <w:tcMar>
              <w:top w:w="85" w:type="dxa"/>
              <w:start w:w="90" w:type="dxa"/>
              <w:bottom w:w="85" w:type="dxa"/>
              <w:end w:w="90" w:type="dxa"/>
            </w:tcMar>
            <w:shd w:fill="F3F5F7"/>
          </w:tcPr>
          <w:p>
            <w:pPr>
              <w:spacing w:after="0"/>
            </w:pPr>
            <w:r>
              <w:rPr>
                <w:sz w:val="16"/>
              </w:rPr>
              <w:t>Data owner: Finance Data Lead</w:t>
            </w:r>
          </w:p>
        </w:tc>
        <w:tc>
          <w:tcPr>
            <w:tcW w:type="dxa" w:w="5083"/>
            <w:vAlign w:val="top"/>
            <w:tcMar>
              <w:top w:w="85" w:type="dxa"/>
              <w:start w:w="90" w:type="dxa"/>
              <w:bottom w:w="85" w:type="dxa"/>
              <w:end w:w="90" w:type="dxa"/>
            </w:tcMar>
            <w:shd w:fill="F3F5F7"/>
          </w:tcPr>
          <w:p>
            <w:pPr>
              <w:spacing w:after="0"/>
            </w:pPr>
            <w:r>
              <w:rPr>
                <w:sz w:val="16"/>
              </w:rPr>
              <w:t>CTK, data definitions, lineage and quality thresholds</w:t>
            </w:r>
          </w:p>
        </w:tc>
      </w:tr>
      <w:tr>
        <w:tc>
          <w:tcPr>
            <w:tcW w:type="dxa" w:w="5083"/>
            <w:vAlign w:val="top"/>
            <w:tcMar>
              <w:top w:w="85" w:type="dxa"/>
              <w:start w:w="90" w:type="dxa"/>
              <w:bottom w:w="85" w:type="dxa"/>
              <w:end w:w="90" w:type="dxa"/>
            </w:tcMar>
          </w:tcPr>
          <w:p>
            <w:pPr>
              <w:spacing w:after="0"/>
            </w:pPr>
            <w:r>
              <w:rPr>
                <w:sz w:val="16"/>
              </w:rPr>
              <w:t>Technology owner: CTO delegate</w:t>
            </w:r>
          </w:p>
        </w:tc>
        <w:tc>
          <w:tcPr>
            <w:tcW w:type="dxa" w:w="5083"/>
            <w:vAlign w:val="top"/>
            <w:tcMar>
              <w:top w:w="85" w:type="dxa"/>
              <w:start w:w="90" w:type="dxa"/>
              <w:bottom w:w="85" w:type="dxa"/>
              <w:end w:w="90" w:type="dxa"/>
            </w:tcMar>
          </w:tcPr>
          <w:p>
            <w:pPr>
              <w:spacing w:after="0"/>
            </w:pPr>
            <w:r>
              <w:rPr>
                <w:sz w:val="16"/>
              </w:rPr>
              <w:t>Integration, platform reliability, security and release control</w:t>
            </w:r>
          </w:p>
        </w:tc>
      </w:tr>
      <w:tr>
        <w:tc>
          <w:tcPr>
            <w:tcW w:type="dxa" w:w="5083"/>
            <w:vAlign w:val="top"/>
            <w:tcMar>
              <w:top w:w="85" w:type="dxa"/>
              <w:start w:w="90" w:type="dxa"/>
              <w:bottom w:w="85" w:type="dxa"/>
              <w:end w:w="90" w:type="dxa"/>
            </w:tcMar>
            <w:shd w:fill="F3F5F7"/>
          </w:tcPr>
          <w:p>
            <w:pPr>
              <w:spacing w:after="0"/>
            </w:pPr>
            <w:r>
              <w:rPr>
                <w:sz w:val="16"/>
              </w:rPr>
              <w:t>Customer Service owner</w:t>
            </w:r>
          </w:p>
        </w:tc>
        <w:tc>
          <w:tcPr>
            <w:tcW w:type="dxa" w:w="5083"/>
            <w:vAlign w:val="top"/>
            <w:tcMar>
              <w:top w:w="85" w:type="dxa"/>
              <w:start w:w="90" w:type="dxa"/>
              <w:bottom w:w="85" w:type="dxa"/>
              <w:end w:w="90" w:type="dxa"/>
            </w:tcMar>
            <w:shd w:fill="F3F5F7"/>
          </w:tcPr>
          <w:p>
            <w:pPr>
              <w:spacing w:after="0"/>
            </w:pPr>
            <w:r>
              <w:rPr>
                <w:sz w:val="16"/>
              </w:rPr>
              <w:t>Refund service standards, communication and complaint feedback</w:t>
            </w:r>
          </w:p>
        </w:tc>
      </w:tr>
      <w:tr>
        <w:tc>
          <w:tcPr>
            <w:tcW w:type="dxa" w:w="5083"/>
            <w:vAlign w:val="top"/>
            <w:tcMar>
              <w:top w:w="85" w:type="dxa"/>
              <w:start w:w="90" w:type="dxa"/>
              <w:bottom w:w="85" w:type="dxa"/>
              <w:end w:w="90" w:type="dxa"/>
            </w:tcMar>
          </w:tcPr>
          <w:p>
            <w:pPr>
              <w:spacing w:after="0"/>
            </w:pPr>
            <w:r>
              <w:rPr>
                <w:sz w:val="16"/>
              </w:rPr>
              <w:t>Logistics / Vendor Operations</w:t>
            </w:r>
          </w:p>
        </w:tc>
        <w:tc>
          <w:tcPr>
            <w:tcW w:type="dxa" w:w="5083"/>
            <w:vAlign w:val="top"/>
            <w:tcMar>
              <w:top w:w="85" w:type="dxa"/>
              <w:start w:w="90" w:type="dxa"/>
              <w:bottom w:w="85" w:type="dxa"/>
              <w:end w:w="90" w:type="dxa"/>
            </w:tcMar>
          </w:tcPr>
          <w:p>
            <w:pPr>
              <w:spacing w:after="0"/>
            </w:pPr>
            <w:r>
              <w:rPr>
                <w:sz w:val="16"/>
              </w:rPr>
              <w:t>Shipment evidence, invoice validation and vendor query resolution</w:t>
            </w:r>
          </w:p>
        </w:tc>
      </w:tr>
      <w:tr>
        <w:tc>
          <w:tcPr>
            <w:tcW w:type="dxa" w:w="5083"/>
            <w:vAlign w:val="top"/>
            <w:tcMar>
              <w:top w:w="85" w:type="dxa"/>
              <w:start w:w="90" w:type="dxa"/>
              <w:bottom w:w="85" w:type="dxa"/>
              <w:end w:w="90" w:type="dxa"/>
            </w:tcMar>
            <w:shd w:fill="F3F5F7"/>
          </w:tcPr>
          <w:p>
            <w:pPr>
              <w:spacing w:after="0"/>
            </w:pPr>
            <w:r>
              <w:rPr>
                <w:sz w:val="16"/>
              </w:rPr>
              <w:t>Internal Audit</w:t>
            </w:r>
          </w:p>
        </w:tc>
        <w:tc>
          <w:tcPr>
            <w:tcW w:type="dxa" w:w="5083"/>
            <w:vAlign w:val="top"/>
            <w:tcMar>
              <w:top w:w="85" w:type="dxa"/>
              <w:start w:w="90" w:type="dxa"/>
              <w:bottom w:w="85" w:type="dxa"/>
              <w:end w:w="90" w:type="dxa"/>
            </w:tcMar>
            <w:shd w:fill="F3F5F7"/>
          </w:tcPr>
          <w:p>
            <w:pPr>
              <w:spacing w:after="0"/>
            </w:pPr>
            <w:r>
              <w:rPr>
                <w:sz w:val="16"/>
              </w:rPr>
              <w:t>Independent design advice and post-implementation assurance; not control ownership</w:t>
            </w:r>
          </w:p>
        </w:tc>
      </w:tr>
    </w:tbl>
    <w:p>
      <w:pPr>
        <w:pStyle w:val="Heading1"/>
        <w:keepNext/>
      </w:pPr>
      <w:r>
        <w:t>8. Implementation roadmap</w:t>
      </w:r>
    </w:p>
    <w:p>
      <w:pPr>
        <w:pStyle w:val="Caption"/>
      </w:pPr>
      <w:r>
        <w:t>Figure 2. Phased roadmap and decision gates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vAlign w:val="center"/>
            <w:tcMar>
              <w:top w:w="90" w:type="dxa"/>
              <w:start w:w="90" w:type="dxa"/>
              <w:bottom w:w="90" w:type="dxa"/>
              <w:end w:w="90" w:type="dxa"/>
            </w:tcMar>
          </w:tcPr>
          <w:p>
            <w:pPr>
              <w:jc w:val="left"/>
            </w:pPr>
            <w:r>
              <w:rPr>
                <w:b/>
                <w:color w:val="FFFFFF"/>
                <w:sz w:val="14"/>
              </w:rPr>
              <w:t>Phase</w:t>
            </w:r>
          </w:p>
        </w:tc>
        <w:tc>
          <w:tcPr>
            <w:tcW w:type="dxa" w:w="2541"/>
            <w:shd w:fill="17324D"/>
            <w:vAlign w:val="center"/>
            <w:tcMar>
              <w:top w:w="90" w:type="dxa"/>
              <w:start w:w="90" w:type="dxa"/>
              <w:bottom w:w="90" w:type="dxa"/>
              <w:end w:w="90" w:type="dxa"/>
            </w:tcMar>
          </w:tcPr>
          <w:p>
            <w:pPr>
              <w:jc w:val="left"/>
            </w:pPr>
            <w:r>
              <w:rPr>
                <w:b/>
                <w:color w:val="FFFFFF"/>
                <w:sz w:val="14"/>
              </w:rPr>
              <w:t>Timing</w:t>
            </w:r>
          </w:p>
        </w:tc>
        <w:tc>
          <w:tcPr>
            <w:tcW w:type="dxa" w:w="2541"/>
            <w:shd w:fill="17324D"/>
            <w:vAlign w:val="center"/>
            <w:tcMar>
              <w:top w:w="90" w:type="dxa"/>
              <w:start w:w="90" w:type="dxa"/>
              <w:bottom w:w="90" w:type="dxa"/>
              <w:end w:w="90" w:type="dxa"/>
            </w:tcMar>
          </w:tcPr>
          <w:p>
            <w:pPr>
              <w:jc w:val="left"/>
            </w:pPr>
            <w:r>
              <w:rPr>
                <w:b/>
                <w:color w:val="FFFFFF"/>
                <w:sz w:val="14"/>
              </w:rPr>
              <w:t>Principal actions</w:t>
            </w:r>
          </w:p>
        </w:tc>
        <w:tc>
          <w:tcPr>
            <w:tcW w:type="dxa" w:w="2541"/>
            <w:shd w:fill="17324D"/>
            <w:vAlign w:val="center"/>
            <w:tcMar>
              <w:top w:w="90" w:type="dxa"/>
              <w:start w:w="90" w:type="dxa"/>
              <w:bottom w:w="90" w:type="dxa"/>
              <w:end w:w="90" w:type="dxa"/>
            </w:tcMar>
          </w:tcPr>
          <w:p>
            <w:pPr>
              <w:jc w:val="left"/>
            </w:pPr>
            <w:r>
              <w:rPr>
                <w:b/>
                <w:color w:val="FFFFFF"/>
                <w:sz w:val="14"/>
              </w:rPr>
              <w:t>Exit gate / milestone</w:t>
            </w:r>
          </w:p>
        </w:tc>
      </w:tr>
      <w:tr>
        <w:tc>
          <w:tcPr>
            <w:tcW w:type="dxa" w:w="2541"/>
            <w:vAlign w:val="top"/>
            <w:tcMar>
              <w:top w:w="85" w:type="dxa"/>
              <w:start w:w="90" w:type="dxa"/>
              <w:bottom w:w="85" w:type="dxa"/>
              <w:end w:w="90" w:type="dxa"/>
            </w:tcMar>
          </w:tcPr>
          <w:p>
            <w:pPr>
              <w:spacing w:after="0"/>
            </w:pPr>
            <w:r>
              <w:rPr>
                <w:sz w:val="14"/>
              </w:rPr>
              <w:t>0. Mobilise &amp; baseline</w:t>
            </w:r>
          </w:p>
        </w:tc>
        <w:tc>
          <w:tcPr>
            <w:tcW w:type="dxa" w:w="2541"/>
            <w:vAlign w:val="top"/>
            <w:tcMar>
              <w:top w:w="85" w:type="dxa"/>
              <w:start w:w="90" w:type="dxa"/>
              <w:bottom w:w="85" w:type="dxa"/>
              <w:end w:w="90" w:type="dxa"/>
            </w:tcMar>
          </w:tcPr>
          <w:p>
            <w:pPr>
              <w:spacing w:after="0"/>
            </w:pPr>
            <w:r>
              <w:rPr>
                <w:sz w:val="14"/>
              </w:rPr>
              <w:t>Weeks 0–4</w:t>
            </w:r>
          </w:p>
        </w:tc>
        <w:tc>
          <w:tcPr>
            <w:tcW w:type="dxa" w:w="2541"/>
            <w:vAlign w:val="top"/>
            <w:tcMar>
              <w:top w:w="85" w:type="dxa"/>
              <w:start w:w="90" w:type="dxa"/>
              <w:bottom w:w="85" w:type="dxa"/>
              <w:end w:w="90" w:type="dxa"/>
            </w:tcMar>
          </w:tcPr>
          <w:p>
            <w:pPr>
              <w:spacing w:after="0"/>
            </w:pPr>
            <w:r>
              <w:rPr>
                <w:sz w:val="14"/>
              </w:rPr>
              <w:t>Appoint owners; freeze uncontrolled bank changes; create daily control room; inventory systems/interfaces; quantify open count/value; measure staffing and losses; segment backlog</w:t>
            </w:r>
          </w:p>
        </w:tc>
        <w:tc>
          <w:tcPr>
            <w:tcW w:type="dxa" w:w="2541"/>
            <w:vAlign w:val="top"/>
            <w:tcMar>
              <w:top w:w="85" w:type="dxa"/>
              <w:start w:w="90" w:type="dxa"/>
              <w:bottom w:w="85" w:type="dxa"/>
              <w:end w:w="90" w:type="dxa"/>
            </w:tcMar>
          </w:tcPr>
          <w:p>
            <w:pPr>
              <w:spacing w:after="0"/>
            </w:pPr>
            <w:r>
              <w:rPr>
                <w:sz w:val="14"/>
              </w:rPr>
              <w:t>Baselines signed off; top-risk items contained; governance and data owners active</w:t>
            </w:r>
          </w:p>
        </w:tc>
      </w:tr>
      <w:tr>
        <w:tc>
          <w:tcPr>
            <w:tcW w:type="dxa" w:w="2541"/>
            <w:vAlign w:val="top"/>
            <w:tcMar>
              <w:top w:w="85" w:type="dxa"/>
              <w:start w:w="90" w:type="dxa"/>
              <w:bottom w:w="85" w:type="dxa"/>
              <w:end w:w="90" w:type="dxa"/>
            </w:tcMar>
            <w:shd w:fill="F3F5F7"/>
          </w:tcPr>
          <w:p>
            <w:pPr>
              <w:spacing w:after="0"/>
            </w:pPr>
            <w:r>
              <w:rPr>
                <w:sz w:val="14"/>
              </w:rPr>
              <w:t>1. Stabilise &amp; standardise</w:t>
            </w:r>
          </w:p>
        </w:tc>
        <w:tc>
          <w:tcPr>
            <w:tcW w:type="dxa" w:w="2541"/>
            <w:vAlign w:val="top"/>
            <w:tcMar>
              <w:top w:w="85" w:type="dxa"/>
              <w:start w:w="90" w:type="dxa"/>
              <w:bottom w:w="85" w:type="dxa"/>
              <w:end w:w="90" w:type="dxa"/>
            </w:tcMar>
            <w:shd w:fill="F3F5F7"/>
          </w:tcPr>
          <w:p>
            <w:pPr>
              <w:spacing w:after="0"/>
            </w:pPr>
            <w:r>
              <w:rPr>
                <w:sz w:val="14"/>
              </w:rPr>
              <w:t>Months 1–3</w:t>
            </w:r>
          </w:p>
        </w:tc>
        <w:tc>
          <w:tcPr>
            <w:tcW w:type="dxa" w:w="2541"/>
            <w:vAlign w:val="top"/>
            <w:tcMar>
              <w:top w:w="85" w:type="dxa"/>
              <w:start w:w="90" w:type="dxa"/>
              <w:bottom w:w="85" w:type="dxa"/>
              <w:end w:w="90" w:type="dxa"/>
            </w:tcMar>
            <w:shd w:fill="F3F5F7"/>
          </w:tcPr>
          <w:p>
            <w:pPr>
              <w:spacing w:after="0"/>
            </w:pPr>
            <w:r>
              <w:rPr>
                <w:sz w:val="14"/>
              </w:rPr>
              <w:t>Define CTK/event model; cleanse vendor master; implement bank-change verification; refund tiers; duplicate rules; exception taxonomy, SLA and case register; access review</w:t>
            </w:r>
          </w:p>
        </w:tc>
        <w:tc>
          <w:tcPr>
            <w:tcW w:type="dxa" w:w="2541"/>
            <w:vAlign w:val="top"/>
            <w:tcMar>
              <w:top w:w="85" w:type="dxa"/>
              <w:start w:w="90" w:type="dxa"/>
              <w:bottom w:w="85" w:type="dxa"/>
              <w:end w:w="90" w:type="dxa"/>
            </w:tcMar>
            <w:shd w:fill="F3F5F7"/>
          </w:tcPr>
          <w:p>
            <w:pPr>
              <w:spacing w:after="0"/>
            </w:pPr>
            <w:r>
              <w:rPr>
                <w:sz w:val="14"/>
              </w:rPr>
              <w:t>≥95% new records carry CTK; 100% high-risk bank changes independently verified; backlog burn-down plan approved</w:t>
            </w:r>
          </w:p>
        </w:tc>
      </w:tr>
      <w:tr>
        <w:tc>
          <w:tcPr>
            <w:tcW w:type="dxa" w:w="2541"/>
            <w:vAlign w:val="top"/>
            <w:tcMar>
              <w:top w:w="85" w:type="dxa"/>
              <w:start w:w="90" w:type="dxa"/>
              <w:bottom w:w="85" w:type="dxa"/>
              <w:end w:w="90" w:type="dxa"/>
            </w:tcMar>
          </w:tcPr>
          <w:p>
            <w:pPr>
              <w:spacing w:after="0"/>
            </w:pPr>
            <w:r>
              <w:rPr>
                <w:sz w:val="14"/>
              </w:rPr>
              <w:t>2. Pilot automation</w:t>
            </w:r>
          </w:p>
        </w:tc>
        <w:tc>
          <w:tcPr>
            <w:tcW w:type="dxa" w:w="2541"/>
            <w:vAlign w:val="top"/>
            <w:tcMar>
              <w:top w:w="85" w:type="dxa"/>
              <w:start w:w="90" w:type="dxa"/>
              <w:bottom w:w="85" w:type="dxa"/>
              <w:end w:w="90" w:type="dxa"/>
            </w:tcMar>
          </w:tcPr>
          <w:p>
            <w:pPr>
              <w:spacing w:after="0"/>
            </w:pPr>
            <w:r>
              <w:rPr>
                <w:sz w:val="14"/>
              </w:rPr>
              <w:t>Months 3–6</w:t>
            </w:r>
          </w:p>
        </w:tc>
        <w:tc>
          <w:tcPr>
            <w:tcW w:type="dxa" w:w="2541"/>
            <w:vAlign w:val="top"/>
            <w:tcMar>
              <w:top w:w="85" w:type="dxa"/>
              <w:start w:w="90" w:type="dxa"/>
              <w:bottom w:w="85" w:type="dxa"/>
              <w:end w:w="90" w:type="dxa"/>
            </w:tcMar>
          </w:tcPr>
          <w:p>
            <w:pPr>
              <w:spacing w:after="0"/>
            </w:pPr>
            <w:r>
              <w:rPr>
                <w:sz w:val="14"/>
              </w:rPr>
              <w:t>Configure gateway-bank-GL matching; integrate one gateway and seller cohort; migrate cases; implement audit log, dashboards and bank status confirmation; parallel run</w:t>
            </w:r>
          </w:p>
        </w:tc>
        <w:tc>
          <w:tcPr>
            <w:tcW w:type="dxa" w:w="2541"/>
            <w:vAlign w:val="top"/>
            <w:tcMar>
              <w:top w:w="85" w:type="dxa"/>
              <w:start w:w="90" w:type="dxa"/>
              <w:bottom w:w="85" w:type="dxa"/>
              <w:end w:w="90" w:type="dxa"/>
            </w:tcMar>
          </w:tcPr>
          <w:p>
            <w:pPr>
              <w:spacing w:after="0"/>
            </w:pPr>
            <w:r>
              <w:rPr>
                <w:sz w:val="14"/>
              </w:rPr>
              <w:t>≥85% pilot auto-match; ≥98% control execution; no critical defects; close ≤7 days</w:t>
            </w:r>
          </w:p>
        </w:tc>
      </w:tr>
      <w:tr>
        <w:tc>
          <w:tcPr>
            <w:tcW w:type="dxa" w:w="2541"/>
            <w:vAlign w:val="top"/>
            <w:tcMar>
              <w:top w:w="85" w:type="dxa"/>
              <w:start w:w="90" w:type="dxa"/>
              <w:bottom w:w="85" w:type="dxa"/>
              <w:end w:w="90" w:type="dxa"/>
            </w:tcMar>
            <w:shd w:fill="F3F5F7"/>
          </w:tcPr>
          <w:p>
            <w:pPr>
              <w:spacing w:after="0"/>
            </w:pPr>
            <w:r>
              <w:rPr>
                <w:sz w:val="14"/>
              </w:rPr>
              <w:t>3. Scale &amp; integrate</w:t>
            </w:r>
          </w:p>
        </w:tc>
        <w:tc>
          <w:tcPr>
            <w:tcW w:type="dxa" w:w="2541"/>
            <w:vAlign w:val="top"/>
            <w:tcMar>
              <w:top w:w="85" w:type="dxa"/>
              <w:start w:w="90" w:type="dxa"/>
              <w:bottom w:w="85" w:type="dxa"/>
              <w:end w:w="90" w:type="dxa"/>
            </w:tcMar>
            <w:shd w:fill="F3F5F7"/>
          </w:tcPr>
          <w:p>
            <w:pPr>
              <w:spacing w:after="0"/>
            </w:pPr>
            <w:r>
              <w:rPr>
                <w:sz w:val="14"/>
              </w:rPr>
              <w:t>Months 6–9</w:t>
            </w:r>
          </w:p>
        </w:tc>
        <w:tc>
          <w:tcPr>
            <w:tcW w:type="dxa" w:w="2541"/>
            <w:vAlign w:val="top"/>
            <w:tcMar>
              <w:top w:w="85" w:type="dxa"/>
              <w:start w:w="90" w:type="dxa"/>
              <w:bottom w:w="85" w:type="dxa"/>
              <w:end w:w="90" w:type="dxa"/>
            </w:tcMar>
            <w:shd w:fill="F3F5F7"/>
          </w:tcPr>
          <w:p>
            <w:pPr>
              <w:spacing w:after="0"/>
            </w:pPr>
            <w:r>
              <w:rPr>
                <w:sz w:val="14"/>
              </w:rPr>
              <w:t>Add gateways, refunds, chargebacks, seller/logistics payables; retire duplicate spreadsheets; train users; activate vendor/customer status notifications</w:t>
            </w:r>
          </w:p>
        </w:tc>
        <w:tc>
          <w:tcPr>
            <w:tcW w:type="dxa" w:w="2541"/>
            <w:vAlign w:val="top"/>
            <w:tcMar>
              <w:top w:w="85" w:type="dxa"/>
              <w:start w:w="90" w:type="dxa"/>
              <w:bottom w:w="85" w:type="dxa"/>
              <w:end w:w="90" w:type="dxa"/>
            </w:tcMar>
            <w:shd w:fill="F3F5F7"/>
          </w:tcPr>
          <w:p>
            <w:pPr>
              <w:spacing w:after="0"/>
            </w:pPr>
            <w:r>
              <w:rPr>
                <w:sz w:val="14"/>
              </w:rPr>
              <w:t>&gt;30-day count down ≥80%; ≥98% on-time settlement; ≥95% low-risk refunds within 24 hours</w:t>
            </w:r>
          </w:p>
        </w:tc>
      </w:tr>
      <w:tr>
        <w:tc>
          <w:tcPr>
            <w:tcW w:type="dxa" w:w="2541"/>
            <w:vAlign w:val="top"/>
            <w:tcMar>
              <w:top w:w="85" w:type="dxa"/>
              <w:start w:w="90" w:type="dxa"/>
              <w:bottom w:w="85" w:type="dxa"/>
              <w:end w:w="90" w:type="dxa"/>
            </w:tcMar>
          </w:tcPr>
          <w:p>
            <w:pPr>
              <w:spacing w:after="0"/>
            </w:pPr>
            <w:r>
              <w:rPr>
                <w:sz w:val="14"/>
              </w:rPr>
              <w:t>4. Optimise &amp; assure</w:t>
            </w:r>
          </w:p>
        </w:tc>
        <w:tc>
          <w:tcPr>
            <w:tcW w:type="dxa" w:w="2541"/>
            <w:vAlign w:val="top"/>
            <w:tcMar>
              <w:top w:w="85" w:type="dxa"/>
              <w:start w:w="90" w:type="dxa"/>
              <w:bottom w:w="85" w:type="dxa"/>
              <w:end w:w="90" w:type="dxa"/>
            </w:tcMar>
          </w:tcPr>
          <w:p>
            <w:pPr>
              <w:spacing w:after="0"/>
            </w:pPr>
            <w:r>
              <w:rPr>
                <w:sz w:val="14"/>
              </w:rPr>
              <w:t>Months 9–12</w:t>
            </w:r>
          </w:p>
        </w:tc>
        <w:tc>
          <w:tcPr>
            <w:tcW w:type="dxa" w:w="2541"/>
            <w:vAlign w:val="top"/>
            <w:tcMar>
              <w:top w:w="85" w:type="dxa"/>
              <w:start w:w="90" w:type="dxa"/>
              <w:bottom w:w="85" w:type="dxa"/>
              <w:end w:w="90" w:type="dxa"/>
            </w:tcMar>
          </w:tcPr>
          <w:p>
            <w:pPr>
              <w:spacing w:after="0"/>
            </w:pPr>
            <w:r>
              <w:rPr>
                <w:sz w:val="14"/>
              </w:rPr>
              <w:t>Tune rules; analyse root causes; continuous controls monitoring; penetration/access testing; post-implementation audit; benefit validation</w:t>
            </w:r>
          </w:p>
        </w:tc>
        <w:tc>
          <w:tcPr>
            <w:tcW w:type="dxa" w:w="2541"/>
            <w:vAlign w:val="top"/>
            <w:tcMar>
              <w:top w:w="85" w:type="dxa"/>
              <w:start w:w="90" w:type="dxa"/>
              <w:bottom w:w="85" w:type="dxa"/>
              <w:end w:w="90" w:type="dxa"/>
            </w:tcMar>
          </w:tcPr>
          <w:p>
            <w:pPr>
              <w:spacing w:after="0"/>
            </w:pPr>
            <w:r>
              <w:rPr>
                <w:sz w:val="14"/>
              </w:rPr>
              <w:t>Close ≤5 days; ≥95% auto-match for eligible transactions; sustained KCI compliance for three months</w:t>
            </w:r>
          </w:p>
        </w:tc>
      </w:tr>
    </w:tbl>
    <w:p>
      <w:pPr>
        <w:pStyle w:val="Caption"/>
      </w:pPr>
      <w:r>
        <w:t>How this visual supports action: each phase has a measurable exit gate. SwiftCart should not scale automation when CTK coverage, control execution or pilot quality is below threshold; this prevents rapid propagation of poor data or weak controls.</w:t>
      </w:r>
    </w:p>
    <w:p>
      <w:pPr>
        <w:pStyle w:val="Heading2"/>
        <w:keepNext/>
      </w:pPr>
      <w:r>
        <w:t>8.1 First 30 days</w:t>
      </w:r>
    </w:p>
    <w:p>
      <w:pPr>
        <w:pStyle w:val="ListNumber"/>
      </w:pPr>
      <w:r>
        <w:t>Name one accountable owner for every open exception category and publish daily ageing by count and value.</w:t>
      </w:r>
    </w:p>
    <w:p>
      <w:pPr>
        <w:pStyle w:val="ListNumber"/>
      </w:pPr>
      <w:r>
        <w:t>Apply immediate maker–checker and independently verified callback controls to all vendor bank-detail changes.</w:t>
      </w:r>
    </w:p>
    <w:p>
      <w:pPr>
        <w:pStyle w:val="ListNumber"/>
      </w:pPr>
      <w:r>
        <w:t>Reconcile dashboard status to bank confirmation for vendors reporting late payment; correct status wording.</w:t>
      </w:r>
    </w:p>
    <w:p>
      <w:pPr>
        <w:pStyle w:val="ListNumber"/>
      </w:pPr>
      <w:r>
        <w:t>Create a single refund register linking request, approval, gateway response, bank effect and customer communication.</w:t>
      </w:r>
    </w:p>
    <w:p>
      <w:pPr>
        <w:pStyle w:val="ListNumber"/>
      </w:pPr>
      <w:r>
        <w:t>Extract 90 days of transaction data to establish baseline volumes, match rates, losses, payment timeliness and staffing effort.</w:t>
      </w:r>
    </w:p>
    <w:p>
      <w:pPr>
        <w:pStyle w:val="ListNumber"/>
      </w:pPr>
      <w:r>
        <w:t>Select one payment gateway, one bank account and a representative seller cohort for the automation pilot.</w:t>
      </w:r>
    </w:p>
    <w:p>
      <w:pPr>
        <w:pStyle w:val="Heading2"/>
        <w:keepNext/>
      </w:pPr>
      <w:r>
        <w:t>8.2 Technology selection requirements</w:t>
      </w:r>
    </w:p>
    <w:p>
      <w:pPr>
        <w:pStyle w:val="ListBullet"/>
      </w:pPr>
      <w:r>
        <w:t>Connectors/APIs for gateways, banks, platform, ERP/GL and case-management notifications.</w:t>
      </w:r>
    </w:p>
    <w:p>
      <w:pPr>
        <w:pStyle w:val="ListBullet"/>
      </w:pPr>
      <w:r>
        <w:t>Configurable one-to-one, one-to-many, many-to-one, tolerance and timing rules with version control.</w:t>
      </w:r>
    </w:p>
    <w:p>
      <w:pPr>
        <w:pStyle w:val="ListBullet"/>
      </w:pPr>
      <w:r>
        <w:t>Event-level audit trail, role-based access, SSO/MFA, segregation of duties and exportable evidence.</w:t>
      </w:r>
    </w:p>
    <w:p>
      <w:pPr>
        <w:pStyle w:val="ListBullet"/>
      </w:pPr>
      <w:r>
        <w:t>Case ownership, SLA, ageing, escalation, root-cause classification and controlled write-off workflows.</w:t>
      </w:r>
    </w:p>
    <w:p>
      <w:pPr>
        <w:pStyle w:val="ListBullet"/>
      </w:pPr>
      <w:r>
        <w:t>Idempotent ingestion, replay capability, completeness control totals, data lineage and monitoring.</w:t>
      </w:r>
    </w:p>
    <w:p>
      <w:pPr>
        <w:pStyle w:val="ListBullet"/>
      </w:pPr>
      <w:r>
        <w:t>Explainable match decisions and a controlled model/rule release process; no opaque auto-posting.</w:t>
      </w:r>
    </w:p>
    <w:p>
      <w:pPr>
        <w:pStyle w:val="ListBullet"/>
      </w:pPr>
      <w:r>
        <w:t>Performance and availability suitable for peak volumes, plus data retention, privacy and disaster-recovery controls.</w:t>
      </w:r>
    </w:p>
    <w:p>
      <w:pPr>
        <w:pStyle w:val="Heading1"/>
        <w:keepNext/>
      </w:pPr>
      <w:r>
        <w:t>9. Success measures and reporting cadence</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24D"/>
            <w:vAlign w:val="center"/>
            <w:tcMar>
              <w:top w:w="90" w:type="dxa"/>
              <w:start w:w="90" w:type="dxa"/>
              <w:bottom w:w="90" w:type="dxa"/>
              <w:end w:w="90" w:type="dxa"/>
            </w:tcMar>
          </w:tcPr>
          <w:p>
            <w:pPr>
              <w:jc w:val="left"/>
            </w:pPr>
            <w:r>
              <w:rPr>
                <w:b/>
                <w:color w:val="FFFFFF"/>
                <w:sz w:val="14"/>
              </w:rPr>
              <w:t>Measure</w:t>
            </w:r>
          </w:p>
        </w:tc>
        <w:tc>
          <w:tcPr>
            <w:tcW w:type="dxa" w:w="2033"/>
            <w:shd w:fill="17324D"/>
            <w:vAlign w:val="center"/>
            <w:tcMar>
              <w:top w:w="90" w:type="dxa"/>
              <w:start w:w="90" w:type="dxa"/>
              <w:bottom w:w="90" w:type="dxa"/>
              <w:end w:w="90" w:type="dxa"/>
            </w:tcMar>
          </w:tcPr>
          <w:p>
            <w:pPr>
              <w:jc w:val="left"/>
            </w:pPr>
            <w:r>
              <w:rPr>
                <w:b/>
                <w:color w:val="FFFFFF"/>
                <w:sz w:val="14"/>
              </w:rPr>
              <w:t>Definition</w:t>
            </w:r>
          </w:p>
        </w:tc>
        <w:tc>
          <w:tcPr>
            <w:tcW w:type="dxa" w:w="2033"/>
            <w:shd w:fill="17324D"/>
            <w:vAlign w:val="center"/>
            <w:tcMar>
              <w:top w:w="90" w:type="dxa"/>
              <w:start w:w="90" w:type="dxa"/>
              <w:bottom w:w="90" w:type="dxa"/>
              <w:end w:w="90" w:type="dxa"/>
            </w:tcMar>
          </w:tcPr>
          <w:p>
            <w:pPr>
              <w:jc w:val="left"/>
            </w:pPr>
            <w:r>
              <w:rPr>
                <w:b/>
                <w:color w:val="FFFFFF"/>
                <w:sz w:val="14"/>
              </w:rPr>
              <w:t>Baseline</w:t>
            </w:r>
          </w:p>
        </w:tc>
        <w:tc>
          <w:tcPr>
            <w:tcW w:type="dxa" w:w="2033"/>
            <w:shd w:fill="17324D"/>
            <w:vAlign w:val="center"/>
            <w:tcMar>
              <w:top w:w="90" w:type="dxa"/>
              <w:start w:w="90" w:type="dxa"/>
              <w:bottom w:w="90" w:type="dxa"/>
              <w:end w:w="90" w:type="dxa"/>
            </w:tcMar>
          </w:tcPr>
          <w:p>
            <w:pPr>
              <w:jc w:val="left"/>
            </w:pPr>
            <w:r>
              <w:rPr>
                <w:b/>
                <w:color w:val="FFFFFF"/>
                <w:sz w:val="14"/>
              </w:rPr>
              <w:t>Target</w:t>
            </w:r>
          </w:p>
        </w:tc>
        <w:tc>
          <w:tcPr>
            <w:tcW w:type="dxa" w:w="2033"/>
            <w:shd w:fill="17324D"/>
            <w:vAlign w:val="center"/>
            <w:tcMar>
              <w:top w:w="90" w:type="dxa"/>
              <w:start w:w="90" w:type="dxa"/>
              <w:bottom w:w="90" w:type="dxa"/>
              <w:end w:w="90" w:type="dxa"/>
            </w:tcMar>
          </w:tcPr>
          <w:p>
            <w:pPr>
              <w:jc w:val="left"/>
            </w:pPr>
            <w:r>
              <w:rPr>
                <w:b/>
                <w:color w:val="FFFFFF"/>
                <w:sz w:val="14"/>
              </w:rPr>
              <w:t>Owner / cadence</w:t>
            </w:r>
          </w:p>
        </w:tc>
      </w:tr>
      <w:tr>
        <w:tc>
          <w:tcPr>
            <w:tcW w:type="dxa" w:w="2033"/>
            <w:vAlign w:val="top"/>
            <w:tcMar>
              <w:top w:w="85" w:type="dxa"/>
              <w:start w:w="90" w:type="dxa"/>
              <w:bottom w:w="85" w:type="dxa"/>
              <w:end w:w="90" w:type="dxa"/>
            </w:tcMar>
          </w:tcPr>
          <w:p>
            <w:pPr>
              <w:spacing w:after="0"/>
            </w:pPr>
            <w:r>
              <w:rPr>
                <w:sz w:val="14"/>
              </w:rPr>
              <w:t>Aged exceptions</w:t>
            </w:r>
          </w:p>
        </w:tc>
        <w:tc>
          <w:tcPr>
            <w:tcW w:type="dxa" w:w="2033"/>
            <w:vAlign w:val="top"/>
            <w:tcMar>
              <w:top w:w="85" w:type="dxa"/>
              <w:start w:w="90" w:type="dxa"/>
              <w:bottom w:w="85" w:type="dxa"/>
              <w:end w:w="90" w:type="dxa"/>
            </w:tcMar>
          </w:tcPr>
          <w:p>
            <w:pPr>
              <w:spacing w:after="0"/>
            </w:pPr>
            <w:r>
              <w:rPr>
                <w:sz w:val="14"/>
              </w:rPr>
              <w:t>Open count and value &gt;30 days ÷ total open count/value</w:t>
            </w:r>
          </w:p>
        </w:tc>
        <w:tc>
          <w:tcPr>
            <w:tcW w:type="dxa" w:w="2033"/>
            <w:vAlign w:val="top"/>
            <w:tcMar>
              <w:top w:w="85" w:type="dxa"/>
              <w:start w:w="90" w:type="dxa"/>
              <w:bottom w:w="85" w:type="dxa"/>
              <w:end w:w="90" w:type="dxa"/>
            </w:tcMar>
          </w:tcPr>
          <w:p>
            <w:pPr>
              <w:spacing w:after="0"/>
            </w:pPr>
            <w:r>
              <w:rPr>
                <w:sz w:val="14"/>
              </w:rPr>
              <w:t>Validate Wk 2</w:t>
            </w:r>
          </w:p>
        </w:tc>
        <w:tc>
          <w:tcPr>
            <w:tcW w:type="dxa" w:w="2033"/>
            <w:vAlign w:val="top"/>
            <w:tcMar>
              <w:top w:w="85" w:type="dxa"/>
              <w:start w:w="90" w:type="dxa"/>
              <w:bottom w:w="85" w:type="dxa"/>
              <w:end w:w="90" w:type="dxa"/>
            </w:tcMar>
          </w:tcPr>
          <w:p>
            <w:pPr>
              <w:spacing w:after="0"/>
            </w:pPr>
            <w:r>
              <w:rPr>
                <w:sz w:val="14"/>
              </w:rPr>
              <w:t>≤1% of count and value; zero critical items</w:t>
            </w:r>
          </w:p>
        </w:tc>
        <w:tc>
          <w:tcPr>
            <w:tcW w:type="dxa" w:w="2033"/>
            <w:vAlign w:val="top"/>
            <w:tcMar>
              <w:top w:w="85" w:type="dxa"/>
              <w:start w:w="90" w:type="dxa"/>
              <w:bottom w:w="85" w:type="dxa"/>
              <w:end w:w="90" w:type="dxa"/>
            </w:tcMar>
          </w:tcPr>
          <w:p>
            <w:pPr>
              <w:spacing w:after="0"/>
            </w:pPr>
            <w:r>
              <w:rPr>
                <w:sz w:val="14"/>
              </w:rPr>
              <w:t>Finance Ops / daily, weekly executive</w:t>
            </w:r>
          </w:p>
        </w:tc>
      </w:tr>
      <w:tr>
        <w:tc>
          <w:tcPr>
            <w:tcW w:type="dxa" w:w="2033"/>
            <w:vAlign w:val="top"/>
            <w:tcMar>
              <w:top w:w="85" w:type="dxa"/>
              <w:start w:w="90" w:type="dxa"/>
              <w:bottom w:w="85" w:type="dxa"/>
              <w:end w:w="90" w:type="dxa"/>
            </w:tcMar>
            <w:shd w:fill="F3F5F7"/>
          </w:tcPr>
          <w:p>
            <w:pPr>
              <w:spacing w:after="0"/>
            </w:pPr>
            <w:r>
              <w:rPr>
                <w:sz w:val="14"/>
              </w:rPr>
              <w:t>Auto-match rate</w:t>
            </w:r>
          </w:p>
        </w:tc>
        <w:tc>
          <w:tcPr>
            <w:tcW w:type="dxa" w:w="2033"/>
            <w:vAlign w:val="top"/>
            <w:tcMar>
              <w:top w:w="85" w:type="dxa"/>
              <w:start w:w="90" w:type="dxa"/>
              <w:bottom w:w="85" w:type="dxa"/>
              <w:end w:w="90" w:type="dxa"/>
            </w:tcMar>
            <w:shd w:fill="F3F5F7"/>
          </w:tcPr>
          <w:p>
            <w:pPr>
              <w:spacing w:after="0"/>
            </w:pPr>
            <w:r>
              <w:rPr>
                <w:sz w:val="14"/>
              </w:rPr>
              <w:t>Eligible records matched without manual intervention ÷ eligible records</w:t>
            </w:r>
          </w:p>
        </w:tc>
        <w:tc>
          <w:tcPr>
            <w:tcW w:type="dxa" w:w="2033"/>
            <w:vAlign w:val="top"/>
            <w:tcMar>
              <w:top w:w="85" w:type="dxa"/>
              <w:start w:w="90" w:type="dxa"/>
              <w:bottom w:w="85" w:type="dxa"/>
              <w:end w:w="90" w:type="dxa"/>
            </w:tcMar>
            <w:shd w:fill="F3F5F7"/>
          </w:tcPr>
          <w:p>
            <w:pPr>
              <w:spacing w:after="0"/>
            </w:pPr>
            <w:r>
              <w:rPr>
                <w:sz w:val="14"/>
              </w:rPr>
              <w:t>Validate Wk 3</w:t>
            </w:r>
          </w:p>
        </w:tc>
        <w:tc>
          <w:tcPr>
            <w:tcW w:type="dxa" w:w="2033"/>
            <w:vAlign w:val="top"/>
            <w:tcMar>
              <w:top w:w="85" w:type="dxa"/>
              <w:start w:w="90" w:type="dxa"/>
              <w:bottom w:w="85" w:type="dxa"/>
              <w:end w:w="90" w:type="dxa"/>
            </w:tcMar>
            <w:shd w:fill="F3F5F7"/>
          </w:tcPr>
          <w:p>
            <w:pPr>
              <w:spacing w:after="0"/>
            </w:pPr>
            <w:r>
              <w:rPr>
                <w:sz w:val="14"/>
              </w:rPr>
              <w:t>≥85% pilot; ≥95% by M12</w:t>
            </w:r>
          </w:p>
        </w:tc>
        <w:tc>
          <w:tcPr>
            <w:tcW w:type="dxa" w:w="2033"/>
            <w:vAlign w:val="top"/>
            <w:tcMar>
              <w:top w:w="85" w:type="dxa"/>
              <w:start w:w="90" w:type="dxa"/>
              <w:bottom w:w="85" w:type="dxa"/>
              <w:end w:w="90" w:type="dxa"/>
            </w:tcMar>
            <w:shd w:fill="F3F5F7"/>
          </w:tcPr>
          <w:p>
            <w:pPr>
              <w:spacing w:after="0"/>
            </w:pPr>
            <w:r>
              <w:rPr>
                <w:sz w:val="14"/>
              </w:rPr>
              <w:t>Finance Data / daily</w:t>
            </w:r>
          </w:p>
        </w:tc>
      </w:tr>
      <w:tr>
        <w:tc>
          <w:tcPr>
            <w:tcW w:type="dxa" w:w="2033"/>
            <w:vAlign w:val="top"/>
            <w:tcMar>
              <w:top w:w="85" w:type="dxa"/>
              <w:start w:w="90" w:type="dxa"/>
              <w:bottom w:w="85" w:type="dxa"/>
              <w:end w:w="90" w:type="dxa"/>
            </w:tcMar>
          </w:tcPr>
          <w:p>
            <w:pPr>
              <w:spacing w:after="0"/>
            </w:pPr>
            <w:r>
              <w:rPr>
                <w:sz w:val="14"/>
              </w:rPr>
              <w:t>Refund leakage</w:t>
            </w:r>
          </w:p>
        </w:tc>
        <w:tc>
          <w:tcPr>
            <w:tcW w:type="dxa" w:w="2033"/>
            <w:vAlign w:val="top"/>
            <w:tcMar>
              <w:top w:w="85" w:type="dxa"/>
              <w:start w:w="90" w:type="dxa"/>
              <w:bottom w:w="85" w:type="dxa"/>
              <w:end w:w="90" w:type="dxa"/>
            </w:tcMar>
          </w:tcPr>
          <w:p>
            <w:pPr>
              <w:spacing w:after="0"/>
            </w:pPr>
            <w:r>
              <w:rPr>
                <w:sz w:val="14"/>
              </w:rPr>
              <w:t>Confirmed erroneous, duplicate or fraudulent refund loss ÷ total refunded value</w:t>
            </w:r>
          </w:p>
        </w:tc>
        <w:tc>
          <w:tcPr>
            <w:tcW w:type="dxa" w:w="2033"/>
            <w:vAlign w:val="top"/>
            <w:tcMar>
              <w:top w:w="85" w:type="dxa"/>
              <w:start w:w="90" w:type="dxa"/>
              <w:bottom w:w="85" w:type="dxa"/>
              <w:end w:w="90" w:type="dxa"/>
            </w:tcMar>
          </w:tcPr>
          <w:p>
            <w:pPr>
              <w:spacing w:after="0"/>
            </w:pPr>
            <w:r>
              <w:rPr>
                <w:sz w:val="14"/>
              </w:rPr>
              <w:t>Validate M1</w:t>
            </w:r>
          </w:p>
        </w:tc>
        <w:tc>
          <w:tcPr>
            <w:tcW w:type="dxa" w:w="2033"/>
            <w:vAlign w:val="top"/>
            <w:tcMar>
              <w:top w:w="85" w:type="dxa"/>
              <w:start w:w="90" w:type="dxa"/>
              <w:bottom w:w="85" w:type="dxa"/>
              <w:end w:w="90" w:type="dxa"/>
            </w:tcMar>
          </w:tcPr>
          <w:p>
            <w:pPr>
              <w:spacing w:after="0"/>
            </w:pPr>
            <w:r>
              <w:rPr>
                <w:sz w:val="14"/>
              </w:rPr>
              <w:t>≤0.10%* and downward trend</w:t>
            </w:r>
          </w:p>
        </w:tc>
        <w:tc>
          <w:tcPr>
            <w:tcW w:type="dxa" w:w="2033"/>
            <w:vAlign w:val="top"/>
            <w:tcMar>
              <w:top w:w="85" w:type="dxa"/>
              <w:start w:w="90" w:type="dxa"/>
              <w:bottom w:w="85" w:type="dxa"/>
              <w:end w:w="90" w:type="dxa"/>
            </w:tcMar>
          </w:tcPr>
          <w:p>
            <w:pPr>
              <w:spacing w:after="0"/>
            </w:pPr>
            <w:r>
              <w:rPr>
                <w:sz w:val="14"/>
              </w:rPr>
              <w:t>Payments Risk / weekly</w:t>
            </w:r>
          </w:p>
        </w:tc>
      </w:tr>
      <w:tr>
        <w:tc>
          <w:tcPr>
            <w:tcW w:type="dxa" w:w="2033"/>
            <w:vAlign w:val="top"/>
            <w:tcMar>
              <w:top w:w="85" w:type="dxa"/>
              <w:start w:w="90" w:type="dxa"/>
              <w:bottom w:w="85" w:type="dxa"/>
              <w:end w:w="90" w:type="dxa"/>
            </w:tcMar>
            <w:shd w:fill="F3F5F7"/>
          </w:tcPr>
          <w:p>
            <w:pPr>
              <w:spacing w:after="0"/>
            </w:pPr>
            <w:r>
              <w:rPr>
                <w:sz w:val="14"/>
              </w:rPr>
              <w:t>Refund service</w:t>
            </w:r>
          </w:p>
        </w:tc>
        <w:tc>
          <w:tcPr>
            <w:tcW w:type="dxa" w:w="2033"/>
            <w:vAlign w:val="top"/>
            <w:tcMar>
              <w:top w:w="85" w:type="dxa"/>
              <w:start w:w="90" w:type="dxa"/>
              <w:bottom w:w="85" w:type="dxa"/>
              <w:end w:w="90" w:type="dxa"/>
            </w:tcMar>
            <w:shd w:fill="F3F5F7"/>
          </w:tcPr>
          <w:p>
            <w:pPr>
              <w:spacing w:after="0"/>
            </w:pPr>
            <w:r>
              <w:rPr>
                <w:sz w:val="14"/>
              </w:rPr>
              <w:t>Low-risk refunds submitted and confirmed within 24 hours ÷ low-risk refunds</w:t>
            </w:r>
          </w:p>
        </w:tc>
        <w:tc>
          <w:tcPr>
            <w:tcW w:type="dxa" w:w="2033"/>
            <w:vAlign w:val="top"/>
            <w:tcMar>
              <w:top w:w="85" w:type="dxa"/>
              <w:start w:w="90" w:type="dxa"/>
              <w:bottom w:w="85" w:type="dxa"/>
              <w:end w:w="90" w:type="dxa"/>
            </w:tcMar>
            <w:shd w:fill="F3F5F7"/>
          </w:tcPr>
          <w:p>
            <w:pPr>
              <w:spacing w:after="0"/>
            </w:pPr>
            <w:r>
              <w:rPr>
                <w:sz w:val="14"/>
              </w:rPr>
              <w:t>Validate Wk 2</w:t>
            </w:r>
          </w:p>
        </w:tc>
        <w:tc>
          <w:tcPr>
            <w:tcW w:type="dxa" w:w="2033"/>
            <w:vAlign w:val="top"/>
            <w:tcMar>
              <w:top w:w="85" w:type="dxa"/>
              <w:start w:w="90" w:type="dxa"/>
              <w:bottom w:w="85" w:type="dxa"/>
              <w:end w:w="90" w:type="dxa"/>
            </w:tcMar>
            <w:shd w:fill="F3F5F7"/>
          </w:tcPr>
          <w:p>
            <w:pPr>
              <w:spacing w:after="0"/>
            </w:pPr>
            <w:r>
              <w:rPr>
                <w:sz w:val="14"/>
              </w:rPr>
              <w:t>≥95%</w:t>
            </w:r>
          </w:p>
        </w:tc>
        <w:tc>
          <w:tcPr>
            <w:tcW w:type="dxa" w:w="2033"/>
            <w:vAlign w:val="top"/>
            <w:tcMar>
              <w:top w:w="85" w:type="dxa"/>
              <w:start w:w="90" w:type="dxa"/>
              <w:bottom w:w="85" w:type="dxa"/>
              <w:end w:w="90" w:type="dxa"/>
            </w:tcMar>
            <w:shd w:fill="F3F5F7"/>
          </w:tcPr>
          <w:p>
            <w:pPr>
              <w:spacing w:after="0"/>
            </w:pPr>
            <w:r>
              <w:rPr>
                <w:sz w:val="14"/>
              </w:rPr>
              <w:t>Customer Service / daily</w:t>
            </w:r>
          </w:p>
        </w:tc>
      </w:tr>
      <w:tr>
        <w:tc>
          <w:tcPr>
            <w:tcW w:type="dxa" w:w="2033"/>
            <w:vAlign w:val="top"/>
            <w:tcMar>
              <w:top w:w="85" w:type="dxa"/>
              <w:start w:w="90" w:type="dxa"/>
              <w:bottom w:w="85" w:type="dxa"/>
              <w:end w:w="90" w:type="dxa"/>
            </w:tcMar>
          </w:tcPr>
          <w:p>
            <w:pPr>
              <w:spacing w:after="0"/>
            </w:pPr>
            <w:r>
              <w:rPr>
                <w:sz w:val="14"/>
              </w:rPr>
              <w:t>Settlement timeliness</w:t>
            </w:r>
          </w:p>
        </w:tc>
        <w:tc>
          <w:tcPr>
            <w:tcW w:type="dxa" w:w="2033"/>
            <w:vAlign w:val="top"/>
            <w:tcMar>
              <w:top w:w="85" w:type="dxa"/>
              <w:start w:w="90" w:type="dxa"/>
              <w:bottom w:w="85" w:type="dxa"/>
              <w:end w:w="90" w:type="dxa"/>
            </w:tcMar>
          </w:tcPr>
          <w:p>
            <w:pPr>
              <w:spacing w:after="0"/>
            </w:pPr>
            <w:r>
              <w:rPr>
                <w:sz w:val="14"/>
              </w:rPr>
              <w:t>Seller payments bank-confirmed by contractual due date ÷ due payments</w:t>
            </w:r>
          </w:p>
        </w:tc>
        <w:tc>
          <w:tcPr>
            <w:tcW w:type="dxa" w:w="2033"/>
            <w:vAlign w:val="top"/>
            <w:tcMar>
              <w:top w:w="85" w:type="dxa"/>
              <w:start w:w="90" w:type="dxa"/>
              <w:bottom w:w="85" w:type="dxa"/>
              <w:end w:w="90" w:type="dxa"/>
            </w:tcMar>
          </w:tcPr>
          <w:p>
            <w:pPr>
              <w:spacing w:after="0"/>
            </w:pPr>
            <w:r>
              <w:rPr>
                <w:sz w:val="14"/>
              </w:rPr>
              <w:t>Validate Wk 2</w:t>
            </w:r>
          </w:p>
        </w:tc>
        <w:tc>
          <w:tcPr>
            <w:tcW w:type="dxa" w:w="2033"/>
            <w:vAlign w:val="top"/>
            <w:tcMar>
              <w:top w:w="85" w:type="dxa"/>
              <w:start w:w="90" w:type="dxa"/>
              <w:bottom w:w="85" w:type="dxa"/>
              <w:end w:w="90" w:type="dxa"/>
            </w:tcMar>
          </w:tcPr>
          <w:p>
            <w:pPr>
              <w:spacing w:after="0"/>
            </w:pPr>
            <w:r>
              <w:rPr>
                <w:sz w:val="14"/>
              </w:rPr>
              <w:t>≥98% M6; ≥99% M12</w:t>
            </w:r>
          </w:p>
        </w:tc>
        <w:tc>
          <w:tcPr>
            <w:tcW w:type="dxa" w:w="2033"/>
            <w:vAlign w:val="top"/>
            <w:tcMar>
              <w:top w:w="85" w:type="dxa"/>
              <w:start w:w="90" w:type="dxa"/>
              <w:bottom w:w="85" w:type="dxa"/>
              <w:end w:w="90" w:type="dxa"/>
            </w:tcMar>
          </w:tcPr>
          <w:p>
            <w:pPr>
              <w:spacing w:after="0"/>
            </w:pPr>
            <w:r>
              <w:rPr>
                <w:sz w:val="14"/>
              </w:rPr>
              <w:t>Treasury Ops / daily</w:t>
            </w:r>
          </w:p>
        </w:tc>
      </w:tr>
      <w:tr>
        <w:tc>
          <w:tcPr>
            <w:tcW w:type="dxa" w:w="2033"/>
            <w:vAlign w:val="top"/>
            <w:tcMar>
              <w:top w:w="85" w:type="dxa"/>
              <w:start w:w="90" w:type="dxa"/>
              <w:bottom w:w="85" w:type="dxa"/>
              <w:end w:w="90" w:type="dxa"/>
            </w:tcMar>
            <w:shd w:fill="F3F5F7"/>
          </w:tcPr>
          <w:p>
            <w:pPr>
              <w:spacing w:after="0"/>
            </w:pPr>
            <w:r>
              <w:rPr>
                <w:sz w:val="14"/>
              </w:rPr>
              <w:t>Vendor complaints</w:t>
            </w:r>
          </w:p>
        </w:tc>
        <w:tc>
          <w:tcPr>
            <w:tcW w:type="dxa" w:w="2033"/>
            <w:vAlign w:val="top"/>
            <w:tcMar>
              <w:top w:w="85" w:type="dxa"/>
              <w:start w:w="90" w:type="dxa"/>
              <w:bottom w:w="85" w:type="dxa"/>
              <w:end w:w="90" w:type="dxa"/>
            </w:tcMar>
            <w:shd w:fill="F3F5F7"/>
          </w:tcPr>
          <w:p>
            <w:pPr>
              <w:spacing w:after="0"/>
            </w:pPr>
            <w:r>
              <w:rPr>
                <w:sz w:val="14"/>
              </w:rPr>
              <w:t>Settlement complaints per 10,000 seller payments</w:t>
            </w:r>
          </w:p>
        </w:tc>
        <w:tc>
          <w:tcPr>
            <w:tcW w:type="dxa" w:w="2033"/>
            <w:vAlign w:val="top"/>
            <w:tcMar>
              <w:top w:w="85" w:type="dxa"/>
              <w:start w:w="90" w:type="dxa"/>
              <w:bottom w:w="85" w:type="dxa"/>
              <w:end w:w="90" w:type="dxa"/>
            </w:tcMar>
            <w:shd w:fill="F3F5F7"/>
          </w:tcPr>
          <w:p>
            <w:pPr>
              <w:spacing w:after="0"/>
            </w:pPr>
            <w:r>
              <w:rPr>
                <w:sz w:val="14"/>
              </w:rPr>
              <w:t>Validate M1</w:t>
            </w:r>
          </w:p>
        </w:tc>
        <w:tc>
          <w:tcPr>
            <w:tcW w:type="dxa" w:w="2033"/>
            <w:vAlign w:val="top"/>
            <w:tcMar>
              <w:top w:w="85" w:type="dxa"/>
              <w:start w:w="90" w:type="dxa"/>
              <w:bottom w:w="85" w:type="dxa"/>
              <w:end w:w="90" w:type="dxa"/>
            </w:tcMar>
            <w:shd w:fill="F3F5F7"/>
          </w:tcPr>
          <w:p>
            <w:pPr>
              <w:spacing w:after="0"/>
            </w:pPr>
            <w:r>
              <w:rPr>
                <w:sz w:val="14"/>
              </w:rPr>
              <w:t>Reduce ≥50% by M9</w:t>
            </w:r>
          </w:p>
        </w:tc>
        <w:tc>
          <w:tcPr>
            <w:tcW w:type="dxa" w:w="2033"/>
            <w:vAlign w:val="top"/>
            <w:tcMar>
              <w:top w:w="85" w:type="dxa"/>
              <w:start w:w="90" w:type="dxa"/>
              <w:bottom w:w="85" w:type="dxa"/>
              <w:end w:w="90" w:type="dxa"/>
            </w:tcMar>
            <w:shd w:fill="F3F5F7"/>
          </w:tcPr>
          <w:p>
            <w:pPr>
              <w:spacing w:after="0"/>
            </w:pPr>
            <w:r>
              <w:rPr>
                <w:sz w:val="14"/>
              </w:rPr>
              <w:t>Vendor Ops / monthly</w:t>
            </w:r>
          </w:p>
        </w:tc>
      </w:tr>
      <w:tr>
        <w:tc>
          <w:tcPr>
            <w:tcW w:type="dxa" w:w="2033"/>
            <w:vAlign w:val="top"/>
            <w:tcMar>
              <w:top w:w="85" w:type="dxa"/>
              <w:start w:w="90" w:type="dxa"/>
              <w:bottom w:w="85" w:type="dxa"/>
              <w:end w:w="90" w:type="dxa"/>
            </w:tcMar>
          </w:tcPr>
          <w:p>
            <w:pPr>
              <w:spacing w:after="0"/>
            </w:pPr>
            <w:r>
              <w:rPr>
                <w:sz w:val="14"/>
              </w:rPr>
              <w:t>Close duration</w:t>
            </w:r>
          </w:p>
        </w:tc>
        <w:tc>
          <w:tcPr>
            <w:tcW w:type="dxa" w:w="2033"/>
            <w:vAlign w:val="top"/>
            <w:tcMar>
              <w:top w:w="85" w:type="dxa"/>
              <w:start w:w="90" w:type="dxa"/>
              <w:bottom w:w="85" w:type="dxa"/>
              <w:end w:w="90" w:type="dxa"/>
            </w:tcMar>
          </w:tcPr>
          <w:p>
            <w:pPr>
              <w:spacing w:after="0"/>
            </w:pPr>
            <w:r>
              <w:rPr>
                <w:sz w:val="14"/>
              </w:rPr>
              <w:t>Calendar days from period end to controlled close sign-off</w:t>
            </w:r>
          </w:p>
        </w:tc>
        <w:tc>
          <w:tcPr>
            <w:tcW w:type="dxa" w:w="2033"/>
            <w:vAlign w:val="top"/>
            <w:tcMar>
              <w:top w:w="85" w:type="dxa"/>
              <w:start w:w="90" w:type="dxa"/>
              <w:bottom w:w="85" w:type="dxa"/>
              <w:end w:w="90" w:type="dxa"/>
            </w:tcMar>
          </w:tcPr>
          <w:p>
            <w:pPr>
              <w:spacing w:after="0"/>
            </w:pPr>
            <w:r>
              <w:rPr>
                <w:sz w:val="14"/>
              </w:rPr>
              <w:t>12 days</w:t>
            </w:r>
          </w:p>
        </w:tc>
        <w:tc>
          <w:tcPr>
            <w:tcW w:type="dxa" w:w="2033"/>
            <w:vAlign w:val="top"/>
            <w:tcMar>
              <w:top w:w="85" w:type="dxa"/>
              <w:start w:w="90" w:type="dxa"/>
              <w:bottom w:w="85" w:type="dxa"/>
              <w:end w:w="90" w:type="dxa"/>
            </w:tcMar>
          </w:tcPr>
          <w:p>
            <w:pPr>
              <w:spacing w:after="0"/>
            </w:pPr>
            <w:r>
              <w:rPr>
                <w:sz w:val="14"/>
              </w:rPr>
              <w:t>≤7 M6; ≤5 M12</w:t>
            </w:r>
          </w:p>
        </w:tc>
        <w:tc>
          <w:tcPr>
            <w:tcW w:type="dxa" w:w="2033"/>
            <w:vAlign w:val="top"/>
            <w:tcMar>
              <w:top w:w="85" w:type="dxa"/>
              <w:start w:w="90" w:type="dxa"/>
              <w:bottom w:w="85" w:type="dxa"/>
              <w:end w:w="90" w:type="dxa"/>
            </w:tcMar>
          </w:tcPr>
          <w:p>
            <w:pPr>
              <w:spacing w:after="0"/>
            </w:pPr>
            <w:r>
              <w:rPr>
                <w:sz w:val="14"/>
              </w:rPr>
              <w:t>Controller / monthly</w:t>
            </w:r>
          </w:p>
        </w:tc>
      </w:tr>
      <w:tr>
        <w:tc>
          <w:tcPr>
            <w:tcW w:type="dxa" w:w="2033"/>
            <w:vAlign w:val="top"/>
            <w:tcMar>
              <w:top w:w="85" w:type="dxa"/>
              <w:start w:w="90" w:type="dxa"/>
              <w:bottom w:w="85" w:type="dxa"/>
              <w:end w:w="90" w:type="dxa"/>
            </w:tcMar>
            <w:shd w:fill="F3F5F7"/>
          </w:tcPr>
          <w:p>
            <w:pPr>
              <w:spacing w:after="0"/>
            </w:pPr>
            <w:r>
              <w:rPr>
                <w:sz w:val="14"/>
              </w:rPr>
              <w:t>Control execution</w:t>
            </w:r>
          </w:p>
        </w:tc>
        <w:tc>
          <w:tcPr>
            <w:tcW w:type="dxa" w:w="2033"/>
            <w:vAlign w:val="top"/>
            <w:tcMar>
              <w:top w:w="85" w:type="dxa"/>
              <w:start w:w="90" w:type="dxa"/>
              <w:bottom w:w="85" w:type="dxa"/>
              <w:end w:w="90" w:type="dxa"/>
            </w:tcMar>
            <w:shd w:fill="F3F5F7"/>
          </w:tcPr>
          <w:p>
            <w:pPr>
              <w:spacing w:after="0"/>
            </w:pPr>
            <w:r>
              <w:rPr>
                <w:sz w:val="14"/>
              </w:rPr>
              <w:t>Key control instances completed on time with evidence ÷ due instances</w:t>
            </w:r>
          </w:p>
        </w:tc>
        <w:tc>
          <w:tcPr>
            <w:tcW w:type="dxa" w:w="2033"/>
            <w:vAlign w:val="top"/>
            <w:tcMar>
              <w:top w:w="85" w:type="dxa"/>
              <w:start w:w="90" w:type="dxa"/>
              <w:bottom w:w="85" w:type="dxa"/>
              <w:end w:w="90" w:type="dxa"/>
            </w:tcMar>
            <w:shd w:fill="F3F5F7"/>
          </w:tcPr>
          <w:p>
            <w:pPr>
              <w:spacing w:after="0"/>
            </w:pPr>
            <w:r>
              <w:rPr>
                <w:sz w:val="14"/>
              </w:rPr>
              <w:t>Validate M1</w:t>
            </w:r>
          </w:p>
        </w:tc>
        <w:tc>
          <w:tcPr>
            <w:tcW w:type="dxa" w:w="2033"/>
            <w:vAlign w:val="top"/>
            <w:tcMar>
              <w:top w:w="85" w:type="dxa"/>
              <w:start w:w="90" w:type="dxa"/>
              <w:bottom w:w="85" w:type="dxa"/>
              <w:end w:w="90" w:type="dxa"/>
            </w:tcMar>
            <w:shd w:fill="F3F5F7"/>
          </w:tcPr>
          <w:p>
            <w:pPr>
              <w:spacing w:after="0"/>
            </w:pPr>
            <w:r>
              <w:rPr>
                <w:sz w:val="14"/>
              </w:rPr>
              <w:t>≥98%; 100% critical controls</w:t>
            </w:r>
          </w:p>
        </w:tc>
        <w:tc>
          <w:tcPr>
            <w:tcW w:type="dxa" w:w="2033"/>
            <w:vAlign w:val="top"/>
            <w:tcMar>
              <w:top w:w="85" w:type="dxa"/>
              <w:start w:w="90" w:type="dxa"/>
              <w:bottom w:w="85" w:type="dxa"/>
              <w:end w:w="90" w:type="dxa"/>
            </w:tcMar>
            <w:shd w:fill="F3F5F7"/>
          </w:tcPr>
          <w:p>
            <w:pPr>
              <w:spacing w:after="0"/>
            </w:pPr>
            <w:r>
              <w:rPr>
                <w:sz w:val="14"/>
              </w:rPr>
              <w:t>Control owners / monthly</w:t>
            </w:r>
          </w:p>
        </w:tc>
      </w:tr>
      <w:tr>
        <w:tc>
          <w:tcPr>
            <w:tcW w:type="dxa" w:w="2033"/>
            <w:vAlign w:val="top"/>
            <w:tcMar>
              <w:top w:w="85" w:type="dxa"/>
              <w:start w:w="90" w:type="dxa"/>
              <w:bottom w:w="85" w:type="dxa"/>
              <w:end w:w="90" w:type="dxa"/>
            </w:tcMar>
          </w:tcPr>
          <w:p>
            <w:pPr>
              <w:spacing w:after="0"/>
            </w:pPr>
            <w:r>
              <w:rPr>
                <w:sz w:val="14"/>
              </w:rPr>
              <w:t>Bank-change assurance</w:t>
            </w:r>
          </w:p>
        </w:tc>
        <w:tc>
          <w:tcPr>
            <w:tcW w:type="dxa" w:w="2033"/>
            <w:vAlign w:val="top"/>
            <w:tcMar>
              <w:top w:w="85" w:type="dxa"/>
              <w:start w:w="90" w:type="dxa"/>
              <w:bottom w:w="85" w:type="dxa"/>
              <w:end w:w="90" w:type="dxa"/>
            </w:tcMar>
          </w:tcPr>
          <w:p>
            <w:pPr>
              <w:spacing w:after="0"/>
            </w:pPr>
            <w:r>
              <w:rPr>
                <w:sz w:val="14"/>
              </w:rPr>
              <w:t>Changes independently verified before activation ÷ total changes</w:t>
            </w:r>
          </w:p>
        </w:tc>
        <w:tc>
          <w:tcPr>
            <w:tcW w:type="dxa" w:w="2033"/>
            <w:vAlign w:val="top"/>
            <w:tcMar>
              <w:top w:w="85" w:type="dxa"/>
              <w:start w:w="90" w:type="dxa"/>
              <w:bottom w:w="85" w:type="dxa"/>
              <w:end w:w="90" w:type="dxa"/>
            </w:tcMar>
          </w:tcPr>
          <w:p>
            <w:pPr>
              <w:spacing w:after="0"/>
            </w:pPr>
            <w:r>
              <w:rPr>
                <w:sz w:val="14"/>
              </w:rPr>
              <w:t>Validate Wk 1</w:t>
            </w:r>
          </w:p>
        </w:tc>
        <w:tc>
          <w:tcPr>
            <w:tcW w:type="dxa" w:w="2033"/>
            <w:vAlign w:val="top"/>
            <w:tcMar>
              <w:top w:w="85" w:type="dxa"/>
              <w:start w:w="90" w:type="dxa"/>
              <w:bottom w:w="85" w:type="dxa"/>
              <w:end w:w="90" w:type="dxa"/>
            </w:tcMar>
          </w:tcPr>
          <w:p>
            <w:pPr>
              <w:spacing w:after="0"/>
            </w:pPr>
            <w:r>
              <w:rPr>
                <w:sz w:val="14"/>
              </w:rPr>
              <w:t>100%</w:t>
            </w:r>
          </w:p>
        </w:tc>
        <w:tc>
          <w:tcPr>
            <w:tcW w:type="dxa" w:w="2033"/>
            <w:vAlign w:val="top"/>
            <w:tcMar>
              <w:top w:w="85" w:type="dxa"/>
              <w:start w:w="90" w:type="dxa"/>
              <w:bottom w:w="85" w:type="dxa"/>
              <w:end w:w="90" w:type="dxa"/>
            </w:tcMar>
          </w:tcPr>
          <w:p>
            <w:pPr>
              <w:spacing w:after="0"/>
            </w:pPr>
            <w:r>
              <w:rPr>
                <w:sz w:val="14"/>
              </w:rPr>
              <w:t>Master Data / per event</w:t>
            </w:r>
          </w:p>
        </w:tc>
      </w:tr>
      <w:tr>
        <w:tc>
          <w:tcPr>
            <w:tcW w:type="dxa" w:w="2033"/>
            <w:vAlign w:val="top"/>
            <w:tcMar>
              <w:top w:w="85" w:type="dxa"/>
              <w:start w:w="90" w:type="dxa"/>
              <w:bottom w:w="85" w:type="dxa"/>
              <w:end w:w="90" w:type="dxa"/>
            </w:tcMar>
            <w:shd w:fill="F3F5F7"/>
          </w:tcPr>
          <w:p>
            <w:pPr>
              <w:spacing w:after="0"/>
            </w:pPr>
            <w:r>
              <w:rPr>
                <w:sz w:val="14"/>
              </w:rPr>
              <w:t>Access hygiene</w:t>
            </w:r>
          </w:p>
        </w:tc>
        <w:tc>
          <w:tcPr>
            <w:tcW w:type="dxa" w:w="2033"/>
            <w:vAlign w:val="top"/>
            <w:tcMar>
              <w:top w:w="85" w:type="dxa"/>
              <w:start w:w="90" w:type="dxa"/>
              <w:bottom w:w="85" w:type="dxa"/>
              <w:end w:w="90" w:type="dxa"/>
            </w:tcMar>
            <w:shd w:fill="F3F5F7"/>
          </w:tcPr>
          <w:p>
            <w:pPr>
              <w:spacing w:after="0"/>
            </w:pPr>
            <w:r>
              <w:rPr>
                <w:sz w:val="14"/>
              </w:rPr>
              <w:t>Quarterly access reviews completed; critical SoD conflicts unresolved</w:t>
            </w:r>
          </w:p>
        </w:tc>
        <w:tc>
          <w:tcPr>
            <w:tcW w:type="dxa" w:w="2033"/>
            <w:vAlign w:val="top"/>
            <w:tcMar>
              <w:top w:w="85" w:type="dxa"/>
              <w:start w:w="90" w:type="dxa"/>
              <w:bottom w:w="85" w:type="dxa"/>
              <w:end w:w="90" w:type="dxa"/>
            </w:tcMar>
            <w:shd w:fill="F3F5F7"/>
          </w:tcPr>
          <w:p>
            <w:pPr>
              <w:spacing w:after="0"/>
            </w:pPr>
            <w:r>
              <w:rPr>
                <w:sz w:val="14"/>
              </w:rPr>
              <w:t>Validate M1</w:t>
            </w:r>
          </w:p>
        </w:tc>
        <w:tc>
          <w:tcPr>
            <w:tcW w:type="dxa" w:w="2033"/>
            <w:vAlign w:val="top"/>
            <w:tcMar>
              <w:top w:w="85" w:type="dxa"/>
              <w:start w:w="90" w:type="dxa"/>
              <w:bottom w:w="85" w:type="dxa"/>
              <w:end w:w="90" w:type="dxa"/>
            </w:tcMar>
            <w:shd w:fill="F3F5F7"/>
          </w:tcPr>
          <w:p>
            <w:pPr>
              <w:spacing w:after="0"/>
            </w:pPr>
            <w:r>
              <w:rPr>
                <w:sz w:val="14"/>
              </w:rPr>
              <w:t>100% complete; zero overdue critical conflicts</w:t>
            </w:r>
          </w:p>
        </w:tc>
        <w:tc>
          <w:tcPr>
            <w:tcW w:type="dxa" w:w="2033"/>
            <w:vAlign w:val="top"/>
            <w:tcMar>
              <w:top w:w="85" w:type="dxa"/>
              <w:start w:w="90" w:type="dxa"/>
              <w:bottom w:w="85" w:type="dxa"/>
              <w:end w:w="90" w:type="dxa"/>
            </w:tcMar>
            <w:shd w:fill="F3F5F7"/>
          </w:tcPr>
          <w:p>
            <w:pPr>
              <w:spacing w:after="0"/>
            </w:pPr>
            <w:r>
              <w:rPr>
                <w:sz w:val="14"/>
              </w:rPr>
              <w:t>CISO / quarterly</w:t>
            </w:r>
          </w:p>
        </w:tc>
      </w:tr>
    </w:tbl>
    <w:p>
      <w:pPr>
        <w:pStyle w:val="Caption"/>
      </w:pPr>
      <w:r>
        <w:t>*Provisional risk-appetite threshold to be confirmed after baseline and peer/economic analysis.</w:t>
      </w:r>
    </w:p>
    <w:p>
      <w:pPr>
        <w:pStyle w:val="Heading2"/>
        <w:keepNext/>
      </w:pPr>
      <w:r>
        <w:t>9.1 Dashboard rules</w:t>
      </w:r>
    </w:p>
    <w:p>
      <w:pPr>
        <w:pStyle w:val="ListBullet"/>
      </w:pPr>
      <w:r>
        <w:t>Report both count and monetary value; a low count can conceal a high-value exposure.</w:t>
      </w:r>
    </w:p>
    <w:p>
      <w:pPr>
        <w:pStyle w:val="ListBullet"/>
      </w:pPr>
      <w:r>
        <w:t>Segment by gateway, bank, currency, seller cohort, age, root cause and system source.</w:t>
      </w:r>
    </w:p>
    <w:p>
      <w:pPr>
        <w:pStyle w:val="ListBullet"/>
      </w:pPr>
      <w:r>
        <w:t>Show definitions, source, refresh time and reconciliation status on every KPI.</w:t>
      </w:r>
    </w:p>
    <w:p>
      <w:pPr>
        <w:pStyle w:val="ListBullet"/>
      </w:pPr>
      <w:r>
        <w:t>Distinguish leading indicators (CTK completeness, failed interfaces, control completion) from outcomes (loss, complaints, close duration).</w:t>
      </w:r>
    </w:p>
    <w:p>
      <w:pPr>
        <w:pStyle w:val="ListBullet"/>
      </w:pPr>
      <w:r>
        <w:t>Escalate target breaches with a named corrective action and due date, rather than presenting red status without ownership.</w:t>
      </w:r>
    </w:p>
    <w:p>
      <w:pPr>
        <w:pStyle w:val="Heading1"/>
        <w:keepNext/>
      </w:pPr>
      <w:r>
        <w:t>10. Benefits case and dependencies</w:t>
      </w:r>
    </w:p>
    <w:p>
      <w:pPr>
        <w:pStyle w:val="Heading2"/>
        <w:keepNext/>
      </w:pPr>
      <w:r>
        <w:t>10.1 Benefit categories</w:t>
      </w:r>
    </w:p>
    <w:p>
      <w:pPr>
        <w:pStyle w:val="ListBullet"/>
      </w:pPr>
      <w:r>
        <w:t>Loss avoidance: prevented duplicate invoices, refund leakage and payment diversion.</w:t>
      </w:r>
    </w:p>
    <w:p>
      <w:pPr>
        <w:pStyle w:val="ListBullet"/>
      </w:pPr>
      <w:r>
        <w:t>Working-capital and cash visibility: faster identification of gateway receivables, reversals and failed settlements.</w:t>
      </w:r>
    </w:p>
    <w:p>
      <w:pPr>
        <w:pStyle w:val="ListBullet"/>
      </w:pPr>
      <w:r>
        <w:t>Productivity: less manual matching, email chasing, journal correction and vendor query handling.</w:t>
      </w:r>
    </w:p>
    <w:p>
      <w:pPr>
        <w:pStyle w:val="ListBullet"/>
      </w:pPr>
      <w:r>
        <w:t>Close acceleration: earlier issue detection, controlled suspense and evidence-ready reconciliations.</w:t>
      </w:r>
    </w:p>
    <w:p>
      <w:pPr>
        <w:pStyle w:val="ListBullet"/>
      </w:pPr>
      <w:r>
        <w:t>Trust: accurate status communication and predictable seller/refund timelines.</w:t>
      </w:r>
    </w:p>
    <w:p>
      <w:pPr>
        <w:pStyle w:val="ListBullet"/>
      </w:pPr>
      <w:r>
        <w:t>Assurance: stronger segregation, access evidence, audit trails and control testing.</w:t>
      </w:r>
    </w:p>
    <w:p>
      <w:pPr>
        <w:pStyle w:val="Heading2"/>
        <w:keepNext/>
      </w:pPr>
      <w:r>
        <w:t>10.2 Quantification model</w:t>
      </w:r>
    </w:p>
    <w:p>
      <w:pPr>
        <w:pStyle w:val="BodyText"/>
      </w:pPr>
      <w:r>
        <w:t>Finance should calculate annual benefit as: avoided confirmed losses + recovered leakage + hours removed × fully loaded cost + avoided late-payment/chargeback costs + value of accelerated close and cash visibility. Deduct software, integration, support, change-management and incremental control costs. Present conservative, expected and upside scenarios. Benefits should be recognised only when supported by baseline and post-change evidence.</w:t>
      </w:r>
    </w:p>
    <w:p>
      <w:pPr>
        <w:pStyle w:val="Heading2"/>
        <w:keepNext/>
      </w:pPr>
      <w:r>
        <w:t>10.3 Critical dependencies</w:t>
      </w:r>
    </w:p>
    <w:p>
      <w:pPr>
        <w:pStyle w:val="ListBullet"/>
      </w:pPr>
      <w:r>
        <w:t>Reliable API/file access to gateway settlement detail and bank acknowledgements.</w:t>
      </w:r>
    </w:p>
    <w:p>
      <w:pPr>
        <w:pStyle w:val="ListBullet"/>
      </w:pPr>
      <w:r>
        <w:t>Executive authority to assign cross-functional ownership and retire shadow spreadsheets.</w:t>
      </w:r>
    </w:p>
    <w:p>
      <w:pPr>
        <w:pStyle w:val="ListBullet"/>
      </w:pPr>
      <w:r>
        <w:t>Vendor-master remediation capacity and secure independent contact information.</w:t>
      </w:r>
    </w:p>
    <w:p>
      <w:pPr>
        <w:pStyle w:val="ListBullet"/>
      </w:pPr>
      <w:r>
        <w:t>Technology capacity for CTK propagation, event schemas, logging and resilient interfaces.</w:t>
      </w:r>
    </w:p>
    <w:p>
      <w:pPr>
        <w:pStyle w:val="ListBullet"/>
      </w:pPr>
      <w:r>
        <w:t>Training and operational readiness so case queues, approvals and escalation are used consistently.</w:t>
      </w:r>
    </w:p>
    <w:p>
      <w:pPr>
        <w:pStyle w:val="Heading1"/>
        <w:keepNext/>
      </w:pPr>
      <w:r>
        <w:t>11. Conclusion</w:t>
      </w:r>
    </w:p>
    <w:p>
      <w:pPr>
        <w:pStyle w:val="BodyText"/>
      </w:pPr>
      <w:r>
        <w:t>SwiftCart should approve a process-and-data-led transformation with phased automation. The immediate objective is not to purchase software; it is to create a controlled transaction chain in which every event can be identified, owned, evidenced and resolved. Once the CTK, master data, status definitions, exception SLAs and access controls are stable, automation can deliver high match rates without compromising auditability.</w:t>
      </w:r>
    </w:p>
    <w:p>
      <w:pPr>
        <w:pStyle w:val="BodyText"/>
      </w:pPr>
      <w:r>
        <w:t>This design resolves the apparent tension between stronger controls and customer speed. Clean, low-risk transactions move faster through straight-through rules, while exceptions receive targeted review and explicit escalation. The same approach improves vendor confidence by replacing ambiguous ‘processed’ messages with bank-confirmed settlement status. Progress should be judged by aged-item reduction, verified payment timeliness, refund integrity, shorter close and sustained control execution—not by software deployment alone.</w:t>
      </w:r>
    </w:p>
    <w:p>
      <w:r>
        <w:br w:type="page"/>
      </w:r>
    </w:p>
    <w:p>
      <w:pPr>
        <w:pStyle w:val="Heading1"/>
        <w:keepNext/>
      </w:pPr>
      <w:r>
        <w:t>Appendix A. Information required to validate the business case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vAlign w:val="center"/>
            <w:tcMar>
              <w:top w:w="90" w:type="dxa"/>
              <w:start w:w="90" w:type="dxa"/>
              <w:bottom w:w="90" w:type="dxa"/>
              <w:end w:w="90" w:type="dxa"/>
            </w:tcMar>
          </w:tcPr>
          <w:p>
            <w:pPr>
              <w:jc w:val="left"/>
            </w:pPr>
            <w:r>
              <w:rPr>
                <w:b/>
                <w:color w:val="FFFFFF"/>
                <w:sz w:val="14"/>
              </w:rPr>
              <w:t>Data set</w:t>
            </w:r>
          </w:p>
        </w:tc>
        <w:tc>
          <w:tcPr>
            <w:tcW w:type="dxa" w:w="2541"/>
            <w:shd w:fill="17324D"/>
            <w:vAlign w:val="center"/>
            <w:tcMar>
              <w:top w:w="90" w:type="dxa"/>
              <w:start w:w="90" w:type="dxa"/>
              <w:bottom w:w="90" w:type="dxa"/>
              <w:end w:w="90" w:type="dxa"/>
            </w:tcMar>
          </w:tcPr>
          <w:p>
            <w:pPr>
              <w:jc w:val="left"/>
            </w:pPr>
            <w:r>
              <w:rPr>
                <w:b/>
                <w:color w:val="FFFFFF"/>
                <w:sz w:val="14"/>
              </w:rPr>
              <w:t>Minimum fields / cut</w:t>
            </w:r>
          </w:p>
        </w:tc>
        <w:tc>
          <w:tcPr>
            <w:tcW w:type="dxa" w:w="2541"/>
            <w:shd w:fill="17324D"/>
            <w:vAlign w:val="center"/>
            <w:tcMar>
              <w:top w:w="90" w:type="dxa"/>
              <w:start w:w="90" w:type="dxa"/>
              <w:bottom w:w="90" w:type="dxa"/>
              <w:end w:w="90" w:type="dxa"/>
            </w:tcMar>
          </w:tcPr>
          <w:p>
            <w:pPr>
              <w:jc w:val="left"/>
            </w:pPr>
            <w:r>
              <w:rPr>
                <w:b/>
                <w:color w:val="FFFFFF"/>
                <w:sz w:val="14"/>
              </w:rPr>
              <w:t>Purpose</w:t>
            </w:r>
          </w:p>
        </w:tc>
        <w:tc>
          <w:tcPr>
            <w:tcW w:type="dxa" w:w="2541"/>
            <w:shd w:fill="17324D"/>
            <w:vAlign w:val="center"/>
            <w:tcMar>
              <w:top w:w="90" w:type="dxa"/>
              <w:start w:w="90" w:type="dxa"/>
              <w:bottom w:w="90" w:type="dxa"/>
              <w:end w:w="90" w:type="dxa"/>
            </w:tcMar>
          </w:tcPr>
          <w:p>
            <w:pPr>
              <w:jc w:val="left"/>
            </w:pPr>
            <w:r>
              <w:rPr>
                <w:b/>
                <w:color w:val="FFFFFF"/>
                <w:sz w:val="14"/>
              </w:rPr>
              <w:t>Owner</w:t>
            </w:r>
          </w:p>
        </w:tc>
      </w:tr>
      <w:tr>
        <w:tc>
          <w:tcPr>
            <w:tcW w:type="dxa" w:w="2541"/>
            <w:vAlign w:val="top"/>
            <w:tcMar>
              <w:top w:w="85" w:type="dxa"/>
              <w:start w:w="90" w:type="dxa"/>
              <w:bottom w:w="85" w:type="dxa"/>
              <w:end w:w="90" w:type="dxa"/>
            </w:tcMar>
          </w:tcPr>
          <w:p>
            <w:pPr>
              <w:spacing w:after="0"/>
            </w:pPr>
            <w:r>
              <w:rPr>
                <w:sz w:val="14"/>
              </w:rPr>
              <w:t>Transactions</w:t>
            </w:r>
          </w:p>
        </w:tc>
        <w:tc>
          <w:tcPr>
            <w:tcW w:type="dxa" w:w="2541"/>
            <w:vAlign w:val="top"/>
            <w:tcMar>
              <w:top w:w="85" w:type="dxa"/>
              <w:start w:w="90" w:type="dxa"/>
              <w:bottom w:w="85" w:type="dxa"/>
              <w:end w:w="90" w:type="dxa"/>
            </w:tcMar>
          </w:tcPr>
          <w:p>
            <w:pPr>
              <w:spacing w:after="0"/>
            </w:pPr>
            <w:r>
              <w:rPr>
                <w:sz w:val="14"/>
              </w:rPr>
              <w:t>12 months by order, gateway, amount, currency, status, timestamps, CTK/source IDs</w:t>
            </w:r>
          </w:p>
        </w:tc>
        <w:tc>
          <w:tcPr>
            <w:tcW w:type="dxa" w:w="2541"/>
            <w:vAlign w:val="top"/>
            <w:tcMar>
              <w:top w:w="85" w:type="dxa"/>
              <w:start w:w="90" w:type="dxa"/>
              <w:bottom w:w="85" w:type="dxa"/>
              <w:end w:w="90" w:type="dxa"/>
            </w:tcMar>
          </w:tcPr>
          <w:p>
            <w:pPr>
              <w:spacing w:after="0"/>
            </w:pPr>
            <w:r>
              <w:rPr>
                <w:sz w:val="14"/>
              </w:rPr>
              <w:t>Volumes, match patterns, peak load and failure rates</w:t>
            </w:r>
          </w:p>
        </w:tc>
        <w:tc>
          <w:tcPr>
            <w:tcW w:type="dxa" w:w="2541"/>
            <w:vAlign w:val="top"/>
            <w:tcMar>
              <w:top w:w="85" w:type="dxa"/>
              <w:start w:w="90" w:type="dxa"/>
              <w:bottom w:w="85" w:type="dxa"/>
              <w:end w:w="90" w:type="dxa"/>
            </w:tcMar>
          </w:tcPr>
          <w:p>
            <w:pPr>
              <w:spacing w:after="0"/>
            </w:pPr>
            <w:r>
              <w:rPr>
                <w:sz w:val="14"/>
              </w:rPr>
              <w:t>Technology / Payments</w:t>
            </w:r>
          </w:p>
        </w:tc>
      </w:tr>
      <w:tr>
        <w:tc>
          <w:tcPr>
            <w:tcW w:type="dxa" w:w="2541"/>
            <w:vAlign w:val="top"/>
            <w:tcMar>
              <w:top w:w="85" w:type="dxa"/>
              <w:start w:w="90" w:type="dxa"/>
              <w:bottom w:w="85" w:type="dxa"/>
              <w:end w:w="90" w:type="dxa"/>
            </w:tcMar>
            <w:shd w:fill="F3F5F7"/>
          </w:tcPr>
          <w:p>
            <w:pPr>
              <w:spacing w:after="0"/>
            </w:pPr>
            <w:r>
              <w:rPr>
                <w:sz w:val="14"/>
              </w:rPr>
              <w:t>Settlement detail</w:t>
            </w:r>
          </w:p>
        </w:tc>
        <w:tc>
          <w:tcPr>
            <w:tcW w:type="dxa" w:w="2541"/>
            <w:vAlign w:val="top"/>
            <w:tcMar>
              <w:top w:w="85" w:type="dxa"/>
              <w:start w:w="90" w:type="dxa"/>
              <w:bottom w:w="85" w:type="dxa"/>
              <w:end w:w="90" w:type="dxa"/>
            </w:tcMar>
            <w:shd w:fill="F3F5F7"/>
          </w:tcPr>
          <w:p>
            <w:pPr>
              <w:spacing w:after="0"/>
            </w:pPr>
            <w:r>
              <w:rPr>
                <w:sz w:val="14"/>
              </w:rPr>
              <w:t>Gateway batches, fees, refunds, chargebacks, bank credits/debits and value dates</w:t>
            </w:r>
          </w:p>
        </w:tc>
        <w:tc>
          <w:tcPr>
            <w:tcW w:type="dxa" w:w="2541"/>
            <w:vAlign w:val="top"/>
            <w:tcMar>
              <w:top w:w="85" w:type="dxa"/>
              <w:start w:w="90" w:type="dxa"/>
              <w:bottom w:w="85" w:type="dxa"/>
              <w:end w:w="90" w:type="dxa"/>
            </w:tcMar>
            <w:shd w:fill="F3F5F7"/>
          </w:tcPr>
          <w:p>
            <w:pPr>
              <w:spacing w:after="0"/>
            </w:pPr>
            <w:r>
              <w:rPr>
                <w:sz w:val="14"/>
              </w:rPr>
              <w:t>Gross-to-net reconciliation and timing analysis</w:t>
            </w:r>
          </w:p>
        </w:tc>
        <w:tc>
          <w:tcPr>
            <w:tcW w:type="dxa" w:w="2541"/>
            <w:vAlign w:val="top"/>
            <w:tcMar>
              <w:top w:w="85" w:type="dxa"/>
              <w:start w:w="90" w:type="dxa"/>
              <w:bottom w:w="85" w:type="dxa"/>
              <w:end w:w="90" w:type="dxa"/>
            </w:tcMar>
            <w:shd w:fill="F3F5F7"/>
          </w:tcPr>
          <w:p>
            <w:pPr>
              <w:spacing w:after="0"/>
            </w:pPr>
            <w:r>
              <w:rPr>
                <w:sz w:val="14"/>
              </w:rPr>
              <w:t>Treasury</w:t>
            </w:r>
          </w:p>
        </w:tc>
      </w:tr>
      <w:tr>
        <w:tc>
          <w:tcPr>
            <w:tcW w:type="dxa" w:w="2541"/>
            <w:vAlign w:val="top"/>
            <w:tcMar>
              <w:top w:w="85" w:type="dxa"/>
              <w:start w:w="90" w:type="dxa"/>
              <w:bottom w:w="85" w:type="dxa"/>
              <w:end w:w="90" w:type="dxa"/>
            </w:tcMar>
          </w:tcPr>
          <w:p>
            <w:pPr>
              <w:spacing w:after="0"/>
            </w:pPr>
            <w:r>
              <w:rPr>
                <w:sz w:val="14"/>
              </w:rPr>
              <w:t>Exceptions</w:t>
            </w:r>
          </w:p>
        </w:tc>
        <w:tc>
          <w:tcPr>
            <w:tcW w:type="dxa" w:w="2541"/>
            <w:vAlign w:val="top"/>
            <w:tcMar>
              <w:top w:w="85" w:type="dxa"/>
              <w:start w:w="90" w:type="dxa"/>
              <w:bottom w:w="85" w:type="dxa"/>
              <w:end w:w="90" w:type="dxa"/>
            </w:tcMar>
          </w:tcPr>
          <w:p>
            <w:pPr>
              <w:spacing w:after="0"/>
            </w:pPr>
            <w:r>
              <w:rPr>
                <w:sz w:val="14"/>
              </w:rPr>
              <w:t>Count/value, age, category, root cause, owner, touches and outcome</w:t>
            </w:r>
          </w:p>
        </w:tc>
        <w:tc>
          <w:tcPr>
            <w:tcW w:type="dxa" w:w="2541"/>
            <w:vAlign w:val="top"/>
            <w:tcMar>
              <w:top w:w="85" w:type="dxa"/>
              <w:start w:w="90" w:type="dxa"/>
              <w:bottom w:w="85" w:type="dxa"/>
              <w:end w:w="90" w:type="dxa"/>
            </w:tcMar>
          </w:tcPr>
          <w:p>
            <w:pPr>
              <w:spacing w:after="0"/>
            </w:pPr>
            <w:r>
              <w:rPr>
                <w:sz w:val="14"/>
              </w:rPr>
              <w:t>Backlog risk and productivity baseline</w:t>
            </w:r>
          </w:p>
        </w:tc>
        <w:tc>
          <w:tcPr>
            <w:tcW w:type="dxa" w:w="2541"/>
            <w:vAlign w:val="top"/>
            <w:tcMar>
              <w:top w:w="85" w:type="dxa"/>
              <w:start w:w="90" w:type="dxa"/>
              <w:bottom w:w="85" w:type="dxa"/>
              <w:end w:w="90" w:type="dxa"/>
            </w:tcMar>
          </w:tcPr>
          <w:p>
            <w:pPr>
              <w:spacing w:after="0"/>
            </w:pPr>
            <w:r>
              <w:rPr>
                <w:sz w:val="14"/>
              </w:rPr>
              <w:t>Finance Operations</w:t>
            </w:r>
          </w:p>
        </w:tc>
      </w:tr>
      <w:tr>
        <w:tc>
          <w:tcPr>
            <w:tcW w:type="dxa" w:w="2541"/>
            <w:vAlign w:val="top"/>
            <w:tcMar>
              <w:top w:w="85" w:type="dxa"/>
              <w:start w:w="90" w:type="dxa"/>
              <w:bottom w:w="85" w:type="dxa"/>
              <w:end w:w="90" w:type="dxa"/>
            </w:tcMar>
            <w:shd w:fill="F3F5F7"/>
          </w:tcPr>
          <w:p>
            <w:pPr>
              <w:spacing w:after="0"/>
            </w:pPr>
            <w:r>
              <w:rPr>
                <w:sz w:val="14"/>
              </w:rPr>
              <w:t>Refunds</w:t>
            </w:r>
          </w:p>
        </w:tc>
        <w:tc>
          <w:tcPr>
            <w:tcW w:type="dxa" w:w="2541"/>
            <w:vAlign w:val="top"/>
            <w:tcMar>
              <w:top w:w="85" w:type="dxa"/>
              <w:start w:w="90" w:type="dxa"/>
              <w:bottom w:w="85" w:type="dxa"/>
              <w:end w:w="90" w:type="dxa"/>
            </w:tcMar>
            <w:shd w:fill="F3F5F7"/>
          </w:tcPr>
          <w:p>
            <w:pPr>
              <w:spacing w:after="0"/>
            </w:pPr>
            <w:r>
              <w:rPr>
                <w:sz w:val="14"/>
              </w:rPr>
              <w:t>Request, approval, reason, amount, customer/order, gateway result, bank effect and confirmed loss</w:t>
            </w:r>
          </w:p>
        </w:tc>
        <w:tc>
          <w:tcPr>
            <w:tcW w:type="dxa" w:w="2541"/>
            <w:vAlign w:val="top"/>
            <w:tcMar>
              <w:top w:w="85" w:type="dxa"/>
              <w:start w:w="90" w:type="dxa"/>
              <w:bottom w:w="85" w:type="dxa"/>
              <w:end w:w="90" w:type="dxa"/>
            </w:tcMar>
            <w:shd w:fill="F3F5F7"/>
          </w:tcPr>
          <w:p>
            <w:pPr>
              <w:spacing w:after="0"/>
            </w:pPr>
            <w:r>
              <w:rPr>
                <w:sz w:val="14"/>
              </w:rPr>
              <w:t>Leakage, service time and control design</w:t>
            </w:r>
          </w:p>
        </w:tc>
        <w:tc>
          <w:tcPr>
            <w:tcW w:type="dxa" w:w="2541"/>
            <w:vAlign w:val="top"/>
            <w:tcMar>
              <w:top w:w="85" w:type="dxa"/>
              <w:start w:w="90" w:type="dxa"/>
              <w:bottom w:w="85" w:type="dxa"/>
              <w:end w:w="90" w:type="dxa"/>
            </w:tcMar>
            <w:shd w:fill="F3F5F7"/>
          </w:tcPr>
          <w:p>
            <w:pPr>
              <w:spacing w:after="0"/>
            </w:pPr>
            <w:r>
              <w:rPr>
                <w:sz w:val="14"/>
              </w:rPr>
              <w:t>Customer Service / Risk</w:t>
            </w:r>
          </w:p>
        </w:tc>
      </w:tr>
      <w:tr>
        <w:tc>
          <w:tcPr>
            <w:tcW w:type="dxa" w:w="2541"/>
            <w:vAlign w:val="top"/>
            <w:tcMar>
              <w:top w:w="85" w:type="dxa"/>
              <w:start w:w="90" w:type="dxa"/>
              <w:bottom w:w="85" w:type="dxa"/>
              <w:end w:w="90" w:type="dxa"/>
            </w:tcMar>
          </w:tcPr>
          <w:p>
            <w:pPr>
              <w:spacing w:after="0"/>
            </w:pPr>
            <w:r>
              <w:rPr>
                <w:sz w:val="14"/>
              </w:rPr>
              <w:t>Vendor payments</w:t>
            </w:r>
          </w:p>
        </w:tc>
        <w:tc>
          <w:tcPr>
            <w:tcW w:type="dxa" w:w="2541"/>
            <w:vAlign w:val="top"/>
            <w:tcMar>
              <w:top w:w="85" w:type="dxa"/>
              <w:start w:w="90" w:type="dxa"/>
              <w:bottom w:w="85" w:type="dxa"/>
              <w:end w:w="90" w:type="dxa"/>
            </w:tcMar>
          </w:tcPr>
          <w:p>
            <w:pPr>
              <w:spacing w:after="0"/>
            </w:pPr>
            <w:r>
              <w:rPr>
                <w:sz w:val="14"/>
              </w:rPr>
              <w:t>Contract due date, instruction date, bank confirmation, return, complaint and vendor cohort</w:t>
            </w:r>
          </w:p>
        </w:tc>
        <w:tc>
          <w:tcPr>
            <w:tcW w:type="dxa" w:w="2541"/>
            <w:vAlign w:val="top"/>
            <w:tcMar>
              <w:top w:w="85" w:type="dxa"/>
              <w:start w:w="90" w:type="dxa"/>
              <w:bottom w:w="85" w:type="dxa"/>
              <w:end w:w="90" w:type="dxa"/>
            </w:tcMar>
          </w:tcPr>
          <w:p>
            <w:pPr>
              <w:spacing w:after="0"/>
            </w:pPr>
            <w:r>
              <w:rPr>
                <w:sz w:val="14"/>
              </w:rPr>
              <w:t>On-time payment and confidence baseline</w:t>
            </w:r>
          </w:p>
        </w:tc>
        <w:tc>
          <w:tcPr>
            <w:tcW w:type="dxa" w:w="2541"/>
            <w:vAlign w:val="top"/>
            <w:tcMar>
              <w:top w:w="85" w:type="dxa"/>
              <w:start w:w="90" w:type="dxa"/>
              <w:bottom w:w="85" w:type="dxa"/>
              <w:end w:w="90" w:type="dxa"/>
            </w:tcMar>
          </w:tcPr>
          <w:p>
            <w:pPr>
              <w:spacing w:after="0"/>
            </w:pPr>
            <w:r>
              <w:rPr>
                <w:sz w:val="14"/>
              </w:rPr>
              <w:t>Vendor Operations</w:t>
            </w:r>
          </w:p>
        </w:tc>
      </w:tr>
      <w:tr>
        <w:tc>
          <w:tcPr>
            <w:tcW w:type="dxa" w:w="2541"/>
            <w:vAlign w:val="top"/>
            <w:tcMar>
              <w:top w:w="85" w:type="dxa"/>
              <w:start w:w="90" w:type="dxa"/>
              <w:bottom w:w="85" w:type="dxa"/>
              <w:end w:w="90" w:type="dxa"/>
            </w:tcMar>
            <w:shd w:fill="F3F5F7"/>
          </w:tcPr>
          <w:p>
            <w:pPr>
              <w:spacing w:after="0"/>
            </w:pPr>
            <w:r>
              <w:rPr>
                <w:sz w:val="14"/>
              </w:rPr>
              <w:t>Invoices</w:t>
            </w:r>
          </w:p>
        </w:tc>
        <w:tc>
          <w:tcPr>
            <w:tcW w:type="dxa" w:w="2541"/>
            <w:vAlign w:val="top"/>
            <w:tcMar>
              <w:top w:w="85" w:type="dxa"/>
              <w:start w:w="90" w:type="dxa"/>
              <w:bottom w:w="85" w:type="dxa"/>
              <w:end w:w="90" w:type="dxa"/>
            </w:tcMar>
            <w:shd w:fill="F3F5F7"/>
          </w:tcPr>
          <w:p>
            <w:pPr>
              <w:spacing w:after="0"/>
            </w:pPr>
            <w:r>
              <w:rPr>
                <w:sz w:val="14"/>
              </w:rPr>
              <w:t>Vendor, invoice number/date/amount, PO/contract, match result, duplicate recovery</w:t>
            </w:r>
          </w:p>
        </w:tc>
        <w:tc>
          <w:tcPr>
            <w:tcW w:type="dxa" w:w="2541"/>
            <w:vAlign w:val="top"/>
            <w:tcMar>
              <w:top w:w="85" w:type="dxa"/>
              <w:start w:w="90" w:type="dxa"/>
              <w:bottom w:w="85" w:type="dxa"/>
              <w:end w:w="90" w:type="dxa"/>
            </w:tcMar>
            <w:shd w:fill="F3F5F7"/>
          </w:tcPr>
          <w:p>
            <w:pPr>
              <w:spacing w:after="0"/>
            </w:pPr>
            <w:r>
              <w:rPr>
                <w:sz w:val="14"/>
              </w:rPr>
              <w:t>Duplicate-loss and prevention baseline</w:t>
            </w:r>
          </w:p>
        </w:tc>
        <w:tc>
          <w:tcPr>
            <w:tcW w:type="dxa" w:w="2541"/>
            <w:vAlign w:val="top"/>
            <w:tcMar>
              <w:top w:w="85" w:type="dxa"/>
              <w:start w:w="90" w:type="dxa"/>
              <w:bottom w:w="85" w:type="dxa"/>
              <w:end w:w="90" w:type="dxa"/>
            </w:tcMar>
            <w:shd w:fill="F3F5F7"/>
          </w:tcPr>
          <w:p>
            <w:pPr>
              <w:spacing w:after="0"/>
            </w:pPr>
            <w:r>
              <w:rPr>
                <w:sz w:val="14"/>
              </w:rPr>
              <w:t>Accounts Payable</w:t>
            </w:r>
          </w:p>
        </w:tc>
      </w:tr>
      <w:tr>
        <w:tc>
          <w:tcPr>
            <w:tcW w:type="dxa" w:w="2541"/>
            <w:vAlign w:val="top"/>
            <w:tcMar>
              <w:top w:w="85" w:type="dxa"/>
              <w:start w:w="90" w:type="dxa"/>
              <w:bottom w:w="85" w:type="dxa"/>
              <w:end w:w="90" w:type="dxa"/>
            </w:tcMar>
          </w:tcPr>
          <w:p>
            <w:pPr>
              <w:spacing w:after="0"/>
            </w:pPr>
            <w:r>
              <w:rPr>
                <w:sz w:val="14"/>
              </w:rPr>
              <w:t>Master changes</w:t>
            </w:r>
          </w:p>
        </w:tc>
        <w:tc>
          <w:tcPr>
            <w:tcW w:type="dxa" w:w="2541"/>
            <w:vAlign w:val="top"/>
            <w:tcMar>
              <w:top w:w="85" w:type="dxa"/>
              <w:start w:w="90" w:type="dxa"/>
              <w:bottom w:w="85" w:type="dxa"/>
              <w:end w:w="90" w:type="dxa"/>
            </w:tcMar>
          </w:tcPr>
          <w:p>
            <w:pPr>
              <w:spacing w:after="0"/>
            </w:pPr>
            <w:r>
              <w:rPr>
                <w:sz w:val="14"/>
              </w:rPr>
              <w:t>Old/new values, requester, approver, callback evidence, activation and first payment</w:t>
            </w:r>
          </w:p>
        </w:tc>
        <w:tc>
          <w:tcPr>
            <w:tcW w:type="dxa" w:w="2541"/>
            <w:vAlign w:val="top"/>
            <w:tcMar>
              <w:top w:w="85" w:type="dxa"/>
              <w:start w:w="90" w:type="dxa"/>
              <w:bottom w:w="85" w:type="dxa"/>
              <w:end w:w="90" w:type="dxa"/>
            </w:tcMar>
          </w:tcPr>
          <w:p>
            <w:pPr>
              <w:spacing w:after="0"/>
            </w:pPr>
            <w:r>
              <w:rPr>
                <w:sz w:val="14"/>
              </w:rPr>
              <w:t>Bank-change control testing</w:t>
            </w:r>
          </w:p>
        </w:tc>
        <w:tc>
          <w:tcPr>
            <w:tcW w:type="dxa" w:w="2541"/>
            <w:vAlign w:val="top"/>
            <w:tcMar>
              <w:top w:w="85" w:type="dxa"/>
              <w:start w:w="90" w:type="dxa"/>
              <w:bottom w:w="85" w:type="dxa"/>
              <w:end w:w="90" w:type="dxa"/>
            </w:tcMar>
          </w:tcPr>
          <w:p>
            <w:pPr>
              <w:spacing w:after="0"/>
            </w:pPr>
            <w:r>
              <w:rPr>
                <w:sz w:val="14"/>
              </w:rPr>
              <w:t>Vendor Master Data</w:t>
            </w:r>
          </w:p>
        </w:tc>
      </w:tr>
      <w:tr>
        <w:tc>
          <w:tcPr>
            <w:tcW w:type="dxa" w:w="2541"/>
            <w:vAlign w:val="top"/>
            <w:tcMar>
              <w:top w:w="85" w:type="dxa"/>
              <w:start w:w="90" w:type="dxa"/>
              <w:bottom w:w="85" w:type="dxa"/>
              <w:end w:w="90" w:type="dxa"/>
            </w:tcMar>
            <w:shd w:fill="F3F5F7"/>
          </w:tcPr>
          <w:p>
            <w:pPr>
              <w:spacing w:after="0"/>
            </w:pPr>
            <w:r>
              <w:rPr>
                <w:sz w:val="14"/>
              </w:rPr>
              <w:t>Access</w:t>
            </w:r>
          </w:p>
        </w:tc>
        <w:tc>
          <w:tcPr>
            <w:tcW w:type="dxa" w:w="2541"/>
            <w:vAlign w:val="top"/>
            <w:tcMar>
              <w:top w:w="85" w:type="dxa"/>
              <w:start w:w="90" w:type="dxa"/>
              <w:bottom w:w="85" w:type="dxa"/>
              <w:end w:w="90" w:type="dxa"/>
            </w:tcMar>
            <w:shd w:fill="F3F5F7"/>
          </w:tcPr>
          <w:p>
            <w:pPr>
              <w:spacing w:after="0"/>
            </w:pPr>
            <w:r>
              <w:rPr>
                <w:sz w:val="14"/>
              </w:rPr>
              <w:t>Roles, privileges, last login, conflicts, approvals and recertification</w:t>
            </w:r>
          </w:p>
        </w:tc>
        <w:tc>
          <w:tcPr>
            <w:tcW w:type="dxa" w:w="2541"/>
            <w:vAlign w:val="top"/>
            <w:tcMar>
              <w:top w:w="85" w:type="dxa"/>
              <w:start w:w="90" w:type="dxa"/>
              <w:bottom w:w="85" w:type="dxa"/>
              <w:end w:w="90" w:type="dxa"/>
            </w:tcMar>
            <w:shd w:fill="F3F5F7"/>
          </w:tcPr>
          <w:p>
            <w:pPr>
              <w:spacing w:after="0"/>
            </w:pPr>
            <w:r>
              <w:rPr>
                <w:sz w:val="14"/>
              </w:rPr>
              <w:t>Least privilege and SoD remediation</w:t>
            </w:r>
          </w:p>
        </w:tc>
        <w:tc>
          <w:tcPr>
            <w:tcW w:type="dxa" w:w="2541"/>
            <w:vAlign w:val="top"/>
            <w:tcMar>
              <w:top w:w="85" w:type="dxa"/>
              <w:start w:w="90" w:type="dxa"/>
              <w:bottom w:w="85" w:type="dxa"/>
              <w:end w:w="90" w:type="dxa"/>
            </w:tcMar>
            <w:shd w:fill="F3F5F7"/>
          </w:tcPr>
          <w:p>
            <w:pPr>
              <w:spacing w:after="0"/>
            </w:pPr>
            <w:r>
              <w:rPr>
                <w:sz w:val="14"/>
              </w:rPr>
              <w:t>Information Security</w:t>
            </w:r>
          </w:p>
        </w:tc>
      </w:tr>
      <w:tr>
        <w:tc>
          <w:tcPr>
            <w:tcW w:type="dxa" w:w="2541"/>
            <w:vAlign w:val="top"/>
            <w:tcMar>
              <w:top w:w="85" w:type="dxa"/>
              <w:start w:w="90" w:type="dxa"/>
              <w:bottom w:w="85" w:type="dxa"/>
              <w:end w:w="90" w:type="dxa"/>
            </w:tcMar>
          </w:tcPr>
          <w:p>
            <w:pPr>
              <w:spacing w:after="0"/>
            </w:pPr>
            <w:r>
              <w:rPr>
                <w:sz w:val="14"/>
              </w:rPr>
              <w:t>Close effort</w:t>
            </w:r>
          </w:p>
        </w:tc>
        <w:tc>
          <w:tcPr>
            <w:tcW w:type="dxa" w:w="2541"/>
            <w:vAlign w:val="top"/>
            <w:tcMar>
              <w:top w:w="85" w:type="dxa"/>
              <w:start w:w="90" w:type="dxa"/>
              <w:bottom w:w="85" w:type="dxa"/>
              <w:end w:w="90" w:type="dxa"/>
            </w:tcMar>
          </w:tcPr>
          <w:p>
            <w:pPr>
              <w:spacing w:after="0"/>
            </w:pPr>
            <w:r>
              <w:rPr>
                <w:sz w:val="14"/>
              </w:rPr>
              <w:t>Calendar, staff hours, manual journals, reconciliations and late adjustments</w:t>
            </w:r>
          </w:p>
        </w:tc>
        <w:tc>
          <w:tcPr>
            <w:tcW w:type="dxa" w:w="2541"/>
            <w:vAlign w:val="top"/>
            <w:tcMar>
              <w:top w:w="85" w:type="dxa"/>
              <w:start w:w="90" w:type="dxa"/>
              <w:bottom w:w="85" w:type="dxa"/>
              <w:end w:w="90" w:type="dxa"/>
            </w:tcMar>
          </w:tcPr>
          <w:p>
            <w:pPr>
              <w:spacing w:after="0"/>
            </w:pPr>
            <w:r>
              <w:rPr>
                <w:sz w:val="14"/>
              </w:rPr>
              <w:t>Close and productivity benefit</w:t>
            </w:r>
          </w:p>
        </w:tc>
        <w:tc>
          <w:tcPr>
            <w:tcW w:type="dxa" w:w="2541"/>
            <w:vAlign w:val="top"/>
            <w:tcMar>
              <w:top w:w="85" w:type="dxa"/>
              <w:start w:w="90" w:type="dxa"/>
              <w:bottom w:w="85" w:type="dxa"/>
              <w:end w:w="90" w:type="dxa"/>
            </w:tcMar>
          </w:tcPr>
          <w:p>
            <w:pPr>
              <w:spacing w:after="0"/>
            </w:pPr>
            <w:r>
              <w:rPr>
                <w:sz w:val="14"/>
              </w:rPr>
              <w:t>Controllership</w:t>
            </w:r>
          </w:p>
        </w:tc>
      </w:tr>
    </w:tbl>
    <w:p>
      <w:pPr>
        <w:pStyle w:val="Heading1"/>
        <w:keepNext/>
      </w:pPr>
      <w:r>
        <w:t>Appendix B. Detailed RACI</w:t>
      </w:r>
    </w:p>
    <w:p>
      <w:pPr>
        <w:pStyle w:val="Caption"/>
      </w:pPr>
      <w:r>
        <w:t>A = Accountable, R = Responsible, C = Consulted, I = Informed</w:t>
      </w:r>
    </w:p>
    <w:tbl>
      <w:tblPr>
        <w:tblStyle w:val="TableGrid"/>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shd w:fill="17324D"/>
            <w:vAlign w:val="center"/>
            <w:tcMar>
              <w:top w:w="90" w:type="dxa"/>
              <w:start w:w="90" w:type="dxa"/>
              <w:bottom w:w="90" w:type="dxa"/>
              <w:end w:w="90" w:type="dxa"/>
            </w:tcMar>
          </w:tcPr>
          <w:p>
            <w:pPr>
              <w:jc w:val="left"/>
            </w:pPr>
            <w:r>
              <w:rPr>
                <w:b/>
                <w:color w:val="FFFFFF"/>
                <w:sz w:val="13"/>
              </w:rPr>
              <w:t>Activity</w:t>
            </w:r>
          </w:p>
        </w:tc>
        <w:tc>
          <w:tcPr>
            <w:tcW w:type="dxa" w:w="1130"/>
            <w:shd w:fill="17324D"/>
            <w:vAlign w:val="center"/>
            <w:tcMar>
              <w:top w:w="90" w:type="dxa"/>
              <w:start w:w="90" w:type="dxa"/>
              <w:bottom w:w="90" w:type="dxa"/>
              <w:end w:w="90" w:type="dxa"/>
            </w:tcMar>
          </w:tcPr>
          <w:p>
            <w:pPr>
              <w:jc w:val="left"/>
            </w:pPr>
            <w:r>
              <w:rPr>
                <w:b/>
                <w:color w:val="FFFFFF"/>
                <w:sz w:val="13"/>
              </w:rPr>
              <w:t>CFO</w:t>
            </w:r>
          </w:p>
        </w:tc>
        <w:tc>
          <w:tcPr>
            <w:tcW w:type="dxa" w:w="1130"/>
            <w:shd w:fill="17324D"/>
            <w:vAlign w:val="center"/>
            <w:tcMar>
              <w:top w:w="90" w:type="dxa"/>
              <w:start w:w="90" w:type="dxa"/>
              <w:bottom w:w="90" w:type="dxa"/>
              <w:end w:w="90" w:type="dxa"/>
            </w:tcMar>
          </w:tcPr>
          <w:p>
            <w:pPr>
              <w:jc w:val="left"/>
            </w:pPr>
            <w:r>
              <w:rPr>
                <w:b/>
                <w:color w:val="FFFFFF"/>
                <w:sz w:val="13"/>
              </w:rPr>
              <w:t>Controller</w:t>
            </w:r>
          </w:p>
        </w:tc>
        <w:tc>
          <w:tcPr>
            <w:tcW w:type="dxa" w:w="1130"/>
            <w:shd w:fill="17324D"/>
            <w:vAlign w:val="center"/>
            <w:tcMar>
              <w:top w:w="90" w:type="dxa"/>
              <w:start w:w="90" w:type="dxa"/>
              <w:bottom w:w="90" w:type="dxa"/>
              <w:end w:w="90" w:type="dxa"/>
            </w:tcMar>
          </w:tcPr>
          <w:p>
            <w:pPr>
              <w:jc w:val="left"/>
            </w:pPr>
            <w:r>
              <w:rPr>
                <w:b/>
                <w:color w:val="FFFFFF"/>
                <w:sz w:val="13"/>
              </w:rPr>
              <w:t>Finance Ops</w:t>
            </w:r>
          </w:p>
        </w:tc>
        <w:tc>
          <w:tcPr>
            <w:tcW w:type="dxa" w:w="1130"/>
            <w:shd w:fill="17324D"/>
            <w:vAlign w:val="center"/>
            <w:tcMar>
              <w:top w:w="90" w:type="dxa"/>
              <w:start w:w="90" w:type="dxa"/>
              <w:bottom w:w="90" w:type="dxa"/>
              <w:end w:w="90" w:type="dxa"/>
            </w:tcMar>
          </w:tcPr>
          <w:p>
            <w:pPr>
              <w:jc w:val="left"/>
            </w:pPr>
            <w:r>
              <w:rPr>
                <w:b/>
                <w:color w:val="FFFFFF"/>
                <w:sz w:val="13"/>
              </w:rPr>
              <w:t>Technology</w:t>
            </w:r>
          </w:p>
        </w:tc>
        <w:tc>
          <w:tcPr>
            <w:tcW w:type="dxa" w:w="1130"/>
            <w:shd w:fill="17324D"/>
            <w:vAlign w:val="center"/>
            <w:tcMar>
              <w:top w:w="90" w:type="dxa"/>
              <w:start w:w="90" w:type="dxa"/>
              <w:bottom w:w="90" w:type="dxa"/>
              <w:end w:w="90" w:type="dxa"/>
            </w:tcMar>
          </w:tcPr>
          <w:p>
            <w:pPr>
              <w:jc w:val="left"/>
            </w:pPr>
            <w:r>
              <w:rPr>
                <w:b/>
                <w:color w:val="FFFFFF"/>
                <w:sz w:val="13"/>
              </w:rPr>
              <w:t>Customer Service</w:t>
            </w:r>
          </w:p>
        </w:tc>
        <w:tc>
          <w:tcPr>
            <w:tcW w:type="dxa" w:w="1130"/>
            <w:shd w:fill="17324D"/>
            <w:vAlign w:val="center"/>
            <w:tcMar>
              <w:top w:w="90" w:type="dxa"/>
              <w:start w:w="90" w:type="dxa"/>
              <w:bottom w:w="90" w:type="dxa"/>
              <w:end w:w="90" w:type="dxa"/>
            </w:tcMar>
          </w:tcPr>
          <w:p>
            <w:pPr>
              <w:jc w:val="left"/>
            </w:pPr>
            <w:r>
              <w:rPr>
                <w:b/>
                <w:color w:val="FFFFFF"/>
                <w:sz w:val="13"/>
              </w:rPr>
              <w:t>Vendor / Logistics Ops</w:t>
            </w:r>
          </w:p>
        </w:tc>
        <w:tc>
          <w:tcPr>
            <w:tcW w:type="dxa" w:w="1130"/>
            <w:shd w:fill="17324D"/>
            <w:vAlign w:val="center"/>
            <w:tcMar>
              <w:top w:w="90" w:type="dxa"/>
              <w:start w:w="90" w:type="dxa"/>
              <w:bottom w:w="90" w:type="dxa"/>
              <w:end w:w="90" w:type="dxa"/>
            </w:tcMar>
          </w:tcPr>
          <w:p>
            <w:pPr>
              <w:jc w:val="left"/>
            </w:pPr>
            <w:r>
              <w:rPr>
                <w:b/>
                <w:color w:val="FFFFFF"/>
                <w:sz w:val="13"/>
              </w:rPr>
              <w:t>InfoSec</w:t>
            </w:r>
          </w:p>
        </w:tc>
        <w:tc>
          <w:tcPr>
            <w:tcW w:type="dxa" w:w="1130"/>
            <w:shd w:fill="17324D"/>
            <w:vAlign w:val="center"/>
            <w:tcMar>
              <w:top w:w="90" w:type="dxa"/>
              <w:start w:w="90" w:type="dxa"/>
              <w:bottom w:w="90" w:type="dxa"/>
              <w:end w:w="90" w:type="dxa"/>
            </w:tcMar>
          </w:tcPr>
          <w:p>
            <w:pPr>
              <w:jc w:val="left"/>
            </w:pPr>
            <w:r>
              <w:rPr>
                <w:b/>
                <w:color w:val="FFFFFF"/>
                <w:sz w:val="13"/>
              </w:rPr>
              <w:t>Internal Audit</w:t>
            </w:r>
          </w:p>
        </w:tc>
      </w:tr>
      <w:tr>
        <w:tc>
          <w:tcPr>
            <w:tcW w:type="dxa" w:w="1130"/>
            <w:vAlign w:val="top"/>
            <w:tcMar>
              <w:top w:w="85" w:type="dxa"/>
              <w:start w:w="90" w:type="dxa"/>
              <w:bottom w:w="85" w:type="dxa"/>
              <w:end w:w="90" w:type="dxa"/>
            </w:tcMar>
          </w:tcPr>
          <w:p>
            <w:pPr>
              <w:spacing w:after="0"/>
            </w:pPr>
            <w:r>
              <w:rPr>
                <w:sz w:val="13"/>
              </w:rPr>
              <w:t>Programme governance</w:t>
            </w:r>
          </w:p>
        </w:tc>
        <w:tc>
          <w:tcPr>
            <w:tcW w:type="dxa" w:w="1130"/>
            <w:vAlign w:val="top"/>
            <w:tcMar>
              <w:top w:w="85" w:type="dxa"/>
              <w:start w:w="90" w:type="dxa"/>
              <w:bottom w:w="85" w:type="dxa"/>
              <w:end w:w="90" w:type="dxa"/>
            </w:tcMar>
          </w:tcPr>
          <w:p>
            <w:pPr>
              <w:spacing w:after="0"/>
            </w:pPr>
            <w:r>
              <w:rPr>
                <w:sz w:val="13"/>
              </w:rPr>
              <w:t>A</w:t>
            </w:r>
          </w:p>
        </w:tc>
        <w:tc>
          <w:tcPr>
            <w:tcW w:type="dxa" w:w="1130"/>
            <w:vAlign w:val="top"/>
            <w:tcMar>
              <w:top w:w="85" w:type="dxa"/>
              <w:start w:w="90" w:type="dxa"/>
              <w:bottom w:w="85" w:type="dxa"/>
              <w:end w:w="90" w:type="dxa"/>
            </w:tcMar>
          </w:tcPr>
          <w:p>
            <w:pPr>
              <w:spacing w:after="0"/>
            </w:pPr>
            <w:r>
              <w:rPr>
                <w:sz w:val="13"/>
              </w:rPr>
              <w:t>R</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I</w:t>
            </w:r>
          </w:p>
        </w:tc>
      </w:tr>
      <w:tr>
        <w:tc>
          <w:tcPr>
            <w:tcW w:type="dxa" w:w="1130"/>
            <w:vAlign w:val="top"/>
            <w:tcMar>
              <w:top w:w="85" w:type="dxa"/>
              <w:start w:w="90" w:type="dxa"/>
              <w:bottom w:w="85" w:type="dxa"/>
              <w:end w:w="90" w:type="dxa"/>
            </w:tcMar>
            <w:shd w:fill="F3F5F7"/>
          </w:tcPr>
          <w:p>
            <w:pPr>
              <w:spacing w:after="0"/>
            </w:pPr>
            <w:r>
              <w:rPr>
                <w:sz w:val="13"/>
              </w:rPr>
              <w:t>CTK and data model</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A</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I</w:t>
            </w:r>
          </w:p>
        </w:tc>
      </w:tr>
      <w:tr>
        <w:tc>
          <w:tcPr>
            <w:tcW w:type="dxa" w:w="1130"/>
            <w:vAlign w:val="top"/>
            <w:tcMar>
              <w:top w:w="85" w:type="dxa"/>
              <w:start w:w="90" w:type="dxa"/>
              <w:bottom w:w="85" w:type="dxa"/>
              <w:end w:w="90" w:type="dxa"/>
            </w:tcMar>
          </w:tcPr>
          <w:p>
            <w:pPr>
              <w:spacing w:after="0"/>
            </w:pPr>
            <w:r>
              <w:rPr>
                <w:sz w:val="13"/>
              </w:rPr>
              <w:t>Daily reconciliation</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A</w:t>
            </w:r>
          </w:p>
        </w:tc>
        <w:tc>
          <w:tcPr>
            <w:tcW w:type="dxa" w:w="1130"/>
            <w:vAlign w:val="top"/>
            <w:tcMar>
              <w:top w:w="85" w:type="dxa"/>
              <w:start w:w="90" w:type="dxa"/>
              <w:bottom w:w="85" w:type="dxa"/>
              <w:end w:w="90" w:type="dxa"/>
            </w:tcMar>
          </w:tcPr>
          <w:p>
            <w:pPr>
              <w:spacing w:after="0"/>
            </w:pPr>
            <w:r>
              <w:rPr>
                <w:sz w:val="13"/>
              </w:rPr>
              <w:t>R</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I</w:t>
            </w:r>
          </w:p>
        </w:tc>
      </w:tr>
      <w:tr>
        <w:tc>
          <w:tcPr>
            <w:tcW w:type="dxa" w:w="1130"/>
            <w:vAlign w:val="top"/>
            <w:tcMar>
              <w:top w:w="85" w:type="dxa"/>
              <w:start w:w="90" w:type="dxa"/>
              <w:bottom w:w="85" w:type="dxa"/>
              <w:end w:w="90" w:type="dxa"/>
            </w:tcMar>
            <w:shd w:fill="F3F5F7"/>
          </w:tcPr>
          <w:p>
            <w:pPr>
              <w:spacing w:after="0"/>
            </w:pPr>
            <w:r>
              <w:rPr>
                <w:sz w:val="13"/>
              </w:rPr>
              <w:t>Exception SLA</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A</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I</w:t>
            </w:r>
          </w:p>
        </w:tc>
      </w:tr>
      <w:tr>
        <w:tc>
          <w:tcPr>
            <w:tcW w:type="dxa" w:w="1130"/>
            <w:vAlign w:val="top"/>
            <w:tcMar>
              <w:top w:w="85" w:type="dxa"/>
              <w:start w:w="90" w:type="dxa"/>
              <w:bottom w:w="85" w:type="dxa"/>
              <w:end w:w="90" w:type="dxa"/>
            </w:tcMar>
          </w:tcPr>
          <w:p>
            <w:pPr>
              <w:spacing w:after="0"/>
            </w:pPr>
            <w:r>
              <w:rPr>
                <w:sz w:val="13"/>
              </w:rPr>
              <w:t>Refund controls</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A/R</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I</w:t>
            </w:r>
          </w:p>
        </w:tc>
      </w:tr>
      <w:tr>
        <w:tc>
          <w:tcPr>
            <w:tcW w:type="dxa" w:w="1130"/>
            <w:vAlign w:val="top"/>
            <w:tcMar>
              <w:top w:w="85" w:type="dxa"/>
              <w:start w:w="90" w:type="dxa"/>
              <w:bottom w:w="85" w:type="dxa"/>
              <w:end w:w="90" w:type="dxa"/>
            </w:tcMar>
            <w:shd w:fill="F3F5F7"/>
          </w:tcPr>
          <w:p>
            <w:pPr>
              <w:spacing w:after="0"/>
            </w:pPr>
            <w:r>
              <w:rPr>
                <w:sz w:val="13"/>
              </w:rPr>
              <w:t>Vendor bank changes</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A</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I</w:t>
            </w:r>
          </w:p>
        </w:tc>
      </w:tr>
      <w:tr>
        <w:tc>
          <w:tcPr>
            <w:tcW w:type="dxa" w:w="1130"/>
            <w:vAlign w:val="top"/>
            <w:tcMar>
              <w:top w:w="85" w:type="dxa"/>
              <w:start w:w="90" w:type="dxa"/>
              <w:bottom w:w="85" w:type="dxa"/>
              <w:end w:w="90" w:type="dxa"/>
            </w:tcMar>
          </w:tcPr>
          <w:p>
            <w:pPr>
              <w:spacing w:after="0"/>
            </w:pPr>
            <w:r>
              <w:rPr>
                <w:sz w:val="13"/>
              </w:rPr>
              <w:t>Access controls</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R</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A/R</w:t>
            </w:r>
          </w:p>
        </w:tc>
        <w:tc>
          <w:tcPr>
            <w:tcW w:type="dxa" w:w="1130"/>
            <w:vAlign w:val="top"/>
            <w:tcMar>
              <w:top w:w="85" w:type="dxa"/>
              <w:start w:w="90" w:type="dxa"/>
              <w:bottom w:w="85" w:type="dxa"/>
              <w:end w:w="90" w:type="dxa"/>
            </w:tcMar>
          </w:tcPr>
          <w:p>
            <w:pPr>
              <w:spacing w:after="0"/>
            </w:pPr>
            <w:r>
              <w:rPr>
                <w:sz w:val="13"/>
              </w:rPr>
              <w:t>I</w:t>
            </w:r>
          </w:p>
        </w:tc>
      </w:tr>
      <w:tr>
        <w:tc>
          <w:tcPr>
            <w:tcW w:type="dxa" w:w="1130"/>
            <w:vAlign w:val="top"/>
            <w:tcMar>
              <w:top w:w="85" w:type="dxa"/>
              <w:start w:w="90" w:type="dxa"/>
              <w:bottom w:w="85" w:type="dxa"/>
              <w:end w:w="90" w:type="dxa"/>
            </w:tcMar>
            <w:shd w:fill="F3F5F7"/>
          </w:tcPr>
          <w:p>
            <w:pPr>
              <w:spacing w:after="0"/>
            </w:pPr>
            <w:r>
              <w:rPr>
                <w:sz w:val="13"/>
              </w:rPr>
              <w:t>Platform implementation</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A</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I</w:t>
            </w:r>
          </w:p>
        </w:tc>
      </w:tr>
      <w:tr>
        <w:tc>
          <w:tcPr>
            <w:tcW w:type="dxa" w:w="1130"/>
            <w:vAlign w:val="top"/>
            <w:tcMar>
              <w:top w:w="85" w:type="dxa"/>
              <w:start w:w="90" w:type="dxa"/>
              <w:bottom w:w="85" w:type="dxa"/>
              <w:end w:w="90" w:type="dxa"/>
            </w:tcMar>
          </w:tcPr>
          <w:p>
            <w:pPr>
              <w:spacing w:after="0"/>
            </w:pPr>
            <w:r>
              <w:rPr>
                <w:sz w:val="13"/>
              </w:rPr>
              <w:t>Control assurance</w:t>
            </w:r>
          </w:p>
        </w:tc>
        <w:tc>
          <w:tcPr>
            <w:tcW w:type="dxa" w:w="1130"/>
            <w:vAlign w:val="top"/>
            <w:tcMar>
              <w:top w:w="85" w:type="dxa"/>
              <w:start w:w="90" w:type="dxa"/>
              <w:bottom w:w="85" w:type="dxa"/>
              <w:end w:w="90" w:type="dxa"/>
            </w:tcMar>
          </w:tcPr>
          <w:p>
            <w:pPr>
              <w:spacing w:after="0"/>
            </w:pPr>
            <w:r>
              <w:rPr>
                <w:sz w:val="13"/>
              </w:rPr>
              <w:t>I</w:t>
            </w:r>
          </w:p>
        </w:tc>
        <w:tc>
          <w:tcPr>
            <w:tcW w:type="dxa" w:w="1130"/>
            <w:vAlign w:val="top"/>
            <w:tcMar>
              <w:top w:w="85" w:type="dxa"/>
              <w:start w:w="90" w:type="dxa"/>
              <w:bottom w:w="85" w:type="dxa"/>
              <w:end w:w="90" w:type="dxa"/>
            </w:tcMar>
          </w:tcPr>
          <w:p>
            <w:pPr>
              <w:spacing w:after="0"/>
            </w:pPr>
            <w:r>
              <w:rPr>
                <w:sz w:val="13"/>
              </w:rPr>
              <w:t>A</w:t>
            </w:r>
          </w:p>
        </w:tc>
        <w:tc>
          <w:tcPr>
            <w:tcW w:type="dxa" w:w="1130"/>
            <w:vAlign w:val="top"/>
            <w:tcMar>
              <w:top w:w="85" w:type="dxa"/>
              <w:start w:w="90" w:type="dxa"/>
              <w:bottom w:w="85" w:type="dxa"/>
              <w:end w:w="90" w:type="dxa"/>
            </w:tcMar>
          </w:tcPr>
          <w:p>
            <w:pPr>
              <w:spacing w:after="0"/>
            </w:pPr>
            <w:r>
              <w:rPr>
                <w:sz w:val="13"/>
              </w:rPr>
              <w:t>R</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C</w:t>
            </w:r>
          </w:p>
        </w:tc>
        <w:tc>
          <w:tcPr>
            <w:tcW w:type="dxa" w:w="1130"/>
            <w:vAlign w:val="top"/>
            <w:tcMar>
              <w:top w:w="85" w:type="dxa"/>
              <w:start w:w="90" w:type="dxa"/>
              <w:bottom w:w="85" w:type="dxa"/>
              <w:end w:w="90" w:type="dxa"/>
            </w:tcMar>
          </w:tcPr>
          <w:p>
            <w:pPr>
              <w:spacing w:after="0"/>
            </w:pPr>
            <w:r>
              <w:rPr>
                <w:sz w:val="13"/>
              </w:rPr>
              <w:t>R</w:t>
            </w:r>
          </w:p>
        </w:tc>
      </w:tr>
      <w:tr>
        <w:tc>
          <w:tcPr>
            <w:tcW w:type="dxa" w:w="1130"/>
            <w:vAlign w:val="top"/>
            <w:tcMar>
              <w:top w:w="85" w:type="dxa"/>
              <w:start w:w="90" w:type="dxa"/>
              <w:bottom w:w="85" w:type="dxa"/>
              <w:end w:w="90" w:type="dxa"/>
            </w:tcMar>
            <w:shd w:fill="F3F5F7"/>
          </w:tcPr>
          <w:p>
            <w:pPr>
              <w:spacing w:after="0"/>
            </w:pPr>
            <w:r>
              <w:rPr>
                <w:sz w:val="13"/>
              </w:rPr>
              <w:t>Benefit validation</w:t>
            </w:r>
          </w:p>
        </w:tc>
        <w:tc>
          <w:tcPr>
            <w:tcW w:type="dxa" w:w="1130"/>
            <w:vAlign w:val="top"/>
            <w:tcMar>
              <w:top w:w="85" w:type="dxa"/>
              <w:start w:w="90" w:type="dxa"/>
              <w:bottom w:w="85" w:type="dxa"/>
              <w:end w:w="90" w:type="dxa"/>
            </w:tcMar>
            <w:shd w:fill="F3F5F7"/>
          </w:tcPr>
          <w:p>
            <w:pPr>
              <w:spacing w:after="0"/>
            </w:pPr>
            <w:r>
              <w:rPr>
                <w:sz w:val="13"/>
              </w:rPr>
              <w:t>A</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R</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C</w:t>
            </w:r>
          </w:p>
        </w:tc>
        <w:tc>
          <w:tcPr>
            <w:tcW w:type="dxa" w:w="1130"/>
            <w:vAlign w:val="top"/>
            <w:tcMar>
              <w:top w:w="85" w:type="dxa"/>
              <w:start w:w="90" w:type="dxa"/>
              <w:bottom w:w="85" w:type="dxa"/>
              <w:end w:w="90" w:type="dxa"/>
            </w:tcMar>
            <w:shd w:fill="F3F5F7"/>
          </w:tcPr>
          <w:p>
            <w:pPr>
              <w:spacing w:after="0"/>
            </w:pPr>
            <w:r>
              <w:rPr>
                <w:sz w:val="13"/>
              </w:rPr>
              <w:t>I</w:t>
            </w:r>
          </w:p>
        </w:tc>
        <w:tc>
          <w:tcPr>
            <w:tcW w:type="dxa" w:w="1130"/>
            <w:vAlign w:val="top"/>
            <w:tcMar>
              <w:top w:w="85" w:type="dxa"/>
              <w:start w:w="90" w:type="dxa"/>
              <w:bottom w:w="85" w:type="dxa"/>
              <w:end w:w="90" w:type="dxa"/>
            </w:tcMar>
            <w:shd w:fill="F3F5F7"/>
          </w:tcPr>
          <w:p>
            <w:pPr>
              <w:spacing w:after="0"/>
            </w:pPr>
            <w:r>
              <w:rPr>
                <w:sz w:val="13"/>
              </w:rPr>
              <w:t>C</w:t>
            </w:r>
          </w:p>
        </w:tc>
      </w:tr>
    </w:tbl>
    <w:p>
      <w:pPr>
        <w:pStyle w:val="Heading1"/>
        <w:keepNext/>
      </w:pPr>
      <w:r>
        <w:t>Appendix C. Report-writing approach and references</w:t>
      </w:r>
    </w:p>
    <w:p>
      <w:pPr>
        <w:pStyle w:val="BodyText"/>
      </w:pPr>
      <w:r>
        <w:t>This analytical report follows the uploaded guidance by defining purpose and audience, separating facts from interpretations, using a skimmable hierarchy, maintaining concise professional language, presenting decision-relevant visuals, and ending in specific ownership, milestones and measures. It avoids unsupported precision and identifies the data needed to validate recommendations.</w:t>
      </w:r>
    </w:p>
    <w:p>
      <w:pPr>
        <w:pStyle w:val="ListBullet"/>
      </w:pPr>
      <w:r>
        <w:t>Unlocking Insights: The Power of Business Reports.</w:t>
      </w:r>
    </w:p>
    <w:p>
      <w:pPr>
        <w:pStyle w:val="ListBullet"/>
      </w:pPr>
      <w:r>
        <w:t>Elevating Impact: Crafting Superior Business Reports.</w:t>
      </w:r>
    </w:p>
    <w:p>
      <w:pPr>
        <w:pStyle w:val="ListBullet"/>
      </w:pPr>
      <w:r>
        <w:t>Business Report Types: A Comprehensive Guide.</w:t>
      </w:r>
    </w:p>
    <w:p>
      <w:pPr>
        <w:pStyle w:val="ListBullet"/>
      </w:pPr>
      <w:r>
        <w:t>The Hidden Costs of Poor Report Writing.</w:t>
      </w:r>
    </w:p>
    <w:p>
      <w:pPr>
        <w:pStyle w:val="ListBullet"/>
      </w:pPr>
      <w:r>
        <w:t>Mastering Business &amp; Technical Report Writing.</w:t>
      </w:r>
    </w:p>
    <w:p>
      <w:pPr>
        <w:pStyle w:val="ListBullet"/>
      </w:pPr>
      <w:r>
        <w:t>Report Writing in the Modern Business Environment.</w:t>
      </w:r>
    </w:p>
    <w:p>
      <w:pPr>
        <w:pStyle w:val="BodyText"/>
      </w:pPr>
      <w:r>
        <w:t>Case source: “Case 10: Reconciliation and Payment Controls in a Digital Commerce Business”, supplied in the assignment brief. No external operational data was used.</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7085"/>
        <w:sz w:val="16"/>
      </w:rPr>
      <w:t>Confidential — Illustrative case report</w:t>
    </w:r>
  </w:p>
  <w:p>
    <w:pP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SWIFTCART DIGITAL COMMERCE LTD.  |  FINANCE TRANSFORMATION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D7C86"/>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D7C8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ptos" w:hAnsi="Aptos"/>
      <w:b/>
      <w:bCs/>
      <w:i/>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PI">
    <w:name w:val="KPI"/>
    <w:pPr>
      <w:spacing w:after="40"/>
    </w:pPr>
    <w:rPr>
      <w:rFonts w:ascii="Aptos Display" w:hAnsi="Aptos Display"/>
      <w:b/>
      <w:color w:val="0D7C86"/>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SwiftCart Finance Transformation Report</dc:title>
  <dc:subject>Reconciliation, vendor settlement, refund and payment controls</dc:subject>
  <dc:creator>Finance Transformation</dc:creator>
  <cp:keywords>reconciliation, settlement, refunds, controls, finance transformation</cp:keywords>
  <dc:description>Illustrative case report prepared from supplied case facts and report-writing guidance.</dc:description>
  <cp:lastModifiedBy/>
  <cp:revision>1</cp:revision>
  <dcterms:created xsi:type="dcterms:W3CDTF">2013-12-23T23:15:00Z</dcterms:created>
  <dcterms:modified xsi:type="dcterms:W3CDTF">2013-12-23T23:15:00Z</dcterms:modified>
  <cp:category/>
</cp:coreProperties>
</file>