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rFonts w:ascii="Georgia" w:cs="Georgia" w:eastAsia="Georgia" w:hAnsi="Georgia"/>
          <w:b/>
          <w:bCs/>
          <w:color w:val="1F5C4C"/>
          <w:sz w:val="56"/>
          <w:szCs w:val="56"/>
        </w:rPr>
        <w:t xml:space="preserve">EcoSphere</w:t>
      </w:r>
    </w:p>
    <w:p>
      <w:pPr>
        <w:spacing w:after="260"/>
      </w:pPr>
      <w:r>
        <w:rPr>
          <w:rFonts w:ascii="Georgia" w:cs="Georgia" w:eastAsia="Georgia" w:hAnsi="Georgia"/>
          <w:i/>
          <w:iCs/>
          <w:color w:val="5B5B5B"/>
          <w:sz w:val="26"/>
          <w:szCs w:val="26"/>
        </w:rPr>
        <w:t xml:space="preserve">ESG Management Platform — Product Requirements Document</w:t>
      </w:r>
    </w:p>
    <w:p>
      <w:pPr>
        <w:shd w:fill="EFF4F1" w:val="clear"/>
        <w:spacing w:after="100" w:before="200"/>
      </w:pPr>
      <w:r>
        <w:rPr>
          <w:rFonts w:ascii="Georgia" w:cs="Georgia" w:eastAsia="Georgia" w:hAnsi="Georgia"/>
          <w:b/>
          <w:bCs/>
          <w:color w:val="B8862B"/>
          <w:sz w:val="30"/>
          <w:szCs w:val="30"/>
        </w:rPr>
        <w:t xml:space="preserve">  P1 — Core + Environmental + Integration  </w:t>
      </w:r>
    </w:p>
    <w:p>
      <w:pPr>
        <w:spacing w:after="400"/>
      </w:pPr>
      <w:r>
        <w:rPr>
          <w:rFonts w:ascii="Calibri" w:cs="Calibri" w:eastAsia="Calibri" w:hAnsi="Calibri"/>
          <w:i/>
          <w:iCs/>
          <w:color w:val="5B5B5B"/>
          <w:sz w:val="22"/>
          <w:szCs w:val="22"/>
        </w:rPr>
        <w:t xml:space="preserve">App foundation, master data, carbon accounting, ESG scoring engine, and ERP integration.</w:t>
      </w:r>
    </w:p>
    <w:p>
      <w:pPr>
        <w:spacing w:after="60"/>
      </w:pPr>
      <w:r>
        <w:rPr>
          <w:rFonts w:ascii="Calibri" w:cs="Calibri" w:eastAsia="Calibri" w:hAnsi="Calibri"/>
          <w:b/>
          <w:bCs/>
          <w:color w:val="1F5C4C"/>
          <w:sz w:val="21"/>
          <w:szCs w:val="21"/>
        </w:rPr>
        <w:t xml:space="preserve">Event:  </w:t>
      </w:r>
      <w:r>
        <w:rPr>
          <w:rFonts w:ascii="Calibri" w:cs="Calibri" w:eastAsia="Calibri" w:hAnsi="Calibri"/>
          <w:color w:val="222222"/>
          <w:sz w:val="21"/>
          <w:szCs w:val="21"/>
        </w:rPr>
        <w:t xml:space="preserve">Odoo Hackathon — Problem Statement: EcoSphere ESG Management Platform</w:t>
      </w:r>
    </w:p>
    <w:p>
      <w:pPr>
        <w:spacing w:after="60"/>
      </w:pPr>
      <w:r>
        <w:rPr>
          <w:rFonts w:ascii="Calibri" w:cs="Calibri" w:eastAsia="Calibri" w:hAnsi="Calibri"/>
          <w:b/>
          <w:bCs/>
          <w:color w:val="1F5C4C"/>
          <w:sz w:val="21"/>
          <w:szCs w:val="21"/>
        </w:rPr>
        <w:t xml:space="preserve">Document Type:  </w:t>
      </w:r>
      <w:r>
        <w:rPr>
          <w:rFonts w:ascii="Calibri" w:cs="Calibri" w:eastAsia="Calibri" w:hAnsi="Calibri"/>
          <w:color w:val="222222"/>
          <w:sz w:val="21"/>
          <w:szCs w:val="21"/>
        </w:rPr>
        <w:t xml:space="preserve">Feature-owner PRD (one of three parallel tracks: P1 / P2 / P3)</w:t>
      </w:r>
    </w:p>
    <w:p>
      <w:pPr>
        <w:spacing w:after="60"/>
      </w:pPr>
      <w:r>
        <w:rPr>
          <w:rFonts w:ascii="Calibri" w:cs="Calibri" w:eastAsia="Calibri" w:hAnsi="Calibri"/>
          <w:b/>
          <w:bCs/>
          <w:color w:val="1F5C4C"/>
          <w:sz w:val="21"/>
          <w:szCs w:val="21"/>
        </w:rPr>
        <w:t xml:space="preserve">Owner:  </w:t>
      </w:r>
      <w:r>
        <w:rPr>
          <w:rFonts w:ascii="Calibri" w:cs="Calibri" w:eastAsia="Calibri" w:hAnsi="Calibri"/>
          <w:color w:val="222222"/>
          <w:sz w:val="21"/>
          <w:szCs w:val="21"/>
        </w:rPr>
        <w:t xml:space="preserve">Piyusha</w:t>
      </w:r>
    </w:p>
    <w:p>
      <w:pPr>
        <w:spacing w:after="60"/>
      </w:pPr>
      <w:r>
        <w:rPr>
          <w:rFonts w:ascii="Calibri" w:cs="Calibri" w:eastAsia="Calibri" w:hAnsi="Calibri"/>
          <w:b/>
          <w:bCs/>
          <w:color w:val="1F5C4C"/>
          <w:sz w:val="21"/>
          <w:szCs w:val="21"/>
        </w:rPr>
        <w:t xml:space="preserve">Status:  </w:t>
      </w:r>
      <w:r>
        <w:rPr>
          <w:rFonts w:ascii="Calibri" w:cs="Calibri" w:eastAsia="Calibri" w:hAnsi="Calibri"/>
          <w:color w:val="222222"/>
          <w:sz w:val="21"/>
          <w:szCs w:val="21"/>
        </w:rPr>
        <w:t xml:space="preserve">Draft for build</w:t>
      </w:r>
    </w:p>
    <w:p>
      <w:r>
        <w:br w:type="page"/>
      </w:r>
    </w:p>
    <w:p>
      <w:pPr>
        <w:pStyle w:val="Heading1"/>
        <w:pBdr>
          <w:bottom w:val="single" w:color="1F5C4C" w:sz="8" w:space="4"/>
        </w:pBdr>
        <w:spacing w:after="160" w:before="360"/>
      </w:pPr>
      <w:r>
        <w:rPr>
          <w:rFonts w:ascii="Georgia" w:cs="Georgia" w:eastAsia="Georgia" w:hAnsi="Georgia"/>
          <w:b/>
          <w:bCs/>
          <w:color w:val="1F5C4C"/>
          <w:sz w:val="30"/>
          <w:szCs w:val="30"/>
        </w:rPr>
        <w:t xml:space="preserve">1. Overview</w:t>
      </w:r>
    </w:p>
    <w:p>
      <w:pPr>
        <w:spacing w:after="120" w:line="288"/>
      </w:pPr>
      <w:r>
        <w:rPr>
          <w:rFonts w:ascii="Calibri" w:cs="Calibri" w:eastAsia="Calibri" w:hAnsi="Calibri"/>
          <w:i w:val="false"/>
          <w:iCs w:val="false"/>
          <w:color w:val="222222"/>
          <w:sz w:val="21"/>
          <w:szCs w:val="21"/>
        </w:rPr>
        <w:t xml:space="preserve">This track owns the foundation the rest of EcoSphere is built on: the Odoo app skeleton, core master data (Departments, Categories, Emission Factors), the Environmental module (Carbon Transactions and Sustainability Goals), the ESG scoring engine, and the integration layer that pulls emissions data out of day-to-day ERP operations (Purchase, Manufacturing, Expenses, Fleet). P2 (Social + Gamification) and P3 (Governance + Reports) both depend on the models and scoring logic delivered here, so this track should be built and stabilized first.</w:t>
      </w:r>
    </w:p>
    <w:p>
      <w:pPr>
        <w:pStyle w:val="Heading1"/>
        <w:pBdr>
          <w:bottom w:val="single" w:color="1F5C4C" w:sz="8" w:space="4"/>
        </w:pBdr>
        <w:spacing w:after="160" w:before="360"/>
      </w:pPr>
      <w:r>
        <w:rPr>
          <w:rFonts w:ascii="Georgia" w:cs="Georgia" w:eastAsia="Georgia" w:hAnsi="Georgia"/>
          <w:b/>
          <w:bCs/>
          <w:color w:val="1F5C4C"/>
          <w:sz w:val="30"/>
          <w:szCs w:val="30"/>
        </w:rPr>
        <w:t xml:space="preserve">2. Objectives</w:t>
      </w:r>
    </w:p>
    <w:p>
      <w:pPr>
        <w:pStyle w:val="ListParagraph"/>
        <w:numPr>
          <w:ilvl w:val="0"/>
          <w:numId w:val="2"/>
        </w:numPr>
        <w:spacing w:after="70" w:line="276"/>
      </w:pPr>
      <w:r>
        <w:rPr>
          <w:rFonts w:ascii="Calibri" w:cs="Calibri" w:eastAsia="Calibri" w:hAnsi="Calibri"/>
          <w:color w:val="222222"/>
          <w:sz w:val="21"/>
          <w:szCs w:val="21"/>
        </w:rPr>
        <w:t xml:space="preserve">Stand up the Odoo module structure (models, security, base views/menus) that P2 and P3 will build on top of.</w:t>
      </w:r>
    </w:p>
    <w:p>
      <w:pPr>
        <w:pStyle w:val="ListParagraph"/>
        <w:numPr>
          <w:ilvl w:val="0"/>
          <w:numId w:val="2"/>
        </w:numPr>
        <w:spacing w:after="70" w:line="276"/>
      </w:pPr>
      <w:r>
        <w:rPr>
          <w:rFonts w:ascii="Calibri" w:cs="Calibri" w:eastAsia="Calibri" w:hAnsi="Calibri"/>
          <w:color w:val="222222"/>
          <w:sz w:val="21"/>
          <w:szCs w:val="21"/>
        </w:rPr>
        <w:t xml:space="preserve">Deliver Department, Category, and Emission Factor master data that is shared across all three tracks.</w:t>
      </w:r>
    </w:p>
    <w:p>
      <w:pPr>
        <w:pStyle w:val="ListParagraph"/>
        <w:numPr>
          <w:ilvl w:val="0"/>
          <w:numId w:val="2"/>
        </w:numPr>
        <w:spacing w:after="70" w:line="276"/>
      </w:pPr>
      <w:r>
        <w:rPr>
          <w:rFonts w:ascii="Calibri" w:cs="Calibri" w:eastAsia="Calibri" w:hAnsi="Calibri"/>
          <w:color w:val="222222"/>
          <w:sz w:val="21"/>
          <w:szCs w:val="21"/>
        </w:rPr>
        <w:t xml:space="preserve">Implement carbon accounting: manual and auto-calculated Carbon Transactions linked to ERP source documents.</w:t>
      </w:r>
    </w:p>
    <w:p>
      <w:pPr>
        <w:pStyle w:val="ListParagraph"/>
        <w:numPr>
          <w:ilvl w:val="0"/>
          <w:numId w:val="2"/>
        </w:numPr>
        <w:spacing w:after="70" w:line="276"/>
      </w:pPr>
      <w:r>
        <w:rPr>
          <w:rFonts w:ascii="Calibri" w:cs="Calibri" w:eastAsia="Calibri" w:hAnsi="Calibri"/>
          <w:color w:val="222222"/>
          <w:sz w:val="21"/>
          <w:szCs w:val="21"/>
        </w:rPr>
        <w:t xml:space="preserve">Implement Sustainability Goals and the Environmental Dashboard.</w:t>
      </w:r>
    </w:p>
    <w:p>
      <w:pPr>
        <w:pStyle w:val="ListParagraph"/>
        <w:numPr>
          <w:ilvl w:val="0"/>
          <w:numId w:val="2"/>
        </w:numPr>
        <w:spacing w:after="70" w:line="276"/>
      </w:pPr>
      <w:r>
        <w:rPr>
          <w:rFonts w:ascii="Calibri" w:cs="Calibri" w:eastAsia="Calibri" w:hAnsi="Calibri"/>
          <w:color w:val="222222"/>
          <w:sz w:val="21"/>
          <w:szCs w:val="21"/>
        </w:rPr>
        <w:t xml:space="preserve">Implement the ESG scoring engine: Environmental / Social / Governance scores → Department Total Score → configurable weighted Overall ESG Score.</w:t>
      </w:r>
    </w:p>
    <w:p>
      <w:pPr>
        <w:pStyle w:val="ListParagraph"/>
        <w:numPr>
          <w:ilvl w:val="0"/>
          <w:numId w:val="2"/>
        </w:numPr>
        <w:spacing w:after="70" w:line="276"/>
      </w:pPr>
      <w:r>
        <w:rPr>
          <w:rFonts w:ascii="Calibri" w:cs="Calibri" w:eastAsia="Calibri" w:hAnsi="Calibri"/>
          <w:color w:val="222222"/>
          <w:sz w:val="21"/>
          <w:szCs w:val="21"/>
        </w:rPr>
        <w:t xml:space="preserve">Expose clean, stable APIs/fields so P2 and P3 can plug in Social and Governance scores without touching this module's internals.</w:t>
      </w:r>
    </w:p>
    <w:p>
      <w:pPr>
        <w:pStyle w:val="Heading1"/>
        <w:pBdr>
          <w:bottom w:val="single" w:color="1F5C4C" w:sz="8" w:space="4"/>
        </w:pBdr>
        <w:spacing w:after="160" w:before="360"/>
      </w:pPr>
      <w:r>
        <w:rPr>
          <w:rFonts w:ascii="Georgia" w:cs="Georgia" w:eastAsia="Georgia" w:hAnsi="Georgia"/>
          <w:b/>
          <w:bCs/>
          <w:color w:val="1F5C4C"/>
          <w:sz w:val="30"/>
          <w:szCs w:val="30"/>
        </w:rPr>
        <w:t xml:space="preserve">3. Scope — In / Out</w:t>
      </w:r>
    </w:p>
    <w:p>
      <w:pPr>
        <w:spacing w:after="80" w:before="180"/>
      </w:pPr>
      <w:r>
        <w:rPr>
          <w:rFonts w:ascii="Calibri" w:cs="Calibri" w:eastAsia="Calibri" w:hAnsi="Calibri"/>
          <w:b/>
          <w:bCs/>
          <w:color w:val="222222"/>
          <w:sz w:val="22"/>
          <w:szCs w:val="22"/>
        </w:rPr>
        <w:t xml:space="preserve">In scope</w:t>
      </w:r>
    </w:p>
    <w:p>
      <w:pPr>
        <w:pStyle w:val="ListParagraph"/>
        <w:numPr>
          <w:ilvl w:val="0"/>
          <w:numId w:val="3"/>
        </w:numPr>
        <w:spacing w:after="60" w:line="276"/>
      </w:pPr>
      <w:r>
        <w:rPr>
          <w:rFonts w:ascii="Calibri" w:cs="Calibri" w:eastAsia="Calibri" w:hAnsi="Calibri"/>
          <w:color w:val="222222"/>
          <w:sz w:val="21"/>
          <w:szCs w:val="21"/>
        </w:rPr>
        <w:t xml:space="preserve">App/module scaffolding, security groups (ESG Admin, ESG Manager, Employee), base menu structure.</w:t>
      </w:r>
    </w:p>
    <w:p>
      <w:pPr>
        <w:pStyle w:val="ListParagraph"/>
        <w:numPr>
          <w:ilvl w:val="0"/>
          <w:numId w:val="3"/>
        </w:numPr>
        <w:spacing w:after="60" w:line="276"/>
      </w:pPr>
      <w:r>
        <w:rPr>
          <w:rFonts w:ascii="Calibri" w:cs="Calibri" w:eastAsia="Calibri" w:hAnsi="Calibri"/>
          <w:color w:val="222222"/>
          <w:sz w:val="21"/>
          <w:szCs w:val="21"/>
        </w:rPr>
        <w:t xml:space="preserve">Department model (organizational hierarchy + ESG ownership).</w:t>
      </w:r>
    </w:p>
    <w:p>
      <w:pPr>
        <w:pStyle w:val="ListParagraph"/>
        <w:numPr>
          <w:ilvl w:val="0"/>
          <w:numId w:val="3"/>
        </w:numPr>
        <w:spacing w:after="60" w:line="276"/>
      </w:pPr>
      <w:r>
        <w:rPr>
          <w:rFonts w:ascii="Calibri" w:cs="Calibri" w:eastAsia="Calibri" w:hAnsi="Calibri"/>
          <w:color w:val="222222"/>
          <w:sz w:val="21"/>
          <w:szCs w:val="21"/>
        </w:rPr>
        <w:t xml:space="preserve">Category model, filtered by Type = CSR Activity / Challenge (values populated here, consumed by P2).</w:t>
      </w:r>
    </w:p>
    <w:p>
      <w:pPr>
        <w:pStyle w:val="ListParagraph"/>
        <w:numPr>
          <w:ilvl w:val="0"/>
          <w:numId w:val="3"/>
        </w:numPr>
        <w:spacing w:after="60" w:line="276"/>
      </w:pPr>
      <w:r>
        <w:rPr>
          <w:rFonts w:ascii="Calibri" w:cs="Calibri" w:eastAsia="Calibri" w:hAnsi="Calibri"/>
          <w:color w:val="222222"/>
          <w:sz w:val="21"/>
          <w:szCs w:val="21"/>
        </w:rPr>
        <w:t xml:space="preserve">Emission Factor master data.</w:t>
      </w:r>
    </w:p>
    <w:p>
      <w:pPr>
        <w:pStyle w:val="ListParagraph"/>
        <w:numPr>
          <w:ilvl w:val="0"/>
          <w:numId w:val="3"/>
        </w:numPr>
        <w:spacing w:after="60" w:line="276"/>
      </w:pPr>
      <w:r>
        <w:rPr>
          <w:rFonts w:ascii="Calibri" w:cs="Calibri" w:eastAsia="Calibri" w:hAnsi="Calibri"/>
          <w:color w:val="222222"/>
          <w:sz w:val="21"/>
          <w:szCs w:val="21"/>
        </w:rPr>
        <w:t xml:space="preserve">Carbon Transaction model (manual entry + auto-calculation from ERP records).</w:t>
      </w:r>
    </w:p>
    <w:p>
      <w:pPr>
        <w:pStyle w:val="ListParagraph"/>
        <w:numPr>
          <w:ilvl w:val="0"/>
          <w:numId w:val="3"/>
        </w:numPr>
        <w:spacing w:after="60" w:line="276"/>
      </w:pPr>
      <w:r>
        <w:rPr>
          <w:rFonts w:ascii="Calibri" w:cs="Calibri" w:eastAsia="Calibri" w:hAnsi="Calibri"/>
          <w:color w:val="222222"/>
          <w:sz w:val="21"/>
          <w:szCs w:val="21"/>
        </w:rPr>
        <w:t xml:space="preserve">Environmental Goal model and progress tracking.</w:t>
      </w:r>
    </w:p>
    <w:p>
      <w:pPr>
        <w:pStyle w:val="ListParagraph"/>
        <w:numPr>
          <w:ilvl w:val="0"/>
          <w:numId w:val="3"/>
        </w:numPr>
        <w:spacing w:after="60" w:line="276"/>
      </w:pPr>
      <w:r>
        <w:rPr>
          <w:rFonts w:ascii="Calibri" w:cs="Calibri" w:eastAsia="Calibri" w:hAnsi="Calibri"/>
          <w:color w:val="222222"/>
          <w:sz w:val="21"/>
          <w:szCs w:val="21"/>
        </w:rPr>
        <w:t xml:space="preserve">ESG Configuration settings: default weighting (Environmental 40% / Social 30% / Governance 30%), configurable per organization; Auto Emission Calculation toggle.</w:t>
      </w:r>
    </w:p>
    <w:p>
      <w:pPr>
        <w:pStyle w:val="ListParagraph"/>
        <w:numPr>
          <w:ilvl w:val="0"/>
          <w:numId w:val="3"/>
        </w:numPr>
        <w:spacing w:after="60" w:line="276"/>
      </w:pPr>
      <w:r>
        <w:rPr>
          <w:rFonts w:ascii="Calibri" w:cs="Calibri" w:eastAsia="Calibri" w:hAnsi="Calibri"/>
          <w:color w:val="222222"/>
          <w:sz w:val="21"/>
          <w:szCs w:val="21"/>
        </w:rPr>
        <w:t xml:space="preserve">Department Score aggregation and Overall ESG Score computation.</w:t>
      </w:r>
    </w:p>
    <w:p>
      <w:pPr>
        <w:pStyle w:val="ListParagraph"/>
        <w:numPr>
          <w:ilvl w:val="0"/>
          <w:numId w:val="3"/>
        </w:numPr>
        <w:spacing w:after="60" w:line="276"/>
      </w:pPr>
      <w:r>
        <w:rPr>
          <w:rFonts w:ascii="Calibri" w:cs="Calibri" w:eastAsia="Calibri" w:hAnsi="Calibri"/>
          <w:color w:val="222222"/>
          <w:sz w:val="21"/>
          <w:szCs w:val="21"/>
        </w:rPr>
        <w:t xml:space="preserve">Environmental Dashboard and Department Carbon Tracking views.</w:t>
      </w:r>
    </w:p>
    <w:p>
      <w:pPr>
        <w:spacing w:after="80" w:before="180"/>
      </w:pPr>
      <w:r>
        <w:rPr>
          <w:rFonts w:ascii="Calibri" w:cs="Calibri" w:eastAsia="Calibri" w:hAnsi="Calibri"/>
          <w:b/>
          <w:bCs/>
          <w:color w:val="222222"/>
          <w:sz w:val="22"/>
          <w:szCs w:val="22"/>
        </w:rPr>
        <w:t xml:space="preserve">Out of scope (owned by other tracks)</w:t>
      </w:r>
    </w:p>
    <w:p>
      <w:pPr>
        <w:pStyle w:val="ListParagraph"/>
        <w:numPr>
          <w:ilvl w:val="0"/>
          <w:numId w:val="3"/>
        </w:numPr>
        <w:spacing w:after="60" w:line="276"/>
      </w:pPr>
      <w:r>
        <w:rPr>
          <w:rFonts w:ascii="Calibri" w:cs="Calibri" w:eastAsia="Calibri" w:hAnsi="Calibri"/>
          <w:color w:val="222222"/>
          <w:sz w:val="21"/>
          <w:szCs w:val="21"/>
        </w:rPr>
        <w:t xml:space="preserve">CSR Activities, Employee Participation, Challenges, XP/Badges/Rewards, Leaderboards — P2.</w:t>
      </w:r>
    </w:p>
    <w:p>
      <w:pPr>
        <w:pStyle w:val="ListParagraph"/>
        <w:numPr>
          <w:ilvl w:val="0"/>
          <w:numId w:val="3"/>
        </w:numPr>
        <w:spacing w:after="60" w:line="276"/>
      </w:pPr>
      <w:r>
        <w:rPr>
          <w:rFonts w:ascii="Calibri" w:cs="Calibri" w:eastAsia="Calibri" w:hAnsi="Calibri"/>
          <w:color w:val="222222"/>
          <w:sz w:val="21"/>
          <w:szCs w:val="21"/>
        </w:rPr>
        <w:t xml:space="preserve">ESG Policies, Audits, Compliance Issues, Reports, Notification Settings UI — P3.</w:t>
      </w:r>
    </w:p>
    <w:p>
      <w:pPr>
        <w:pStyle w:val="Heading1"/>
        <w:pBdr>
          <w:bottom w:val="single" w:color="1F5C4C" w:sz="8" w:space="4"/>
        </w:pBdr>
        <w:spacing w:after="160" w:before="360"/>
      </w:pPr>
      <w:r>
        <w:rPr>
          <w:rFonts w:ascii="Georgia" w:cs="Georgia" w:eastAsia="Georgia" w:hAnsi="Georgia"/>
          <w:b/>
          <w:bCs/>
          <w:color w:val="1F5C4C"/>
          <w:sz w:val="30"/>
          <w:szCs w:val="30"/>
        </w:rPr>
        <w:t xml:space="preserve">4. Master Data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50"/>
      </w:tblGrid>
      <w:tr>
        <w:trPr>
          <w:tblHeader/>
        </w:trPr>
        <w:tc>
          <w:tcPr>
            <w:tcW w:type="dxa" w:w="1600"/>
            <w:shd w:fill="1F5C4C" w:val="clear"/>
            <w:tcMar>
              <w:top w:type="dxa" w:w="80"/>
              <w:left w:type="dxa" w:w="100"/>
              <w:bottom w:type="dxa" w:w="80"/>
              <w:right w:type="dxa" w:w="100"/>
            </w:tcMar>
          </w:tcPr>
          <w:p>
            <w:r>
              <w:rPr>
                <w:rFonts w:ascii="Calibri" w:cs="Calibri" w:eastAsia="Calibri" w:hAnsi="Calibri"/>
                <w:b/>
                <w:bCs/>
                <w:color w:val="FFFFFF"/>
                <w:sz w:val="20"/>
                <w:szCs w:val="20"/>
              </w:rPr>
              <w:t xml:space="preserve">Model</w:t>
            </w:r>
          </w:p>
        </w:tc>
        <w:tc>
          <w:tcPr>
            <w:tcW w:type="dxa" w:w="4400"/>
            <w:shd w:fill="1F5C4C"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c>
          <w:tcPr>
            <w:tcW w:type="dxa" w:w="3350"/>
            <w:shd w:fill="1F5C4C" w:val="clear"/>
            <w:tcMar>
              <w:top w:type="dxa" w:w="80"/>
              <w:left w:type="dxa" w:w="100"/>
              <w:bottom w:type="dxa" w:w="80"/>
              <w:right w:type="dxa" w:w="100"/>
            </w:tcMar>
          </w:tcPr>
          <w:p>
            <w:r>
              <w:rPr>
                <w:rFonts w:ascii="Calibri" w:cs="Calibri" w:eastAsia="Calibri" w:hAnsi="Calibri"/>
                <w:b/>
                <w:bCs/>
                <w:color w:val="FFFFFF"/>
                <w:sz w:val="20"/>
                <w:szCs w:val="20"/>
              </w:rPr>
              <w:t xml:space="preserve">Key Fields</w:t>
            </w:r>
          </w:p>
        </w:tc>
      </w:tr>
      <w:tr>
        <w:tc>
          <w:tcPr>
            <w:tcW w:type="dxa" w:w="1600"/>
            <w:tcMar>
              <w:top w:type="dxa" w:w="80"/>
              <w:left w:type="dxa" w:w="100"/>
              <w:bottom w:type="dxa" w:w="80"/>
              <w:right w:type="dxa" w:w="100"/>
            </w:tcMar>
          </w:tcPr>
          <w:p>
            <w:r>
              <w:rPr>
                <w:rFonts w:ascii="Calibri" w:cs="Calibri" w:eastAsia="Calibri" w:hAnsi="Calibri"/>
                <w:b w:val="false"/>
                <w:bCs w:val="false"/>
                <w:color w:val="222222"/>
                <w:sz w:val="20"/>
                <w:szCs w:val="20"/>
              </w:rPr>
              <w:t xml:space="preserve">Department</w:t>
            </w:r>
          </w:p>
        </w:tc>
        <w:tc>
          <w:tcPr>
            <w:tcW w:type="dxa" w:w="4400"/>
            <w:tcMar>
              <w:top w:type="dxa" w:w="80"/>
              <w:left w:type="dxa" w:w="100"/>
              <w:bottom w:type="dxa" w:w="80"/>
              <w:right w:type="dxa" w:w="100"/>
            </w:tcMar>
          </w:tcPr>
          <w:p>
            <w:r>
              <w:rPr>
                <w:rFonts w:ascii="Calibri" w:cs="Calibri" w:eastAsia="Calibri" w:hAnsi="Calibri"/>
                <w:b w:val="false"/>
                <w:bCs w:val="false"/>
                <w:color w:val="222222"/>
                <w:sz w:val="20"/>
                <w:szCs w:val="20"/>
              </w:rPr>
              <w:t xml:space="preserve">Organizational hierarchy and ESG ownership</w:t>
            </w:r>
          </w:p>
        </w:tc>
        <w:tc>
          <w:tcPr>
            <w:tcW w:type="dxa" w:w="3350"/>
            <w:tcMar>
              <w:top w:type="dxa" w:w="80"/>
              <w:left w:type="dxa" w:w="100"/>
              <w:bottom w:type="dxa" w:w="80"/>
              <w:right w:type="dxa" w:w="100"/>
            </w:tcMar>
          </w:tcPr>
          <w:p>
            <w:r>
              <w:rPr>
                <w:rFonts w:ascii="Calibri" w:cs="Calibri" w:eastAsia="Calibri" w:hAnsi="Calibri"/>
                <w:b w:val="false"/>
                <w:bCs w:val="false"/>
                <w:color w:val="222222"/>
                <w:sz w:val="20"/>
                <w:szCs w:val="20"/>
              </w:rPr>
              <w:t xml:space="preserve">Name, Code, Head, Parent Department, Employee Count, Status</w:t>
            </w:r>
          </w:p>
        </w:tc>
      </w:tr>
      <w:tr>
        <w:tc>
          <w:tcPr>
            <w:tcW w:type="dxa" w:w="1600"/>
            <w:shd w:fill="EFF4F1"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Category</w:t>
            </w:r>
          </w:p>
        </w:tc>
        <w:tc>
          <w:tcPr>
            <w:tcW w:type="dxa" w:w="4400"/>
            <w:shd w:fill="EFF4F1"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Shared category values used by Social &amp; Gamification (values only; consumption is P2's job)</w:t>
            </w:r>
          </w:p>
        </w:tc>
        <w:tc>
          <w:tcPr>
            <w:tcW w:type="dxa" w:w="3350"/>
            <w:shd w:fill="EFF4F1"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Name, Type (CSR Activity / Challenge), Status</w:t>
            </w:r>
          </w:p>
        </w:tc>
      </w:tr>
      <w:tr>
        <w:tc>
          <w:tcPr>
            <w:tcW w:type="dxa" w:w="1600"/>
            <w:tcMar>
              <w:top w:type="dxa" w:w="80"/>
              <w:left w:type="dxa" w:w="100"/>
              <w:bottom w:type="dxa" w:w="80"/>
              <w:right w:type="dxa" w:w="100"/>
            </w:tcMar>
          </w:tcPr>
          <w:p>
            <w:r>
              <w:rPr>
                <w:rFonts w:ascii="Calibri" w:cs="Calibri" w:eastAsia="Calibri" w:hAnsi="Calibri"/>
                <w:b w:val="false"/>
                <w:bCs w:val="false"/>
                <w:color w:val="222222"/>
                <w:sz w:val="20"/>
                <w:szCs w:val="20"/>
              </w:rPr>
              <w:t xml:space="preserve">Emission Factor</w:t>
            </w:r>
          </w:p>
        </w:tc>
        <w:tc>
          <w:tcPr>
            <w:tcW w:type="dxa" w:w="4400"/>
            <w:tcMar>
              <w:top w:type="dxa" w:w="80"/>
              <w:left w:type="dxa" w:w="100"/>
              <w:bottom w:type="dxa" w:w="80"/>
              <w:right w:type="dxa" w:w="100"/>
            </w:tcMar>
          </w:tcPr>
          <w:p>
            <w:r>
              <w:rPr>
                <w:rFonts w:ascii="Calibri" w:cs="Calibri" w:eastAsia="Calibri" w:hAnsi="Calibri"/>
                <w:b w:val="false"/>
                <w:bCs w:val="false"/>
                <w:color w:val="222222"/>
                <w:sz w:val="20"/>
                <w:szCs w:val="20"/>
              </w:rPr>
              <w:t xml:space="preserve">Carbon conversion values used in calculations</w:t>
            </w:r>
          </w:p>
        </w:tc>
        <w:tc>
          <w:tcPr>
            <w:tcW w:type="dxa" w:w="3350"/>
            <w:tcMar>
              <w:top w:type="dxa" w:w="80"/>
              <w:left w:type="dxa" w:w="100"/>
              <w:bottom w:type="dxa" w:w="80"/>
              <w:right w:type="dxa" w:w="100"/>
            </w:tcMar>
          </w:tcPr>
          <w:p>
            <w:r>
              <w:rPr>
                <w:rFonts w:ascii="Calibri" w:cs="Calibri" w:eastAsia="Calibri" w:hAnsi="Calibri"/>
                <w:b w:val="false"/>
                <w:bCs w:val="false"/>
                <w:color w:val="222222"/>
                <w:sz w:val="20"/>
                <w:szCs w:val="20"/>
              </w:rPr>
              <w:t xml:space="preserve">Name/Source Type, Unit, CO2e Factor, Effective Date, Status</w:t>
            </w:r>
          </w:p>
        </w:tc>
      </w:tr>
      <w:tr>
        <w:tc>
          <w:tcPr>
            <w:tcW w:type="dxa" w:w="1600"/>
            <w:shd w:fill="EFF4F1"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Environmental Goal</w:t>
            </w:r>
          </w:p>
        </w:tc>
        <w:tc>
          <w:tcPr>
            <w:tcW w:type="dxa" w:w="4400"/>
            <w:shd w:fill="EFF4F1"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Sustainability targets</w:t>
            </w:r>
          </w:p>
        </w:tc>
        <w:tc>
          <w:tcPr>
            <w:tcW w:type="dxa" w:w="3350"/>
            <w:shd w:fill="EFF4F1"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Title, Department, Metric, Target Value, Baseline, Deadline, Status</w:t>
            </w:r>
          </w:p>
        </w:tc>
      </w:tr>
      <w:tr>
        <w:tc>
          <w:tcPr>
            <w:tcW w:type="dxa" w:w="1600"/>
            <w:tcMar>
              <w:top w:type="dxa" w:w="80"/>
              <w:left w:type="dxa" w:w="100"/>
              <w:bottom w:type="dxa" w:w="80"/>
              <w:right w:type="dxa" w:w="100"/>
            </w:tcMar>
          </w:tcPr>
          <w:p>
            <w:r>
              <w:rPr>
                <w:rFonts w:ascii="Calibri" w:cs="Calibri" w:eastAsia="Calibri" w:hAnsi="Calibri"/>
                <w:b w:val="false"/>
                <w:bCs w:val="false"/>
                <w:color w:val="222222"/>
                <w:sz w:val="20"/>
                <w:szCs w:val="20"/>
              </w:rPr>
              <w:t xml:space="preserve">Product ESG Profile</w:t>
            </w:r>
          </w:p>
        </w:tc>
        <w:tc>
          <w:tcPr>
            <w:tcW w:type="dxa" w:w="4400"/>
            <w:tcMar>
              <w:top w:type="dxa" w:w="80"/>
              <w:left w:type="dxa" w:w="100"/>
              <w:bottom w:type="dxa" w:w="80"/>
              <w:right w:type="dxa" w:w="100"/>
            </w:tcMar>
          </w:tcPr>
          <w:p>
            <w:r>
              <w:rPr>
                <w:rFonts w:ascii="Calibri" w:cs="Calibri" w:eastAsia="Calibri" w:hAnsi="Calibri"/>
                <w:b w:val="false"/>
                <w:bCs w:val="false"/>
                <w:color w:val="222222"/>
                <w:sz w:val="20"/>
                <w:szCs w:val="20"/>
              </w:rPr>
              <w:t xml:space="preserve">ESG information linked to products (support model for emission calc)</w:t>
            </w:r>
          </w:p>
        </w:tc>
        <w:tc>
          <w:tcPr>
            <w:tcW w:type="dxa" w:w="3350"/>
            <w:tcMar>
              <w:top w:type="dxa" w:w="80"/>
              <w:left w:type="dxa" w:w="100"/>
              <w:bottom w:type="dxa" w:w="80"/>
              <w:right w:type="dxa" w:w="100"/>
            </w:tcMar>
          </w:tcPr>
          <w:p>
            <w:r>
              <w:rPr>
                <w:rFonts w:ascii="Calibri" w:cs="Calibri" w:eastAsia="Calibri" w:hAnsi="Calibri"/>
                <w:b w:val="false"/>
                <w:bCs w:val="false"/>
                <w:color w:val="222222"/>
                <w:sz w:val="20"/>
                <w:szCs w:val="20"/>
              </w:rPr>
              <w:t xml:space="preserve">Product, Default Emission Factor, Category, Notes</w:t>
            </w:r>
          </w:p>
        </w:tc>
      </w:tr>
    </w:tbl>
    <w:p>
      <w:pPr>
        <w:pStyle w:val="Heading1"/>
        <w:pBdr>
          <w:bottom w:val="single" w:color="1F5C4C" w:sz="8" w:space="4"/>
        </w:pBdr>
        <w:spacing w:after="160" w:before="360"/>
      </w:pPr>
      <w:r>
        <w:rPr>
          <w:rFonts w:ascii="Georgia" w:cs="Georgia" w:eastAsia="Georgia" w:hAnsi="Georgia"/>
          <w:b/>
          <w:bCs/>
          <w:color w:val="1F5C4C"/>
          <w:sz w:val="30"/>
          <w:szCs w:val="30"/>
        </w:rPr>
        <w:t xml:space="preserve">5. Transactional Data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50"/>
      </w:tblGrid>
      <w:tr>
        <w:trPr>
          <w:tblHeader/>
        </w:trPr>
        <w:tc>
          <w:tcPr>
            <w:tcW w:type="dxa" w:w="1900"/>
            <w:shd w:fill="1F5C4C" w:val="clear"/>
            <w:tcMar>
              <w:top w:type="dxa" w:w="80"/>
              <w:left w:type="dxa" w:w="100"/>
              <w:bottom w:type="dxa" w:w="80"/>
              <w:right w:type="dxa" w:w="100"/>
            </w:tcMar>
          </w:tcPr>
          <w:p>
            <w:r>
              <w:rPr>
                <w:rFonts w:ascii="Calibri" w:cs="Calibri" w:eastAsia="Calibri" w:hAnsi="Calibri"/>
                <w:b/>
                <w:bCs/>
                <w:color w:val="FFFFFF"/>
                <w:sz w:val="20"/>
                <w:szCs w:val="20"/>
              </w:rPr>
              <w:t xml:space="preserve">Model</w:t>
            </w:r>
          </w:p>
        </w:tc>
        <w:tc>
          <w:tcPr>
            <w:tcW w:type="dxa" w:w="3900"/>
            <w:shd w:fill="1F5C4C"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c>
          <w:tcPr>
            <w:tcW w:type="dxa" w:w="3550"/>
            <w:shd w:fill="1F5C4C" w:val="clear"/>
            <w:tcMar>
              <w:top w:type="dxa" w:w="80"/>
              <w:left w:type="dxa" w:w="100"/>
              <w:bottom w:type="dxa" w:w="80"/>
              <w:right w:type="dxa" w:w="100"/>
            </w:tcMar>
          </w:tcPr>
          <w:p>
            <w:r>
              <w:rPr>
                <w:rFonts w:ascii="Calibri" w:cs="Calibri" w:eastAsia="Calibri" w:hAnsi="Calibri"/>
                <w:b/>
                <w:bCs/>
                <w:color w:val="FFFFFF"/>
                <w:sz w:val="20"/>
                <w:szCs w:val="20"/>
              </w:rPr>
              <w:t xml:space="preserve">Key Fields</w:t>
            </w:r>
          </w:p>
        </w:tc>
      </w:tr>
      <w:tr>
        <w:tc>
          <w:tcPr>
            <w:tcW w:type="dxa" w:w="1900"/>
            <w:tcMar>
              <w:top w:type="dxa" w:w="80"/>
              <w:left w:type="dxa" w:w="100"/>
              <w:bottom w:type="dxa" w:w="80"/>
              <w:right w:type="dxa" w:w="100"/>
            </w:tcMar>
          </w:tcPr>
          <w:p>
            <w:r>
              <w:rPr>
                <w:rFonts w:ascii="Calibri" w:cs="Calibri" w:eastAsia="Calibri" w:hAnsi="Calibri"/>
                <w:b w:val="false"/>
                <w:bCs w:val="false"/>
                <w:color w:val="222222"/>
                <w:sz w:val="20"/>
                <w:szCs w:val="20"/>
              </w:rPr>
              <w:t xml:space="preserve">Carbon Transaction</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Stores calculated emissions from ERP operations</w:t>
            </w:r>
          </w:p>
        </w:tc>
        <w:tc>
          <w:tcPr>
            <w:tcW w:type="dxa" w:w="3550"/>
            <w:tcMar>
              <w:top w:type="dxa" w:w="80"/>
              <w:left w:type="dxa" w:w="100"/>
              <w:bottom w:type="dxa" w:w="80"/>
              <w:right w:type="dxa" w:w="100"/>
            </w:tcMar>
          </w:tcPr>
          <w:p>
            <w:r>
              <w:rPr>
                <w:rFonts w:ascii="Calibri" w:cs="Calibri" w:eastAsia="Calibri" w:hAnsi="Calibri"/>
                <w:b w:val="false"/>
                <w:bCs w:val="false"/>
                <w:color w:val="222222"/>
                <w:sz w:val="20"/>
                <w:szCs w:val="20"/>
              </w:rPr>
              <w:t xml:space="preserve">Department, Source Document (Purchase/Manufacturing/Expense/Fleet), Emission Factor, Quantity, CO2e Amount, Calculation Type (Manual/Auto), Date</w:t>
            </w:r>
          </w:p>
        </w:tc>
      </w:tr>
      <w:tr>
        <w:tc>
          <w:tcPr>
            <w:tcW w:type="dxa" w:w="1900"/>
            <w:shd w:fill="EFF4F1"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Department Score</w:t>
            </w:r>
          </w:p>
        </w:tc>
        <w:tc>
          <w:tcPr>
            <w:tcW w:type="dxa" w:w="3900"/>
            <w:shd w:fill="EFF4F1"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Aggregated ESG performance per department</w:t>
            </w:r>
          </w:p>
        </w:tc>
        <w:tc>
          <w:tcPr>
            <w:tcW w:type="dxa" w:w="3550"/>
            <w:shd w:fill="EFF4F1"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Department, Environmental Score, Social Score, Governance Score, Total Score, Period</w:t>
            </w:r>
          </w:p>
        </w:tc>
      </w:tr>
    </w:tbl>
    <w:p>
      <w:pPr>
        <w:spacing w:after="120" w:line="288"/>
      </w:pPr>
      <w:r>
        <w:rPr>
          <w:rFonts w:ascii="Calibri" w:cs="Calibri" w:eastAsia="Calibri" w:hAnsi="Calibri"/>
          <w:i/>
          <w:iCs/>
          <w:color w:val="222222"/>
          <w:sz w:val="21"/>
          <w:szCs w:val="21"/>
        </w:rPr>
        <w:t xml:space="preserve">Note: Social Score and Governance Score fields on Department Score are written by P2 and P3 respectively; P1 owns the record, the aggregation logic, and the read-side rollup into Overall ESG Score.</w:t>
      </w:r>
    </w:p>
    <w:p>
      <w:pPr>
        <w:pStyle w:val="Heading1"/>
        <w:pBdr>
          <w:bottom w:val="single" w:color="1F5C4C" w:sz="8" w:space="4"/>
        </w:pBdr>
        <w:spacing w:after="160" w:before="360"/>
      </w:pPr>
      <w:r>
        <w:rPr>
          <w:rFonts w:ascii="Georgia" w:cs="Georgia" w:eastAsia="Georgia" w:hAnsi="Georgia"/>
          <w:b/>
          <w:bCs/>
          <w:color w:val="1F5C4C"/>
          <w:sz w:val="30"/>
          <w:szCs w:val="30"/>
        </w:rPr>
        <w:t xml:space="preserve">6. Functional Requirements</w:t>
      </w:r>
    </w:p>
    <w:p>
      <w:pPr>
        <w:pStyle w:val="Heading2"/>
        <w:spacing w:after="120" w:before="260"/>
      </w:pPr>
      <w:r>
        <w:rPr>
          <w:rFonts w:ascii="Georgia" w:cs="Georgia" w:eastAsia="Georgia" w:hAnsi="Georgia"/>
          <w:b/>
          <w:bCs/>
          <w:color w:val="B8862B"/>
          <w:sz w:val="24"/>
          <w:szCs w:val="24"/>
        </w:rPr>
        <w:t xml:space="preserve">6.1 Emission Factor Configuration</w:t>
      </w:r>
    </w:p>
    <w:p>
      <w:pPr>
        <w:pStyle w:val="ListParagraph"/>
        <w:numPr>
          <w:ilvl w:val="0"/>
          <w:numId w:val="3"/>
        </w:numPr>
        <w:spacing w:after="60" w:line="276"/>
      </w:pPr>
      <w:r>
        <w:rPr>
          <w:rFonts w:ascii="Calibri" w:cs="Calibri" w:eastAsia="Calibri" w:hAnsi="Calibri"/>
          <w:color w:val="222222"/>
          <w:sz w:val="21"/>
          <w:szCs w:val="21"/>
        </w:rPr>
        <w:t xml:space="preserve">Admin can create/edit Emission Factors with a CO2e value per unit and an effective date.</w:t>
      </w:r>
    </w:p>
    <w:p>
      <w:pPr>
        <w:pStyle w:val="ListParagraph"/>
        <w:numPr>
          <w:ilvl w:val="0"/>
          <w:numId w:val="3"/>
        </w:numPr>
        <w:spacing w:after="60" w:line="276"/>
      </w:pPr>
      <w:r>
        <w:rPr>
          <w:rFonts w:ascii="Calibri" w:cs="Calibri" w:eastAsia="Calibri" w:hAnsi="Calibri"/>
          <w:color w:val="222222"/>
          <w:sz w:val="21"/>
          <w:szCs w:val="21"/>
        </w:rPr>
        <w:t xml:space="preserve">Emission Factors can be scoped by source type (Purchase item, Manufacturing input, Expense category, Fleet/fuel type).</w:t>
      </w:r>
    </w:p>
    <w:p>
      <w:pPr>
        <w:pStyle w:val="Heading2"/>
        <w:spacing w:after="120" w:before="260"/>
      </w:pPr>
      <w:r>
        <w:rPr>
          <w:rFonts w:ascii="Georgia" w:cs="Georgia" w:eastAsia="Georgia" w:hAnsi="Georgia"/>
          <w:b/>
          <w:bCs/>
          <w:color w:val="B8862B"/>
          <w:sz w:val="24"/>
          <w:szCs w:val="24"/>
        </w:rPr>
        <w:t xml:space="preserve">6.2 Carbon Transaction Calculation</w:t>
      </w:r>
    </w:p>
    <w:p>
      <w:pPr>
        <w:pStyle w:val="ListParagraph"/>
        <w:numPr>
          <w:ilvl w:val="0"/>
          <w:numId w:val="3"/>
        </w:numPr>
        <w:spacing w:after="60" w:line="276"/>
      </w:pPr>
      <w:r>
        <w:rPr>
          <w:rFonts w:ascii="Calibri" w:cs="Calibri" w:eastAsia="Calibri" w:hAnsi="Calibri"/>
          <w:color w:val="222222"/>
          <w:sz w:val="21"/>
          <w:szCs w:val="21"/>
        </w:rPr>
        <w:t xml:space="preserve">When Auto Emission Calculation is enabled in Settings, Carbon Transactions are generated automatically whenever a linked Purchase, Manufacturing, Expense, or Fleet record is confirmed, using the matching Emission Factor.</w:t>
      </w:r>
    </w:p>
    <w:p>
      <w:pPr>
        <w:pStyle w:val="ListParagraph"/>
        <w:numPr>
          <w:ilvl w:val="0"/>
          <w:numId w:val="3"/>
        </w:numPr>
        <w:spacing w:after="60" w:line="276"/>
      </w:pPr>
      <w:r>
        <w:rPr>
          <w:rFonts w:ascii="Calibri" w:cs="Calibri" w:eastAsia="Calibri" w:hAnsi="Calibri"/>
          <w:color w:val="222222"/>
          <w:sz w:val="21"/>
          <w:szCs w:val="21"/>
        </w:rPr>
        <w:t xml:space="preserve">When disabled, users can manually create Carbon Transactions against a Department.</w:t>
      </w:r>
    </w:p>
    <w:p>
      <w:pPr>
        <w:pStyle w:val="ListParagraph"/>
        <w:numPr>
          <w:ilvl w:val="0"/>
          <w:numId w:val="3"/>
        </w:numPr>
        <w:spacing w:after="60" w:line="276"/>
      </w:pPr>
      <w:r>
        <w:rPr>
          <w:rFonts w:ascii="Calibri" w:cs="Calibri" w:eastAsia="Calibri" w:hAnsi="Calibri"/>
          <w:color w:val="222222"/>
          <w:sz w:val="21"/>
          <w:szCs w:val="21"/>
        </w:rPr>
        <w:t xml:space="preserve">Each Carbon Transaction stores the source document reference for traceability/audit.</w:t>
      </w:r>
    </w:p>
    <w:p>
      <w:pPr>
        <w:pStyle w:val="Heading2"/>
        <w:spacing w:after="120" w:before="260"/>
      </w:pPr>
      <w:r>
        <w:rPr>
          <w:rFonts w:ascii="Georgia" w:cs="Georgia" w:eastAsia="Georgia" w:hAnsi="Georgia"/>
          <w:b/>
          <w:bCs/>
          <w:color w:val="B8862B"/>
          <w:sz w:val="24"/>
          <w:szCs w:val="24"/>
        </w:rPr>
        <w:t xml:space="preserve">6.3 Department Carbon Tracking</w:t>
      </w:r>
    </w:p>
    <w:p>
      <w:pPr>
        <w:pStyle w:val="ListParagraph"/>
        <w:numPr>
          <w:ilvl w:val="0"/>
          <w:numId w:val="3"/>
        </w:numPr>
        <w:spacing w:after="60" w:line="276"/>
      </w:pPr>
      <w:r>
        <w:rPr>
          <w:rFonts w:ascii="Calibri" w:cs="Calibri" w:eastAsia="Calibri" w:hAnsi="Calibri"/>
          <w:color w:val="222222"/>
          <w:sz w:val="21"/>
          <w:szCs w:val="21"/>
        </w:rPr>
        <w:t xml:space="preserve">Roll up Carbon Transactions by Department and time period (month/quarter/year).</w:t>
      </w:r>
    </w:p>
    <w:p>
      <w:pPr>
        <w:pStyle w:val="ListParagraph"/>
        <w:numPr>
          <w:ilvl w:val="0"/>
          <w:numId w:val="3"/>
        </w:numPr>
        <w:spacing w:after="60" w:line="276"/>
      </w:pPr>
      <w:r>
        <w:rPr>
          <w:rFonts w:ascii="Calibri" w:cs="Calibri" w:eastAsia="Calibri" w:hAnsi="Calibri"/>
          <w:color w:val="222222"/>
          <w:sz w:val="21"/>
          <w:szCs w:val="21"/>
        </w:rPr>
        <w:t xml:space="preserve">Trend view comparing current period emissions to prior period and to the Department's Environmental Goal.</w:t>
      </w:r>
    </w:p>
    <w:p>
      <w:pPr>
        <w:pStyle w:val="Heading2"/>
        <w:spacing w:after="120" w:before="260"/>
      </w:pPr>
      <w:r>
        <w:rPr>
          <w:rFonts w:ascii="Georgia" w:cs="Georgia" w:eastAsia="Georgia" w:hAnsi="Georgia"/>
          <w:b/>
          <w:bCs/>
          <w:color w:val="B8862B"/>
          <w:sz w:val="24"/>
          <w:szCs w:val="24"/>
        </w:rPr>
        <w:t xml:space="preserve">6.4 Sustainability Goals</w:t>
      </w:r>
    </w:p>
    <w:p>
      <w:pPr>
        <w:pStyle w:val="ListParagraph"/>
        <w:numPr>
          <w:ilvl w:val="0"/>
          <w:numId w:val="3"/>
        </w:numPr>
        <w:spacing w:after="60" w:line="276"/>
      </w:pPr>
      <w:r>
        <w:rPr>
          <w:rFonts w:ascii="Calibri" w:cs="Calibri" w:eastAsia="Calibri" w:hAnsi="Calibri"/>
          <w:color w:val="222222"/>
          <w:sz w:val="21"/>
          <w:szCs w:val="21"/>
        </w:rPr>
        <w:t xml:space="preserve">Create goals per Department with a target metric (e.g., reduce CO2e by X% by date).</w:t>
      </w:r>
    </w:p>
    <w:p>
      <w:pPr>
        <w:pStyle w:val="ListParagraph"/>
        <w:numPr>
          <w:ilvl w:val="0"/>
          <w:numId w:val="3"/>
        </w:numPr>
        <w:spacing w:after="60" w:line="276"/>
      </w:pPr>
      <w:r>
        <w:rPr>
          <w:rFonts w:ascii="Calibri" w:cs="Calibri" w:eastAsia="Calibri" w:hAnsi="Calibri"/>
          <w:color w:val="222222"/>
          <w:sz w:val="21"/>
          <w:szCs w:val="21"/>
        </w:rPr>
        <w:t xml:space="preserve">Track actual-vs-target progress; surface status (On Track / At Risk / Missed) on the Environmental Dashboard.</w:t>
      </w:r>
    </w:p>
    <w:p>
      <w:pPr>
        <w:pStyle w:val="Heading2"/>
        <w:spacing w:after="120" w:before="260"/>
      </w:pPr>
      <w:r>
        <w:rPr>
          <w:rFonts w:ascii="Georgia" w:cs="Georgia" w:eastAsia="Georgia" w:hAnsi="Georgia"/>
          <w:b/>
          <w:bCs/>
          <w:color w:val="B8862B"/>
          <w:sz w:val="24"/>
          <w:szCs w:val="24"/>
        </w:rPr>
        <w:t xml:space="preserve">6.5 ESG Scoring Engine</w:t>
      </w:r>
    </w:p>
    <w:p>
      <w:pPr>
        <w:pStyle w:val="ListParagraph"/>
        <w:numPr>
          <w:ilvl w:val="0"/>
          <w:numId w:val="3"/>
        </w:numPr>
        <w:spacing w:after="60" w:line="276"/>
      </w:pPr>
      <w:r>
        <w:rPr>
          <w:rFonts w:ascii="Calibri" w:cs="Calibri" w:eastAsia="Calibri" w:hAnsi="Calibri"/>
          <w:color w:val="222222"/>
          <w:sz w:val="21"/>
          <w:szCs w:val="21"/>
        </w:rPr>
        <w:t xml:space="preserve">Environmental Score per Department, computed from Carbon Transactions vs. Environmental Goals (formula configurable; default: goal-attainment percentage).</w:t>
      </w:r>
    </w:p>
    <w:p>
      <w:pPr>
        <w:pStyle w:val="ListParagraph"/>
        <w:numPr>
          <w:ilvl w:val="0"/>
          <w:numId w:val="3"/>
        </w:numPr>
        <w:spacing w:after="60" w:line="276"/>
      </w:pPr>
      <w:r>
        <w:rPr>
          <w:rFonts w:ascii="Calibri" w:cs="Calibri" w:eastAsia="Calibri" w:hAnsi="Calibri"/>
          <w:color w:val="222222"/>
          <w:sz w:val="21"/>
          <w:szCs w:val="21"/>
        </w:rPr>
        <w:t xml:space="preserve">Department Total Score = weighted sum of Environmental, Social, Governance scores using the org-level weighting from ESG Configuration.</w:t>
      </w:r>
    </w:p>
    <w:p>
      <w:pPr>
        <w:pStyle w:val="ListParagraph"/>
        <w:numPr>
          <w:ilvl w:val="0"/>
          <w:numId w:val="3"/>
        </w:numPr>
        <w:spacing w:after="60" w:line="276"/>
      </w:pPr>
      <w:r>
        <w:rPr>
          <w:rFonts w:ascii="Calibri" w:cs="Calibri" w:eastAsia="Calibri" w:hAnsi="Calibri"/>
          <w:color w:val="222222"/>
          <w:sz w:val="21"/>
          <w:szCs w:val="21"/>
        </w:rPr>
        <w:t xml:space="preserve">Overall ESG Score = aggregation of Department Total Scores (configurable: simple average or headcount-weighted average).</w:t>
      </w:r>
    </w:p>
    <w:p>
      <w:pPr>
        <w:pStyle w:val="ListParagraph"/>
        <w:numPr>
          <w:ilvl w:val="0"/>
          <w:numId w:val="3"/>
        </w:numPr>
        <w:spacing w:after="60" w:line="276"/>
      </w:pPr>
      <w:r>
        <w:rPr>
          <w:rFonts w:ascii="Calibri" w:cs="Calibri" w:eastAsia="Calibri" w:hAnsi="Calibri"/>
          <w:color w:val="222222"/>
          <w:sz w:val="21"/>
          <w:szCs w:val="21"/>
        </w:rPr>
        <w:t xml:space="preserve">Scoring must recompute on a schedule (e.g., nightly cron) and be callable on-demand for a given period.</w:t>
      </w:r>
    </w:p>
    <w:p>
      <w:pPr>
        <w:pStyle w:val="Heading2"/>
        <w:spacing w:after="120" w:before="260"/>
      </w:pPr>
      <w:r>
        <w:rPr>
          <w:rFonts w:ascii="Georgia" w:cs="Georgia" w:eastAsia="Georgia" w:hAnsi="Georgia"/>
          <w:b/>
          <w:bCs/>
          <w:color w:val="B8862B"/>
          <w:sz w:val="24"/>
          <w:szCs w:val="24"/>
        </w:rPr>
        <w:t xml:space="preserve">6.6 Environmental Dashboard</w:t>
      </w:r>
    </w:p>
    <w:p>
      <w:pPr>
        <w:pStyle w:val="ListParagraph"/>
        <w:numPr>
          <w:ilvl w:val="0"/>
          <w:numId w:val="3"/>
        </w:numPr>
        <w:spacing w:after="60" w:line="276"/>
      </w:pPr>
      <w:r>
        <w:rPr>
          <w:rFonts w:ascii="Calibri" w:cs="Calibri" w:eastAsia="Calibri" w:hAnsi="Calibri"/>
          <w:color w:val="222222"/>
          <w:sz w:val="21"/>
          <w:szCs w:val="21"/>
        </w:rPr>
        <w:t xml:space="preserve">Org-wide and per-department views: total CO2e, trend chart, goal attainment, top emission sources.</w:t>
      </w:r>
    </w:p>
    <w:p>
      <w:pPr>
        <w:pStyle w:val="Heading1"/>
        <w:pBdr>
          <w:bottom w:val="single" w:color="1F5C4C" w:sz="8" w:space="4"/>
        </w:pBdr>
        <w:spacing w:after="160" w:before="360"/>
      </w:pPr>
      <w:r>
        <w:rPr>
          <w:rFonts w:ascii="Georgia" w:cs="Georgia" w:eastAsia="Georgia" w:hAnsi="Georgia"/>
          <w:b/>
          <w:bCs/>
          <w:color w:val="1F5C4C"/>
          <w:sz w:val="30"/>
          <w:szCs w:val="30"/>
        </w:rPr>
        <w:t xml:space="preserve">7. Business Rules</w:t>
      </w:r>
    </w:p>
    <w:p>
      <w:pPr>
        <w:pStyle w:val="ListParagraph"/>
        <w:numPr>
          <w:ilvl w:val="0"/>
          <w:numId w:val="3"/>
        </w:numPr>
        <w:spacing w:after="60" w:line="276"/>
      </w:pPr>
      <w:r>
        <w:rPr>
          <w:rFonts w:ascii="Calibri" w:cs="Calibri" w:eastAsia="Calibri" w:hAnsi="Calibri"/>
          <w:color w:val="222222"/>
          <w:sz w:val="21"/>
          <w:szCs w:val="21"/>
        </w:rPr>
        <w:t xml:space="preserve">Default ESG weighting is Environmental 40% / Social 30% / Governance 30%; must be editable per organization in Settings → ESG Configuration.</w:t>
      </w:r>
    </w:p>
    <w:p>
      <w:pPr>
        <w:pStyle w:val="ListParagraph"/>
        <w:numPr>
          <w:ilvl w:val="0"/>
          <w:numId w:val="3"/>
        </w:numPr>
        <w:spacing w:after="60" w:line="276"/>
      </w:pPr>
      <w:r>
        <w:rPr>
          <w:rFonts w:ascii="Calibri" w:cs="Calibri" w:eastAsia="Calibri" w:hAnsi="Calibri"/>
          <w:color w:val="222222"/>
          <w:sz w:val="21"/>
          <w:szCs w:val="21"/>
        </w:rPr>
        <w:t xml:space="preserve">Auto Emission Calculation is a Settings toggle; when off, all Carbon Transactions are manual.</w:t>
      </w:r>
    </w:p>
    <w:p>
      <w:pPr>
        <w:pStyle w:val="ListParagraph"/>
        <w:numPr>
          <w:ilvl w:val="0"/>
          <w:numId w:val="3"/>
        </w:numPr>
        <w:spacing w:after="60" w:line="276"/>
      </w:pPr>
      <w:r>
        <w:rPr>
          <w:rFonts w:ascii="Calibri" w:cs="Calibri" w:eastAsia="Calibri" w:hAnsi="Calibri"/>
          <w:color w:val="222222"/>
          <w:sz w:val="21"/>
          <w:szCs w:val="21"/>
        </w:rPr>
        <w:t xml:space="preserve">A Carbon Transaction linked to a source document cannot be duplicated if that source document is recalculated (idempotent recalculation).</w:t>
      </w:r>
    </w:p>
    <w:p>
      <w:pPr>
        <w:pStyle w:val="ListParagraph"/>
        <w:numPr>
          <w:ilvl w:val="0"/>
          <w:numId w:val="3"/>
        </w:numPr>
        <w:spacing w:after="60" w:line="276"/>
      </w:pPr>
      <w:r>
        <w:rPr>
          <w:rFonts w:ascii="Calibri" w:cs="Calibri" w:eastAsia="Calibri" w:hAnsi="Calibri"/>
          <w:color w:val="222222"/>
          <w:sz w:val="21"/>
          <w:szCs w:val="21"/>
        </w:rPr>
        <w:t xml:space="preserve">Department Score records are period-scoped (one record per Department per reporting period) and recomputed, not appended, when source data changes.</w:t>
      </w:r>
    </w:p>
    <w:p>
      <w:pPr>
        <w:pStyle w:val="Heading1"/>
        <w:pBdr>
          <w:bottom w:val="single" w:color="1F5C4C" w:sz="8" w:space="4"/>
        </w:pBdr>
        <w:spacing w:after="160" w:before="360"/>
      </w:pPr>
      <w:r>
        <w:rPr>
          <w:rFonts w:ascii="Georgia" w:cs="Georgia" w:eastAsia="Georgia" w:hAnsi="Georgia"/>
          <w:b/>
          <w:bCs/>
          <w:color w:val="1F5C4C"/>
          <w:sz w:val="30"/>
          <w:szCs w:val="30"/>
        </w:rPr>
        <w:t xml:space="preserve">8. Business Workflow (this track's segment)</w:t>
      </w:r>
    </w:p>
    <w:p>
      <w:pPr>
        <w:spacing w:after="120" w:line="288"/>
      </w:pPr>
      <w:r>
        <w:rPr>
          <w:rFonts w:ascii="Calibri" w:cs="Calibri" w:eastAsia="Calibri" w:hAnsi="Calibri"/>
          <w:i w:val="false"/>
          <w:iCs w:val="false"/>
          <w:color w:val="222222"/>
          <w:sz w:val="21"/>
          <w:szCs w:val="21"/>
        </w:rPr>
        <w:t xml:space="preserve">Master Configuration (Departments · Categories · Emission Factors · Products · Goals) → Daily Business Operations (Purchase / Manufacturing / Expenses / Fleet) → Carbon Transactions → Environmental Score → Department Total Score (combined with P2/P3 scores) → Overall ESG Score → Organization Dashboard &amp; Reports.</w:t>
      </w:r>
    </w:p>
    <w:p>
      <w:pPr>
        <w:pStyle w:val="Heading1"/>
        <w:pBdr>
          <w:bottom w:val="single" w:color="1F5C4C" w:sz="8" w:space="4"/>
        </w:pBdr>
        <w:spacing w:after="160" w:before="360"/>
      </w:pPr>
      <w:r>
        <w:rPr>
          <w:rFonts w:ascii="Georgia" w:cs="Georgia" w:eastAsia="Georgia" w:hAnsi="Georgia"/>
          <w:b/>
          <w:bCs/>
          <w:color w:val="1F5C4C"/>
          <w:sz w:val="30"/>
          <w:szCs w:val="30"/>
        </w:rPr>
        <w:t xml:space="preserve">9. Odoo Implementation Notes</w:t>
      </w:r>
    </w:p>
    <w:p>
      <w:pPr>
        <w:pStyle w:val="ListParagraph"/>
        <w:numPr>
          <w:ilvl w:val="0"/>
          <w:numId w:val="3"/>
        </w:numPr>
        <w:spacing w:after="60" w:line="276"/>
      </w:pPr>
      <w:r>
        <w:rPr>
          <w:rFonts w:ascii="Calibri" w:cs="Calibri" w:eastAsia="Calibri" w:hAnsi="Calibri"/>
          <w:color w:val="222222"/>
          <w:sz w:val="21"/>
          <w:szCs w:val="21"/>
        </w:rPr>
        <w:t xml:space="preserve">Suggested module name: esg_core (Departments, Categories, Emission Factors, Config) + esg_environmental (Goals, Carbon Transactions, Dashboard, Scoring).</w:t>
      </w:r>
    </w:p>
    <w:p>
      <w:pPr>
        <w:pStyle w:val="ListParagraph"/>
        <w:numPr>
          <w:ilvl w:val="0"/>
          <w:numId w:val="3"/>
        </w:numPr>
        <w:spacing w:after="60" w:line="276"/>
      </w:pPr>
      <w:r>
        <w:rPr>
          <w:rFonts w:ascii="Calibri" w:cs="Calibri" w:eastAsia="Calibri" w:hAnsi="Calibri"/>
          <w:color w:val="222222"/>
          <w:sz w:val="21"/>
          <w:szCs w:val="21"/>
        </w:rPr>
        <w:t xml:space="preserve">Department can extend hr.department or be a standalone model with a Many2one to hr.department — decide based on whether ESG ownership must diverge from HR hierarchy.</w:t>
      </w:r>
    </w:p>
    <w:p>
      <w:pPr>
        <w:pStyle w:val="ListParagraph"/>
        <w:numPr>
          <w:ilvl w:val="0"/>
          <w:numId w:val="3"/>
        </w:numPr>
        <w:spacing w:after="60" w:line="276"/>
      </w:pPr>
      <w:r>
        <w:rPr>
          <w:rFonts w:ascii="Calibri" w:cs="Calibri" w:eastAsia="Calibri" w:hAnsi="Calibri"/>
          <w:color w:val="222222"/>
          <w:sz w:val="21"/>
          <w:szCs w:val="21"/>
        </w:rPr>
        <w:t xml:space="preserve">Carbon Transaction source document: use a generic Many2one via ir.model / res_model + res_id pattern (like mail.activity) so P1 doesn't need direct dependencies on every ERP app; Purchase/Manufacturing/Expense/Fleet integration hooks (via server actions or automated actions) write into this generic reference.</w:t>
      </w:r>
    </w:p>
    <w:p>
      <w:pPr>
        <w:pStyle w:val="ListParagraph"/>
        <w:numPr>
          <w:ilvl w:val="0"/>
          <w:numId w:val="3"/>
        </w:numPr>
        <w:spacing w:after="60" w:line="276"/>
      </w:pPr>
      <w:r>
        <w:rPr>
          <w:rFonts w:ascii="Calibri" w:cs="Calibri" w:eastAsia="Calibri" w:hAnsi="Calibri"/>
          <w:color w:val="222222"/>
          <w:sz w:val="21"/>
          <w:szCs w:val="21"/>
        </w:rPr>
        <w:t xml:space="preserve">Score computation: implement as a scheduled action (ir.cron) calling a service method; also expose a button for on-demand recompute for demo purposes.</w:t>
      </w:r>
    </w:p>
    <w:p>
      <w:pPr>
        <w:pStyle w:val="ListParagraph"/>
        <w:numPr>
          <w:ilvl w:val="0"/>
          <w:numId w:val="3"/>
        </w:numPr>
        <w:spacing w:after="60" w:line="276"/>
      </w:pPr>
      <w:r>
        <w:rPr>
          <w:rFonts w:ascii="Calibri" w:cs="Calibri" w:eastAsia="Calibri" w:hAnsi="Calibri"/>
          <w:color w:val="222222"/>
          <w:sz w:val="21"/>
          <w:szCs w:val="21"/>
        </w:rPr>
        <w:t xml:space="preserve">Expose Environmental Score / Department Score as a read model (SQL view or computed stored field) so P3's Report Builder can query it directly.</w:t>
      </w:r>
    </w:p>
    <w:p>
      <w:pPr>
        <w:pStyle w:val="Heading1"/>
        <w:pBdr>
          <w:bottom w:val="single" w:color="1F5C4C" w:sz="8" w:space="4"/>
        </w:pBdr>
        <w:spacing w:after="160" w:before="360"/>
      </w:pPr>
      <w:r>
        <w:rPr>
          <w:rFonts w:ascii="Georgia" w:cs="Georgia" w:eastAsia="Georgia" w:hAnsi="Georgia"/>
          <w:b/>
          <w:bCs/>
          <w:color w:val="1F5C4C"/>
          <w:sz w:val="30"/>
          <w:szCs w:val="30"/>
        </w:rPr>
        <w:t xml:space="preserve">10. Acceptance Criteria</w:t>
      </w:r>
    </w:p>
    <w:p>
      <w:pPr>
        <w:pStyle w:val="ListParagraph"/>
        <w:numPr>
          <w:ilvl w:val="0"/>
          <w:numId w:val="3"/>
        </w:numPr>
        <w:spacing w:after="60" w:line="276"/>
      </w:pPr>
      <w:r>
        <w:rPr>
          <w:rFonts w:ascii="Calibri" w:cs="Calibri" w:eastAsia="Calibri" w:hAnsi="Calibri"/>
          <w:color w:val="222222"/>
          <w:sz w:val="21"/>
          <w:szCs w:val="21"/>
        </w:rPr>
        <w:t xml:space="preserve">Creating a confirmed Purchase/Expense/Manufacturing/Fleet record with a matching Emission Factor and Auto Emission Calculation ON produces a Carbon Transaction with the correct CO2e value.</w:t>
      </w:r>
    </w:p>
    <w:p>
      <w:pPr>
        <w:pStyle w:val="ListParagraph"/>
        <w:numPr>
          <w:ilvl w:val="0"/>
          <w:numId w:val="3"/>
        </w:numPr>
        <w:spacing w:after="60" w:line="276"/>
      </w:pPr>
      <w:r>
        <w:rPr>
          <w:rFonts w:ascii="Calibri" w:cs="Calibri" w:eastAsia="Calibri" w:hAnsi="Calibri"/>
          <w:color w:val="222222"/>
          <w:sz w:val="21"/>
          <w:szCs w:val="21"/>
        </w:rPr>
        <w:t xml:space="preserve">Turning Auto Emission Calculation OFF stops automatic generation; manual entry still works.</w:t>
      </w:r>
    </w:p>
    <w:p>
      <w:pPr>
        <w:pStyle w:val="ListParagraph"/>
        <w:numPr>
          <w:ilvl w:val="0"/>
          <w:numId w:val="3"/>
        </w:numPr>
        <w:spacing w:after="60" w:line="276"/>
      </w:pPr>
      <w:r>
        <w:rPr>
          <w:rFonts w:ascii="Calibri" w:cs="Calibri" w:eastAsia="Calibri" w:hAnsi="Calibri"/>
          <w:color w:val="222222"/>
          <w:sz w:val="21"/>
          <w:szCs w:val="21"/>
        </w:rPr>
        <w:t xml:space="preserve">An Environmental Goal shows correct progress % against actual Carbon Transactions for its Department.</w:t>
      </w:r>
    </w:p>
    <w:p>
      <w:pPr>
        <w:pStyle w:val="ListParagraph"/>
        <w:numPr>
          <w:ilvl w:val="0"/>
          <w:numId w:val="3"/>
        </w:numPr>
        <w:spacing w:after="60" w:line="276"/>
      </w:pPr>
      <w:r>
        <w:rPr>
          <w:rFonts w:ascii="Calibri" w:cs="Calibri" w:eastAsia="Calibri" w:hAnsi="Calibri"/>
          <w:color w:val="222222"/>
          <w:sz w:val="21"/>
          <w:szCs w:val="21"/>
        </w:rPr>
        <w:t xml:space="preserve">Changing the ESG Configuration weighting immediately changes the computed Overall ESG Score on next recompute.</w:t>
      </w:r>
    </w:p>
    <w:p>
      <w:pPr>
        <w:pStyle w:val="ListParagraph"/>
        <w:numPr>
          <w:ilvl w:val="0"/>
          <w:numId w:val="3"/>
        </w:numPr>
        <w:spacing w:after="60" w:line="276"/>
      </w:pPr>
      <w:r>
        <w:rPr>
          <w:rFonts w:ascii="Calibri" w:cs="Calibri" w:eastAsia="Calibri" w:hAnsi="Calibri"/>
          <w:color w:val="222222"/>
          <w:sz w:val="21"/>
          <w:szCs w:val="21"/>
        </w:rPr>
        <w:t xml:space="preserve">Department Score record exists per Department per period with a non-null Environmental Score once Carbon Transactions exist.</w:t>
      </w:r>
    </w:p>
    <w:p>
      <w:pPr>
        <w:pStyle w:val="ListParagraph"/>
        <w:numPr>
          <w:ilvl w:val="0"/>
          <w:numId w:val="3"/>
        </w:numPr>
        <w:spacing w:after="60" w:line="276"/>
      </w:pPr>
      <w:r>
        <w:rPr>
          <w:rFonts w:ascii="Calibri" w:cs="Calibri" w:eastAsia="Calibri" w:hAnsi="Calibri"/>
          <w:color w:val="222222"/>
          <w:sz w:val="21"/>
          <w:szCs w:val="21"/>
        </w:rPr>
        <w:t xml:space="preserve">Environmental Dashboard renders total CO2e, trend, and goal status for at least one department with seeded data.</w:t>
      </w:r>
    </w:p>
    <w:p>
      <w:pPr>
        <w:pStyle w:val="Heading1"/>
        <w:pBdr>
          <w:bottom w:val="single" w:color="1F5C4C" w:sz="8" w:space="4"/>
        </w:pBdr>
        <w:spacing w:after="160" w:before="360"/>
      </w:pPr>
      <w:r>
        <w:rPr>
          <w:rFonts w:ascii="Georgia" w:cs="Georgia" w:eastAsia="Georgia" w:hAnsi="Georgia"/>
          <w:b/>
          <w:bCs/>
          <w:color w:val="1F5C4C"/>
          <w:sz w:val="30"/>
          <w:szCs w:val="30"/>
        </w:rPr>
        <w:t xml:space="preserve">11. Dependencies &amp; Handoffs</w:t>
      </w:r>
    </w:p>
    <w:p>
      <w:pPr>
        <w:pStyle w:val="ListParagraph"/>
        <w:numPr>
          <w:ilvl w:val="0"/>
          <w:numId w:val="3"/>
        </w:numPr>
        <w:spacing w:after="60" w:line="276"/>
      </w:pPr>
      <w:r>
        <w:rPr>
          <w:rFonts w:ascii="Calibri" w:cs="Calibri" w:eastAsia="Calibri" w:hAnsi="Calibri"/>
          <w:color w:val="222222"/>
          <w:sz w:val="21"/>
          <w:szCs w:val="21"/>
        </w:rPr>
        <w:t xml:space="preserve">P2 needs: Department model, Category model (Type = CSR Activity / Challenge) available before building CSR Activities and Challenges.</w:t>
      </w:r>
    </w:p>
    <w:p>
      <w:pPr>
        <w:pStyle w:val="ListParagraph"/>
        <w:numPr>
          <w:ilvl w:val="0"/>
          <w:numId w:val="3"/>
        </w:numPr>
        <w:spacing w:after="60" w:line="276"/>
      </w:pPr>
      <w:r>
        <w:rPr>
          <w:rFonts w:ascii="Calibri" w:cs="Calibri" w:eastAsia="Calibri" w:hAnsi="Calibri"/>
          <w:color w:val="222222"/>
          <w:sz w:val="21"/>
          <w:szCs w:val="21"/>
        </w:rPr>
        <w:t xml:space="preserve">P3 needs: Department Score model and scoring hooks available before building Reports and the Custom Report Builder.</w:t>
      </w:r>
    </w:p>
    <w:p>
      <w:pPr>
        <w:pStyle w:val="ListParagraph"/>
        <w:numPr>
          <w:ilvl w:val="0"/>
          <w:numId w:val="3"/>
        </w:numPr>
        <w:spacing w:after="60" w:line="276"/>
      </w:pPr>
      <w:r>
        <w:rPr>
          <w:rFonts w:ascii="Calibri" w:cs="Calibri" w:eastAsia="Calibri" w:hAnsi="Calibri"/>
          <w:color w:val="222222"/>
          <w:sz w:val="21"/>
          <w:szCs w:val="21"/>
        </w:rPr>
        <w:t xml:space="preserve">This track needs from P2/P3: confirmation of the field names they will write Social Score / Governance Score into, agreed before final integration sprint.</w:t>
      </w:r>
    </w:p>
    <w:p>
      <w:pPr>
        <w:pStyle w:val="Heading1"/>
        <w:pBdr>
          <w:bottom w:val="single" w:color="1F5C4C" w:sz="8" w:space="4"/>
        </w:pBdr>
        <w:spacing w:after="160" w:before="360"/>
      </w:pPr>
      <w:r>
        <w:rPr>
          <w:rFonts w:ascii="Georgia" w:cs="Georgia" w:eastAsia="Georgia" w:hAnsi="Georgia"/>
          <w:b/>
          <w:bCs/>
          <w:color w:val="1F5C4C"/>
          <w:sz w:val="30"/>
          <w:szCs w:val="30"/>
        </w:rPr>
        <w:t xml:space="preserve">12. Suggested Build Order</w:t>
      </w:r>
    </w:p>
    <w:p>
      <w:pPr>
        <w:pStyle w:val="ListParagraph"/>
        <w:numPr>
          <w:ilvl w:val="0"/>
          <w:numId w:val="2"/>
        </w:numPr>
        <w:spacing w:after="70" w:line="276"/>
      </w:pPr>
      <w:r>
        <w:rPr>
          <w:rFonts w:ascii="Calibri" w:cs="Calibri" w:eastAsia="Calibri" w:hAnsi="Calibri"/>
          <w:color w:val="222222"/>
          <w:sz w:val="21"/>
          <w:szCs w:val="21"/>
        </w:rPr>
        <w:t xml:space="preserve">Module scaffolding, security groups, menus.</w:t>
      </w:r>
    </w:p>
    <w:p>
      <w:pPr>
        <w:pStyle w:val="ListParagraph"/>
        <w:numPr>
          <w:ilvl w:val="0"/>
          <w:numId w:val="2"/>
        </w:numPr>
        <w:spacing w:after="70" w:line="276"/>
      </w:pPr>
      <w:r>
        <w:rPr>
          <w:rFonts w:ascii="Calibri" w:cs="Calibri" w:eastAsia="Calibri" w:hAnsi="Calibri"/>
          <w:color w:val="222222"/>
          <w:sz w:val="21"/>
          <w:szCs w:val="21"/>
        </w:rPr>
        <w:t xml:space="preserve">Department, Category, Emission Factor master data + views.</w:t>
      </w:r>
    </w:p>
    <w:p>
      <w:pPr>
        <w:pStyle w:val="ListParagraph"/>
        <w:numPr>
          <w:ilvl w:val="0"/>
          <w:numId w:val="2"/>
        </w:numPr>
        <w:spacing w:after="70" w:line="276"/>
      </w:pPr>
      <w:r>
        <w:rPr>
          <w:rFonts w:ascii="Calibri" w:cs="Calibri" w:eastAsia="Calibri" w:hAnsi="Calibri"/>
          <w:color w:val="222222"/>
          <w:sz w:val="21"/>
          <w:szCs w:val="21"/>
        </w:rPr>
        <w:t xml:space="preserve">Carbon Transaction model + manual entry.</w:t>
      </w:r>
    </w:p>
    <w:p>
      <w:pPr>
        <w:pStyle w:val="ListParagraph"/>
        <w:numPr>
          <w:ilvl w:val="0"/>
          <w:numId w:val="2"/>
        </w:numPr>
        <w:spacing w:after="70" w:line="276"/>
      </w:pPr>
      <w:r>
        <w:rPr>
          <w:rFonts w:ascii="Calibri" w:cs="Calibri" w:eastAsia="Calibri" w:hAnsi="Calibri"/>
          <w:color w:val="222222"/>
          <w:sz w:val="21"/>
          <w:szCs w:val="21"/>
        </w:rPr>
        <w:t xml:space="preserve">Auto emission calculation hooks on Purchase/Manufacturing/Expense/Fleet.</w:t>
      </w:r>
    </w:p>
    <w:p>
      <w:pPr>
        <w:pStyle w:val="ListParagraph"/>
        <w:numPr>
          <w:ilvl w:val="0"/>
          <w:numId w:val="2"/>
        </w:numPr>
        <w:spacing w:after="70" w:line="276"/>
      </w:pPr>
      <w:r>
        <w:rPr>
          <w:rFonts w:ascii="Calibri" w:cs="Calibri" w:eastAsia="Calibri" w:hAnsi="Calibri"/>
          <w:color w:val="222222"/>
          <w:sz w:val="21"/>
          <w:szCs w:val="21"/>
        </w:rPr>
        <w:t xml:space="preserve">Environmental Goal model + progress tracking.</w:t>
      </w:r>
    </w:p>
    <w:p>
      <w:pPr>
        <w:pStyle w:val="ListParagraph"/>
        <w:numPr>
          <w:ilvl w:val="0"/>
          <w:numId w:val="2"/>
        </w:numPr>
        <w:spacing w:after="70" w:line="276"/>
      </w:pPr>
      <w:r>
        <w:rPr>
          <w:rFonts w:ascii="Calibri" w:cs="Calibri" w:eastAsia="Calibri" w:hAnsi="Calibri"/>
          <w:color w:val="222222"/>
          <w:sz w:val="21"/>
          <w:szCs w:val="21"/>
        </w:rPr>
        <w:t xml:space="preserve">Scoring engine (Environmental Score → Department Score → Overall ESG Score) with configurable weighting.</w:t>
      </w:r>
    </w:p>
    <w:p>
      <w:pPr>
        <w:pStyle w:val="ListParagraph"/>
        <w:numPr>
          <w:ilvl w:val="0"/>
          <w:numId w:val="2"/>
        </w:numPr>
        <w:spacing w:after="70" w:line="276"/>
      </w:pPr>
      <w:r>
        <w:rPr>
          <w:rFonts w:ascii="Calibri" w:cs="Calibri" w:eastAsia="Calibri" w:hAnsi="Calibri"/>
          <w:color w:val="222222"/>
          <w:sz w:val="21"/>
          <w:szCs w:val="21"/>
        </w:rPr>
        <w:t xml:space="preserve">Environmental Dashboard.</w:t>
      </w:r>
    </w:p>
    <w:p>
      <w:pPr>
        <w:pStyle w:val="ListParagraph"/>
        <w:numPr>
          <w:ilvl w:val="0"/>
          <w:numId w:val="2"/>
        </w:numPr>
        <w:spacing w:after="70" w:line="276"/>
      </w:pPr>
      <w:r>
        <w:rPr>
          <w:rFonts w:ascii="Calibri" w:cs="Calibri" w:eastAsia="Calibri" w:hAnsi="Calibri"/>
          <w:color w:val="222222"/>
          <w:sz w:val="21"/>
          <w:szCs w:val="21"/>
        </w:rPr>
        <w:t xml:space="preserve">Integration pass with P2 and P3 outputs.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2026-07-12T03:59:33.161Z</dcterms:created>
  <dcterms:modified xsi:type="dcterms:W3CDTF">2026-07-12T03:59:33.174Z</dcterms:modified>
</cp:coreProperties>
</file>

<file path=docProps/custom.xml><?xml version="1.0" encoding="utf-8"?>
<Properties xmlns="http://schemas.openxmlformats.org/officeDocument/2006/custom-properties" xmlns:vt="http://schemas.openxmlformats.org/officeDocument/2006/docPropsVTypes"/>
</file>