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P6dd53a</w:t>
        <w:br/>
      </w:r>
      <w:r>
        <w:t>Source: Gati case study group 7 section b | DOCX - SlideShare</w:t>
        <w:br/>
      </w:r>
      <w:r>
        <w:t>Excerpt: "It discusses Gati ' s business segments, including coastal shipping and express distribution/supply chain services. It outlines Gati 's vision, strategy, and adoption of an asset-light business model . It also notes Gati 's focus on environmental protection and CSR initiatives."</w:t>
      </w:r>
    </w:p>
    <w:p>
      <w:r>
        <w:t>------------------------------</w:t>
      </w:r>
    </w:p>
    <w:p>
      <w:r>
        <w:rPr>
          <w:b/>
        </w:rPr>
        <w:t>Fact ID: Pf0374b</w:t>
        <w:br/>
      </w:r>
      <w:r>
        <w:t>Source: Gati Ltd Fundamental Company Report Including Financial, SWOT ...</w:t>
        <w:br/>
      </w:r>
      <w:r>
        <w:t>Excerpt: "Gati Ltd Fundamental Company Report provides a complete overview of the company’s affairs. All available data is presented in a comprehensive and easily accessed format."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