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Reference Document</w:t>
      </w:r>
    </w:p>
    <w:p>
      <w:r>
        <w:rPr>
          <w:b/>
        </w:rPr>
        <w:t>Fact ID: Operating EBITDA: Also increased significantly from 2022 to 2025.</w:t>
        <w:br/>
      </w:r>
      <w:r>
        <w:t>Source: Unknown</w:t>
        <w:br/>
      </w:r>
      <w:r>
        <w:t>Excerpt: ""</w:t>
      </w:r>
    </w:p>
    <w:p>
      <w:r>
        <w:t>------------------------------</w:t>
      </w:r>
    </w:p>
    <w:p>
      <w:r>
        <w:rPr>
          <w:b/>
        </w:rPr>
        <w:t>Fact ID: Revenue From Operations: Increased significantly from 2022 to 2025.</w:t>
        <w:br/>
      </w:r>
      <w:r>
        <w:t>Source: Unknown</w:t>
        <w:br/>
      </w:r>
      <w:r>
        <w:t>Excerpt: ""</w:t>
      </w:r>
    </w:p>
    <w:p>
      <w:r>
        <w:t>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