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2506" w14:textId="77777777" w:rsidR="001D5028" w:rsidRPr="001D5028" w:rsidRDefault="001D5028" w:rsidP="001D5028">
      <w:pPr>
        <w:spacing w:after="40"/>
        <w:jc w:val="center"/>
        <w:rPr>
          <w:rFonts w:ascii="Times New Roman" w:hAnsi="Times New Roman" w:cs="Times New Roman"/>
        </w:rPr>
      </w:pPr>
      <w:r w:rsidRPr="001D5028">
        <w:rPr>
          <w:rFonts w:ascii="Times New Roman" w:hAnsi="Times New Roman" w:cs="Times New Roman"/>
          <w:noProof/>
        </w:rPr>
        <w:drawing>
          <wp:inline distT="0" distB="0" distL="0" distR="0" wp14:anchorId="7335B6B4" wp14:editId="336B4020">
            <wp:extent cx="1783080" cy="17830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ebcac4-d3fc-4270-bba8-1a305b02b9d4.png"/>
                    <pic:cNvPicPr/>
                  </pic:nvPicPr>
                  <pic:blipFill>
                    <a:blip r:embed="rId6"/>
                    <a:stretch>
                      <a:fillRect/>
                    </a:stretch>
                  </pic:blipFill>
                  <pic:spPr>
                    <a:xfrm>
                      <a:off x="0" y="0"/>
                      <a:ext cx="1783295" cy="1783295"/>
                    </a:xfrm>
                    <a:prstGeom prst="rect">
                      <a:avLst/>
                    </a:prstGeom>
                  </pic:spPr>
                </pic:pic>
              </a:graphicData>
            </a:graphic>
          </wp:inline>
        </w:drawing>
      </w:r>
    </w:p>
    <w:p w14:paraId="033348DA" w14:textId="77777777" w:rsidR="001D5028" w:rsidRPr="006D542F" w:rsidRDefault="001D5028" w:rsidP="001D5028">
      <w:pPr>
        <w:jc w:val="center"/>
        <w:rPr>
          <w:rFonts w:ascii="Times New Roman" w:hAnsi="Times New Roman" w:cs="Times New Roman"/>
        </w:rPr>
      </w:pPr>
      <w:r w:rsidRPr="006D542F">
        <w:rPr>
          <w:rFonts w:ascii="Times New Roman" w:hAnsi="Times New Roman" w:cs="Times New Roman"/>
          <w:b/>
          <w:sz w:val="42"/>
        </w:rPr>
        <w:t>SGT UNIVERSITY</w:t>
      </w:r>
    </w:p>
    <w:p w14:paraId="617E755C" w14:textId="77777777" w:rsidR="001D5028" w:rsidRPr="001D5028" w:rsidRDefault="001D5028" w:rsidP="001D5028">
      <w:pPr>
        <w:jc w:val="center"/>
        <w:rPr>
          <w:rFonts w:ascii="Times New Roman" w:hAnsi="Times New Roman" w:cs="Times New Roman"/>
        </w:rPr>
      </w:pPr>
      <w:r w:rsidRPr="001D5028">
        <w:rPr>
          <w:rFonts w:ascii="Times New Roman" w:hAnsi="Times New Roman" w:cs="Times New Roman"/>
          <w:b/>
          <w:color w:val="464646"/>
          <w:sz w:val="22"/>
        </w:rPr>
        <w:t>FACULTY OF ENGINEERING AND TECHNOLOGY</w:t>
      </w:r>
    </w:p>
    <w:p w14:paraId="3036566B" w14:textId="77777777" w:rsidR="001D5028" w:rsidRPr="001D5028" w:rsidRDefault="001D5028" w:rsidP="001D5028">
      <w:pPr>
        <w:spacing w:after="160"/>
        <w:rPr>
          <w:rFonts w:ascii="Times New Roman" w:hAnsi="Times New Roman" w:cs="Times New Roman"/>
        </w:rPr>
      </w:pPr>
    </w:p>
    <w:p w14:paraId="2F9E1B51" w14:textId="77777777" w:rsidR="001D5028" w:rsidRPr="001D5028" w:rsidRDefault="001D5028" w:rsidP="001D5028">
      <w:pPr>
        <w:spacing w:after="80"/>
        <w:jc w:val="center"/>
        <w:rPr>
          <w:rFonts w:ascii="Times New Roman" w:hAnsi="Times New Roman" w:cs="Times New Roman"/>
          <w:sz w:val="20"/>
          <w:szCs w:val="20"/>
        </w:rPr>
      </w:pPr>
      <w:r w:rsidRPr="001D5028">
        <w:rPr>
          <w:rFonts w:ascii="Times New Roman" w:hAnsi="Times New Roman" w:cs="Times New Roman"/>
          <w:b/>
          <w:color w:val="232323"/>
          <w:sz w:val="40"/>
          <w:szCs w:val="20"/>
        </w:rPr>
        <w:t>LITERATURE REVIEW</w:t>
      </w:r>
    </w:p>
    <w:p w14:paraId="5F8AC119" w14:textId="77777777" w:rsidR="001D5028" w:rsidRDefault="001D5028" w:rsidP="001D5028">
      <w:pPr>
        <w:spacing w:after="40"/>
        <w:jc w:val="center"/>
        <w:rPr>
          <w:rFonts w:ascii="Times New Roman" w:hAnsi="Times New Roman" w:cs="Times New Roman"/>
          <w:b/>
          <w:sz w:val="36"/>
        </w:rPr>
      </w:pPr>
      <w:r w:rsidRPr="001D5028">
        <w:rPr>
          <w:rFonts w:ascii="Times New Roman" w:hAnsi="Times New Roman" w:cs="Times New Roman"/>
          <w:b/>
          <w:sz w:val="36"/>
        </w:rPr>
        <w:t>B1 — SCORE AT SIX</w:t>
      </w:r>
    </w:p>
    <w:p w14:paraId="6EC11272" w14:textId="77777777" w:rsidR="001D5028" w:rsidRPr="001D5028" w:rsidRDefault="001D5028" w:rsidP="001D5028">
      <w:pPr>
        <w:spacing w:after="40"/>
        <w:jc w:val="center"/>
        <w:rPr>
          <w:rFonts w:ascii="Times New Roman" w:hAnsi="Times New Roman" w:cs="Times New Roman"/>
          <w:sz w:val="24"/>
          <w:szCs w:val="24"/>
        </w:rPr>
      </w:pPr>
    </w:p>
    <w:p w14:paraId="691ED1A4" w14:textId="77777777" w:rsidR="001D5028" w:rsidRPr="006D542F" w:rsidRDefault="001D5028" w:rsidP="001D5028">
      <w:pPr>
        <w:spacing w:after="60"/>
        <w:jc w:val="center"/>
        <w:rPr>
          <w:rFonts w:ascii="Times New Roman" w:hAnsi="Times New Roman" w:cs="Times New Roman"/>
          <w:sz w:val="28"/>
          <w:szCs w:val="28"/>
        </w:rPr>
      </w:pPr>
      <w:r w:rsidRPr="006D542F">
        <w:rPr>
          <w:rFonts w:ascii="Times New Roman" w:hAnsi="Times New Roman" w:cs="Times New Roman"/>
          <w:i/>
          <w:sz w:val="32"/>
          <w:szCs w:val="28"/>
        </w:rPr>
        <w:t>First-Innings Score Prediction from Powerplay State</w:t>
      </w:r>
    </w:p>
    <w:p w14:paraId="5E5D808E" w14:textId="3165AF18" w:rsidR="001D5028" w:rsidRDefault="001D5028" w:rsidP="001D5028">
      <w:pPr>
        <w:spacing w:after="240"/>
        <w:jc w:val="center"/>
        <w:rPr>
          <w:rFonts w:ascii="Times New Roman" w:hAnsi="Times New Roman" w:cs="Times New Roman"/>
          <w:b/>
          <w:sz w:val="22"/>
          <w:szCs w:val="28"/>
        </w:rPr>
      </w:pPr>
      <w:r w:rsidRPr="006D542F">
        <w:rPr>
          <w:rFonts w:ascii="Times New Roman" w:hAnsi="Times New Roman" w:cs="Times New Roman"/>
          <w:b/>
          <w:sz w:val="22"/>
          <w:szCs w:val="28"/>
        </w:rPr>
        <w:t xml:space="preserve">TRACK </w:t>
      </w:r>
      <w:r w:rsidRPr="006D542F">
        <w:rPr>
          <w:rFonts w:ascii="Times New Roman" w:hAnsi="Times New Roman" w:cs="Times New Roman"/>
          <w:b/>
          <w:sz w:val="22"/>
          <w:szCs w:val="28"/>
        </w:rPr>
        <w:t>B • SEQUENCE</w:t>
      </w:r>
      <w:r w:rsidRPr="006D542F">
        <w:rPr>
          <w:rFonts w:ascii="Times New Roman" w:hAnsi="Times New Roman" w:cs="Times New Roman"/>
          <w:b/>
          <w:sz w:val="22"/>
          <w:szCs w:val="28"/>
        </w:rPr>
        <w:t xml:space="preserve"> AND UNCERTAINTY</w:t>
      </w:r>
    </w:p>
    <w:p w14:paraId="199C3731" w14:textId="77777777" w:rsidR="006D542F" w:rsidRPr="001D5028" w:rsidRDefault="006D542F" w:rsidP="001D5028">
      <w:pPr>
        <w:spacing w:after="240"/>
        <w:jc w:val="center"/>
        <w:rPr>
          <w:rFonts w:ascii="Times New Roman" w:hAnsi="Times New Roman" w:cs="Times New Roman"/>
          <w:sz w:val="24"/>
          <w:szCs w:val="24"/>
        </w:rPr>
      </w:pPr>
    </w:p>
    <w:tbl>
      <w:tblPr>
        <w:tblW w:w="0" w:type="auto"/>
        <w:jc w:val="center"/>
        <w:tblLook w:val="04A0" w:firstRow="1" w:lastRow="0" w:firstColumn="1" w:lastColumn="0" w:noHBand="0" w:noVBand="1"/>
      </w:tblPr>
      <w:tblGrid>
        <w:gridCol w:w="3111"/>
        <w:gridCol w:w="3127"/>
        <w:gridCol w:w="3122"/>
      </w:tblGrid>
      <w:tr w:rsidR="001D5028" w:rsidRPr="001D5028" w14:paraId="729863DF" w14:textId="77777777" w:rsidTr="00303942">
        <w:trPr>
          <w:jc w:val="center"/>
        </w:trPr>
        <w:tc>
          <w:tcPr>
            <w:tcW w:w="3250" w:type="dxa"/>
            <w:shd w:val="clear" w:color="auto" w:fill="0B4F81"/>
            <w:tcMar>
              <w:top w:w="80" w:type="dxa"/>
              <w:left w:w="100" w:type="dxa"/>
              <w:bottom w:w="80" w:type="dxa"/>
              <w:right w:w="100" w:type="dxa"/>
            </w:tcMar>
          </w:tcPr>
          <w:p w14:paraId="4419AAB7" w14:textId="77777777" w:rsidR="001D5028" w:rsidRPr="006D542F" w:rsidRDefault="001D5028" w:rsidP="00303942">
            <w:pPr>
              <w:jc w:val="center"/>
              <w:rPr>
                <w:rFonts w:ascii="Times New Roman" w:hAnsi="Times New Roman" w:cs="Times New Roman"/>
              </w:rPr>
            </w:pPr>
            <w:r w:rsidRPr="006D542F">
              <w:rPr>
                <w:rFonts w:ascii="Times New Roman" w:hAnsi="Times New Roman" w:cs="Times New Roman"/>
                <w:b/>
                <w:color w:val="FFFFFF"/>
                <w:sz w:val="19"/>
              </w:rPr>
              <w:t>NAME</w:t>
            </w:r>
          </w:p>
        </w:tc>
        <w:tc>
          <w:tcPr>
            <w:tcW w:w="3250" w:type="dxa"/>
            <w:shd w:val="clear" w:color="auto" w:fill="0B4F81"/>
            <w:tcMar>
              <w:top w:w="80" w:type="dxa"/>
              <w:left w:w="100" w:type="dxa"/>
              <w:bottom w:w="80" w:type="dxa"/>
              <w:right w:w="100" w:type="dxa"/>
            </w:tcMar>
          </w:tcPr>
          <w:p w14:paraId="27B7143C"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b/>
                <w:color w:val="FFFFFF"/>
                <w:sz w:val="19"/>
              </w:rPr>
              <w:t>ROLL NUMBER</w:t>
            </w:r>
          </w:p>
        </w:tc>
        <w:tc>
          <w:tcPr>
            <w:tcW w:w="3250" w:type="dxa"/>
            <w:shd w:val="clear" w:color="auto" w:fill="0B4F81"/>
            <w:tcMar>
              <w:top w:w="80" w:type="dxa"/>
              <w:left w:w="100" w:type="dxa"/>
              <w:bottom w:w="80" w:type="dxa"/>
              <w:right w:w="100" w:type="dxa"/>
            </w:tcMar>
          </w:tcPr>
          <w:p w14:paraId="35900EE6"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b/>
                <w:color w:val="FFFFFF"/>
                <w:sz w:val="19"/>
              </w:rPr>
              <w:t>SECTION</w:t>
            </w:r>
          </w:p>
        </w:tc>
      </w:tr>
      <w:tr w:rsidR="001D5028" w:rsidRPr="001D5028" w14:paraId="4E393AB4" w14:textId="77777777" w:rsidTr="00303942">
        <w:trPr>
          <w:jc w:val="center"/>
        </w:trPr>
        <w:tc>
          <w:tcPr>
            <w:tcW w:w="3250" w:type="dxa"/>
            <w:tcBorders>
              <w:top w:val="single" w:sz="6" w:space="0" w:color="D6E1E8"/>
              <w:left w:val="single" w:sz="6" w:space="0" w:color="D6E1E8"/>
              <w:bottom w:val="single" w:sz="6" w:space="0" w:color="D6E1E8"/>
              <w:right w:val="single" w:sz="6" w:space="0" w:color="D6E1E8"/>
            </w:tcBorders>
            <w:shd w:val="clear" w:color="auto" w:fill="F5F7F9"/>
            <w:tcMar>
              <w:top w:w="80" w:type="dxa"/>
              <w:left w:w="100" w:type="dxa"/>
              <w:bottom w:w="80" w:type="dxa"/>
              <w:right w:w="100" w:type="dxa"/>
            </w:tcMar>
          </w:tcPr>
          <w:p w14:paraId="5B3C4571"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Piyush Kumar</w:t>
            </w:r>
          </w:p>
        </w:tc>
        <w:tc>
          <w:tcPr>
            <w:tcW w:w="3250" w:type="dxa"/>
            <w:tcBorders>
              <w:top w:val="single" w:sz="6" w:space="0" w:color="D6E1E8"/>
              <w:left w:val="single" w:sz="6" w:space="0" w:color="D6E1E8"/>
              <w:bottom w:val="single" w:sz="6" w:space="0" w:color="D6E1E8"/>
              <w:right w:val="single" w:sz="6" w:space="0" w:color="D6E1E8"/>
            </w:tcBorders>
            <w:shd w:val="clear" w:color="auto" w:fill="F5F7F9"/>
            <w:tcMar>
              <w:top w:w="80" w:type="dxa"/>
              <w:left w:w="100" w:type="dxa"/>
              <w:bottom w:w="80" w:type="dxa"/>
              <w:right w:w="100" w:type="dxa"/>
            </w:tcMar>
          </w:tcPr>
          <w:p w14:paraId="3240DB64"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231302160</w:t>
            </w:r>
          </w:p>
        </w:tc>
        <w:tc>
          <w:tcPr>
            <w:tcW w:w="3250" w:type="dxa"/>
            <w:tcBorders>
              <w:top w:val="single" w:sz="6" w:space="0" w:color="D6E1E8"/>
              <w:left w:val="single" w:sz="6" w:space="0" w:color="D6E1E8"/>
              <w:bottom w:val="single" w:sz="6" w:space="0" w:color="D6E1E8"/>
              <w:right w:val="single" w:sz="6" w:space="0" w:color="D6E1E8"/>
            </w:tcBorders>
            <w:shd w:val="clear" w:color="auto" w:fill="F5F7F9"/>
            <w:tcMar>
              <w:top w:w="80" w:type="dxa"/>
              <w:left w:w="100" w:type="dxa"/>
              <w:bottom w:w="80" w:type="dxa"/>
              <w:right w:w="100" w:type="dxa"/>
            </w:tcMar>
          </w:tcPr>
          <w:p w14:paraId="7D2D4EE9"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7B</w:t>
            </w:r>
          </w:p>
        </w:tc>
      </w:tr>
      <w:tr w:rsidR="001D5028" w:rsidRPr="001D5028" w14:paraId="4990E2CE" w14:textId="77777777" w:rsidTr="00303942">
        <w:trPr>
          <w:jc w:val="center"/>
        </w:trPr>
        <w:tc>
          <w:tcPr>
            <w:tcW w:w="3250" w:type="dxa"/>
            <w:tcBorders>
              <w:top w:val="single" w:sz="6" w:space="0" w:color="D6E1E8"/>
              <w:left w:val="single" w:sz="6" w:space="0" w:color="D6E1E8"/>
              <w:bottom w:val="single" w:sz="6" w:space="0" w:color="D6E1E8"/>
              <w:right w:val="single" w:sz="6" w:space="0" w:color="D6E1E8"/>
            </w:tcBorders>
            <w:shd w:val="clear" w:color="auto" w:fill="FFFFFF"/>
            <w:tcMar>
              <w:top w:w="80" w:type="dxa"/>
              <w:left w:w="100" w:type="dxa"/>
              <w:bottom w:w="80" w:type="dxa"/>
              <w:right w:w="100" w:type="dxa"/>
            </w:tcMar>
          </w:tcPr>
          <w:p w14:paraId="048DE130"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Vinit Sheetal</w:t>
            </w:r>
          </w:p>
        </w:tc>
        <w:tc>
          <w:tcPr>
            <w:tcW w:w="3250" w:type="dxa"/>
            <w:tcBorders>
              <w:top w:val="single" w:sz="6" w:space="0" w:color="D6E1E8"/>
              <w:left w:val="single" w:sz="6" w:space="0" w:color="D6E1E8"/>
              <w:bottom w:val="single" w:sz="6" w:space="0" w:color="D6E1E8"/>
              <w:right w:val="single" w:sz="6" w:space="0" w:color="D6E1E8"/>
            </w:tcBorders>
            <w:shd w:val="clear" w:color="auto" w:fill="FFFFFF"/>
            <w:tcMar>
              <w:top w:w="80" w:type="dxa"/>
              <w:left w:w="100" w:type="dxa"/>
              <w:bottom w:w="80" w:type="dxa"/>
              <w:right w:w="100" w:type="dxa"/>
            </w:tcMar>
          </w:tcPr>
          <w:p w14:paraId="5204A117"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231302200</w:t>
            </w:r>
          </w:p>
        </w:tc>
        <w:tc>
          <w:tcPr>
            <w:tcW w:w="3250" w:type="dxa"/>
            <w:tcBorders>
              <w:top w:val="single" w:sz="6" w:space="0" w:color="D6E1E8"/>
              <w:left w:val="single" w:sz="6" w:space="0" w:color="D6E1E8"/>
              <w:bottom w:val="single" w:sz="6" w:space="0" w:color="D6E1E8"/>
              <w:right w:val="single" w:sz="6" w:space="0" w:color="D6E1E8"/>
            </w:tcBorders>
            <w:shd w:val="clear" w:color="auto" w:fill="FFFFFF"/>
            <w:tcMar>
              <w:top w:w="80" w:type="dxa"/>
              <w:left w:w="100" w:type="dxa"/>
              <w:bottom w:w="80" w:type="dxa"/>
              <w:right w:w="100" w:type="dxa"/>
            </w:tcMar>
          </w:tcPr>
          <w:p w14:paraId="16A4C11B"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7B</w:t>
            </w:r>
          </w:p>
        </w:tc>
      </w:tr>
      <w:tr w:rsidR="001D5028" w:rsidRPr="001D5028" w14:paraId="3E82B666" w14:textId="77777777" w:rsidTr="00303942">
        <w:trPr>
          <w:jc w:val="center"/>
        </w:trPr>
        <w:tc>
          <w:tcPr>
            <w:tcW w:w="3250" w:type="dxa"/>
            <w:tcBorders>
              <w:top w:val="single" w:sz="6" w:space="0" w:color="D6E1E8"/>
              <w:left w:val="single" w:sz="6" w:space="0" w:color="D6E1E8"/>
              <w:bottom w:val="single" w:sz="6" w:space="0" w:color="D6E1E8"/>
              <w:right w:val="single" w:sz="6" w:space="0" w:color="D6E1E8"/>
            </w:tcBorders>
            <w:shd w:val="clear" w:color="auto" w:fill="F5F7F9"/>
            <w:tcMar>
              <w:top w:w="80" w:type="dxa"/>
              <w:left w:w="100" w:type="dxa"/>
              <w:bottom w:w="80" w:type="dxa"/>
              <w:right w:w="100" w:type="dxa"/>
            </w:tcMar>
          </w:tcPr>
          <w:p w14:paraId="5659C2F0"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Vishal</w:t>
            </w:r>
          </w:p>
        </w:tc>
        <w:tc>
          <w:tcPr>
            <w:tcW w:w="3250" w:type="dxa"/>
            <w:tcBorders>
              <w:top w:val="single" w:sz="6" w:space="0" w:color="D6E1E8"/>
              <w:left w:val="single" w:sz="6" w:space="0" w:color="D6E1E8"/>
              <w:bottom w:val="single" w:sz="6" w:space="0" w:color="D6E1E8"/>
              <w:right w:val="single" w:sz="6" w:space="0" w:color="D6E1E8"/>
            </w:tcBorders>
            <w:shd w:val="clear" w:color="auto" w:fill="F5F7F9"/>
            <w:tcMar>
              <w:top w:w="80" w:type="dxa"/>
              <w:left w:w="100" w:type="dxa"/>
              <w:bottom w:w="80" w:type="dxa"/>
              <w:right w:w="100" w:type="dxa"/>
            </w:tcMar>
          </w:tcPr>
          <w:p w14:paraId="4C9863AD"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231302215</w:t>
            </w:r>
          </w:p>
        </w:tc>
        <w:tc>
          <w:tcPr>
            <w:tcW w:w="3250" w:type="dxa"/>
            <w:tcBorders>
              <w:top w:val="single" w:sz="6" w:space="0" w:color="D6E1E8"/>
              <w:left w:val="single" w:sz="6" w:space="0" w:color="D6E1E8"/>
              <w:bottom w:val="single" w:sz="6" w:space="0" w:color="D6E1E8"/>
              <w:right w:val="single" w:sz="6" w:space="0" w:color="D6E1E8"/>
            </w:tcBorders>
            <w:shd w:val="clear" w:color="auto" w:fill="F5F7F9"/>
            <w:tcMar>
              <w:top w:w="80" w:type="dxa"/>
              <w:left w:w="100" w:type="dxa"/>
              <w:bottom w:w="80" w:type="dxa"/>
              <w:right w:w="100" w:type="dxa"/>
            </w:tcMar>
          </w:tcPr>
          <w:p w14:paraId="0D34D2AC"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7B</w:t>
            </w:r>
          </w:p>
        </w:tc>
      </w:tr>
      <w:tr w:rsidR="001D5028" w:rsidRPr="001D5028" w14:paraId="1FF5FED3" w14:textId="77777777" w:rsidTr="00303942">
        <w:trPr>
          <w:jc w:val="center"/>
        </w:trPr>
        <w:tc>
          <w:tcPr>
            <w:tcW w:w="3250" w:type="dxa"/>
            <w:tcBorders>
              <w:top w:val="single" w:sz="6" w:space="0" w:color="D6E1E8"/>
              <w:left w:val="single" w:sz="6" w:space="0" w:color="D6E1E8"/>
              <w:bottom w:val="single" w:sz="6" w:space="0" w:color="D6E1E8"/>
              <w:right w:val="single" w:sz="6" w:space="0" w:color="D6E1E8"/>
            </w:tcBorders>
            <w:shd w:val="clear" w:color="auto" w:fill="FFFFFF"/>
            <w:tcMar>
              <w:top w:w="80" w:type="dxa"/>
              <w:left w:w="100" w:type="dxa"/>
              <w:bottom w:w="80" w:type="dxa"/>
              <w:right w:w="100" w:type="dxa"/>
            </w:tcMar>
          </w:tcPr>
          <w:p w14:paraId="379C3D73"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Mahesh Kumar</w:t>
            </w:r>
          </w:p>
        </w:tc>
        <w:tc>
          <w:tcPr>
            <w:tcW w:w="3250" w:type="dxa"/>
            <w:tcBorders>
              <w:top w:val="single" w:sz="6" w:space="0" w:color="D6E1E8"/>
              <w:left w:val="single" w:sz="6" w:space="0" w:color="D6E1E8"/>
              <w:bottom w:val="single" w:sz="6" w:space="0" w:color="D6E1E8"/>
              <w:right w:val="single" w:sz="6" w:space="0" w:color="D6E1E8"/>
            </w:tcBorders>
            <w:shd w:val="clear" w:color="auto" w:fill="FFFFFF"/>
            <w:tcMar>
              <w:top w:w="80" w:type="dxa"/>
              <w:left w:w="100" w:type="dxa"/>
              <w:bottom w:w="80" w:type="dxa"/>
              <w:right w:w="100" w:type="dxa"/>
            </w:tcMar>
          </w:tcPr>
          <w:p w14:paraId="7FEE28CF"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231302073</w:t>
            </w:r>
          </w:p>
        </w:tc>
        <w:tc>
          <w:tcPr>
            <w:tcW w:w="3250" w:type="dxa"/>
            <w:tcBorders>
              <w:top w:val="single" w:sz="6" w:space="0" w:color="D6E1E8"/>
              <w:left w:val="single" w:sz="6" w:space="0" w:color="D6E1E8"/>
              <w:bottom w:val="single" w:sz="6" w:space="0" w:color="D6E1E8"/>
              <w:right w:val="single" w:sz="6" w:space="0" w:color="D6E1E8"/>
            </w:tcBorders>
            <w:shd w:val="clear" w:color="auto" w:fill="FFFFFF"/>
            <w:tcMar>
              <w:top w:w="80" w:type="dxa"/>
              <w:left w:w="100" w:type="dxa"/>
              <w:bottom w:w="80" w:type="dxa"/>
              <w:right w:w="100" w:type="dxa"/>
            </w:tcMar>
          </w:tcPr>
          <w:p w14:paraId="6EA08AB4" w14:textId="77777777" w:rsidR="001D5028" w:rsidRPr="001D5028" w:rsidRDefault="001D5028" w:rsidP="00303942">
            <w:pPr>
              <w:jc w:val="center"/>
              <w:rPr>
                <w:rFonts w:ascii="Times New Roman" w:hAnsi="Times New Roman" w:cs="Times New Roman"/>
              </w:rPr>
            </w:pPr>
            <w:r w:rsidRPr="001D5028">
              <w:rPr>
                <w:rFonts w:ascii="Times New Roman" w:hAnsi="Times New Roman" w:cs="Times New Roman"/>
                <w:sz w:val="21"/>
              </w:rPr>
              <w:t>7A</w:t>
            </w:r>
          </w:p>
        </w:tc>
      </w:tr>
    </w:tbl>
    <w:p w14:paraId="590BADD6" w14:textId="77777777" w:rsidR="001D5028" w:rsidRDefault="001D5028" w:rsidP="001D5028">
      <w:pPr>
        <w:spacing w:before="160" w:after="40"/>
        <w:jc w:val="center"/>
        <w:rPr>
          <w:rFonts w:ascii="Times New Roman" w:hAnsi="Times New Roman" w:cs="Times New Roman"/>
          <w:b/>
          <w:color w:val="0B4F81"/>
          <w:sz w:val="24"/>
        </w:rPr>
      </w:pPr>
    </w:p>
    <w:p w14:paraId="3B3D99A1" w14:textId="7FED98CB" w:rsidR="001D5028" w:rsidRDefault="001D5028" w:rsidP="001D5028">
      <w:pPr>
        <w:spacing w:before="160" w:after="40"/>
        <w:jc w:val="center"/>
        <w:rPr>
          <w:rFonts w:ascii="Times New Roman" w:hAnsi="Times New Roman" w:cs="Times New Roman"/>
          <w:b/>
          <w:sz w:val="28"/>
          <w:szCs w:val="24"/>
        </w:rPr>
      </w:pPr>
      <w:r w:rsidRPr="001D5028">
        <w:rPr>
          <w:rFonts w:ascii="Times New Roman" w:hAnsi="Times New Roman" w:cs="Times New Roman"/>
          <w:b/>
          <w:sz w:val="28"/>
          <w:szCs w:val="24"/>
        </w:rPr>
        <w:t>TEAM 13</w:t>
      </w:r>
    </w:p>
    <w:p w14:paraId="45A1271B" w14:textId="77777777" w:rsidR="001D5028" w:rsidRPr="001D5028" w:rsidRDefault="001D5028" w:rsidP="001D5028">
      <w:pPr>
        <w:spacing w:before="160" w:after="40"/>
        <w:jc w:val="center"/>
        <w:rPr>
          <w:rFonts w:ascii="Times New Roman" w:hAnsi="Times New Roman" w:cs="Times New Roman"/>
          <w:sz w:val="24"/>
          <w:szCs w:val="24"/>
        </w:rPr>
      </w:pPr>
    </w:p>
    <w:p w14:paraId="453B7913" w14:textId="114AEC58" w:rsidR="001D5028" w:rsidRPr="006D542F" w:rsidRDefault="001D5028" w:rsidP="001D5028">
      <w:pPr>
        <w:spacing w:after="20"/>
        <w:jc w:val="center"/>
        <w:rPr>
          <w:rFonts w:ascii="Times New Roman" w:hAnsi="Times New Roman" w:cs="Times New Roman"/>
          <w:sz w:val="32"/>
          <w:szCs w:val="32"/>
        </w:rPr>
      </w:pPr>
      <w:r w:rsidRPr="006D542F">
        <w:rPr>
          <w:rFonts w:ascii="Times New Roman" w:hAnsi="Times New Roman" w:cs="Times New Roman"/>
          <w:b/>
          <w:sz w:val="28"/>
          <w:szCs w:val="32"/>
        </w:rPr>
        <w:t>Submitted To</w:t>
      </w:r>
      <w:r w:rsidR="006D542F">
        <w:rPr>
          <w:rFonts w:ascii="Times New Roman" w:hAnsi="Times New Roman" w:cs="Times New Roman"/>
          <w:b/>
          <w:sz w:val="28"/>
          <w:szCs w:val="32"/>
        </w:rPr>
        <w:t>:</w:t>
      </w:r>
    </w:p>
    <w:p w14:paraId="15A0A19A" w14:textId="1B1860EC" w:rsidR="001D5028" w:rsidRPr="001D5028" w:rsidRDefault="006D542F" w:rsidP="001D5028">
      <w:pPr>
        <w:spacing w:after="20"/>
        <w:jc w:val="center"/>
        <w:rPr>
          <w:rFonts w:ascii="Times New Roman" w:hAnsi="Times New Roman" w:cs="Times New Roman"/>
          <w:sz w:val="24"/>
          <w:szCs w:val="24"/>
        </w:rPr>
      </w:pPr>
      <w:r>
        <w:rPr>
          <w:rFonts w:ascii="Times New Roman" w:hAnsi="Times New Roman" w:cs="Times New Roman"/>
          <w:b/>
          <w:sz w:val="28"/>
          <w:szCs w:val="24"/>
        </w:rPr>
        <w:t xml:space="preserve">Mr. </w:t>
      </w:r>
      <w:r w:rsidR="001D5028" w:rsidRPr="001D5028">
        <w:rPr>
          <w:rFonts w:ascii="Times New Roman" w:hAnsi="Times New Roman" w:cs="Times New Roman"/>
          <w:b/>
          <w:sz w:val="28"/>
          <w:szCs w:val="24"/>
        </w:rPr>
        <w:t>Kamal Preet Singh</w:t>
      </w:r>
    </w:p>
    <w:p w14:paraId="4E64404D" w14:textId="77777777" w:rsidR="001D5028" w:rsidRPr="006D542F" w:rsidRDefault="001D5028" w:rsidP="001D5028">
      <w:pPr>
        <w:spacing w:after="20"/>
        <w:jc w:val="center"/>
        <w:rPr>
          <w:rFonts w:ascii="Times New Roman" w:hAnsi="Times New Roman" w:cs="Times New Roman"/>
          <w:sz w:val="28"/>
          <w:szCs w:val="28"/>
        </w:rPr>
      </w:pPr>
      <w:r w:rsidRPr="006D542F">
        <w:rPr>
          <w:rFonts w:ascii="Times New Roman" w:hAnsi="Times New Roman" w:cs="Times New Roman"/>
          <w:sz w:val="24"/>
          <w:szCs w:val="28"/>
        </w:rPr>
        <w:t>Assistant Professor</w:t>
      </w:r>
    </w:p>
    <w:p w14:paraId="77039C04" w14:textId="77777777" w:rsidR="001D5028" w:rsidRPr="006D542F" w:rsidRDefault="001D5028" w:rsidP="001D5028">
      <w:pPr>
        <w:jc w:val="center"/>
        <w:rPr>
          <w:rFonts w:ascii="Times New Roman" w:hAnsi="Times New Roman" w:cs="Times New Roman"/>
          <w:sz w:val="28"/>
          <w:szCs w:val="28"/>
        </w:rPr>
      </w:pPr>
      <w:r w:rsidRPr="006D542F">
        <w:rPr>
          <w:rFonts w:ascii="Times New Roman" w:hAnsi="Times New Roman" w:cs="Times New Roman"/>
          <w:sz w:val="24"/>
          <w:szCs w:val="28"/>
        </w:rPr>
        <w:t>Faculty of Engineering and Technology</w:t>
      </w:r>
    </w:p>
    <w:p w14:paraId="608541AF" w14:textId="77777777" w:rsidR="001D5028" w:rsidRPr="001D5028" w:rsidRDefault="001D5028" w:rsidP="001D5028">
      <w:pPr>
        <w:spacing w:before="200"/>
        <w:jc w:val="center"/>
        <w:rPr>
          <w:rFonts w:ascii="Times New Roman" w:hAnsi="Times New Roman" w:cs="Times New Roman"/>
          <w:sz w:val="28"/>
          <w:szCs w:val="28"/>
        </w:rPr>
      </w:pPr>
      <w:r w:rsidRPr="001D5028">
        <w:rPr>
          <w:rFonts w:ascii="Times New Roman" w:hAnsi="Times New Roman" w:cs="Times New Roman"/>
          <w:sz w:val="24"/>
          <w:szCs w:val="28"/>
        </w:rPr>
        <w:t>Academic Session 2026–27</w:t>
      </w:r>
    </w:p>
    <w:p w14:paraId="6C04AA0B" w14:textId="77777777" w:rsidR="001D5028" w:rsidRPr="001D5028" w:rsidRDefault="001D5028">
      <w:pPr>
        <w:spacing w:after="40"/>
        <w:jc w:val="center"/>
        <w:rPr>
          <w:rFonts w:ascii="Times New Roman" w:hAnsi="Times New Roman" w:cs="Times New Roman"/>
          <w:b/>
          <w:bCs/>
          <w:sz w:val="36"/>
          <w:szCs w:val="36"/>
        </w:rPr>
      </w:pPr>
    </w:p>
    <w:p w14:paraId="2FCC6597" w14:textId="77777777" w:rsidR="001D5028" w:rsidRPr="001D5028" w:rsidRDefault="001D5028">
      <w:pPr>
        <w:rPr>
          <w:rFonts w:ascii="Times New Roman" w:hAnsi="Times New Roman" w:cs="Times New Roman"/>
          <w:b/>
          <w:bCs/>
          <w:sz w:val="36"/>
          <w:szCs w:val="36"/>
        </w:rPr>
      </w:pPr>
      <w:r w:rsidRPr="001D5028">
        <w:rPr>
          <w:rFonts w:ascii="Times New Roman" w:hAnsi="Times New Roman" w:cs="Times New Roman"/>
          <w:b/>
          <w:bCs/>
          <w:sz w:val="36"/>
          <w:szCs w:val="36"/>
        </w:rPr>
        <w:br w:type="page"/>
      </w:r>
    </w:p>
    <w:p w14:paraId="6BF49F41" w14:textId="77777777" w:rsidR="004C4727" w:rsidRPr="001D5028" w:rsidRDefault="00000000">
      <w:pPr>
        <w:pStyle w:val="Heading1"/>
        <w:rPr>
          <w:rFonts w:ascii="Times New Roman" w:hAnsi="Times New Roman" w:cs="Times New Roman"/>
          <w:color w:val="auto"/>
        </w:rPr>
      </w:pPr>
      <w:r w:rsidRPr="001D5028">
        <w:rPr>
          <w:rFonts w:ascii="Times New Roman" w:hAnsi="Times New Roman" w:cs="Times New Roman"/>
          <w:color w:val="auto"/>
        </w:rPr>
        <w:lastRenderedPageBreak/>
        <w:t xml:space="preserve">1. </w:t>
      </w:r>
      <w:r w:rsidRPr="00AF2719">
        <w:rPr>
          <w:rFonts w:ascii="Times New Roman" w:hAnsi="Times New Roman" w:cs="Times New Roman"/>
          <w:color w:val="auto"/>
          <w:u w:val="single"/>
        </w:rPr>
        <w:t>Introduction</w:t>
      </w:r>
    </w:p>
    <w:p w14:paraId="5743650F" w14:textId="77777777" w:rsidR="00AF2719" w:rsidRPr="005606F8" w:rsidRDefault="00AF2719" w:rsidP="005606F8">
      <w:pPr>
        <w:spacing w:line="276" w:lineRule="auto"/>
        <w:jc w:val="both"/>
        <w:rPr>
          <w:rFonts w:ascii="Times New Roman" w:hAnsi="Times New Roman" w:cs="Times New Roman"/>
          <w:b/>
          <w:bCs/>
          <w:sz w:val="24"/>
          <w:szCs w:val="24"/>
        </w:rPr>
      </w:pPr>
      <w:r w:rsidRPr="005606F8">
        <w:rPr>
          <w:rFonts w:ascii="Times New Roman" w:hAnsi="Times New Roman" w:cs="Times New Roman"/>
          <w:sz w:val="24"/>
          <w:szCs w:val="24"/>
        </w:rPr>
        <w:t>A twenty-over limited innings is played in Twenty20 (T20) cricket. Final team score depends on run rate and remaining wickets of the batting side. Prediction of the final score at the end of the innings has remained an ongoing issue in the analytics of cricket. It has been addressed in simple approaches by calculating run rate and in more sophisticated approaches with regression-based or machine-learning models using additional information such as the number of wickets lost and the stage of the innings.</w:t>
      </w:r>
      <w:r w:rsidRPr="005606F8">
        <w:rPr>
          <w:rFonts w:ascii="Times New Roman" w:hAnsi="Times New Roman" w:cs="Times New Roman"/>
          <w:b/>
          <w:bCs/>
          <w:sz w:val="24"/>
          <w:szCs w:val="24"/>
        </w:rPr>
        <w:t xml:space="preserve"> </w:t>
      </w:r>
      <w:r w:rsidRPr="005606F8">
        <w:rPr>
          <w:rFonts w:ascii="Times New Roman" w:hAnsi="Times New Roman" w:cs="Times New Roman"/>
          <w:sz w:val="24"/>
          <w:szCs w:val="24"/>
        </w:rPr>
        <w:t>In this review, we consider a particular scenario in which final score prediction is performed after six overs in the innings. Six-over prediction is close to the end of the powerplay period and accounts for less than one-third of the innings. Since at such an early stage there is less information available, there is more uncertainty in predictions. One number may appear more reliable than the amount of information allows. Instead, there should be a number with an associated interval, which according to previous works, usually includes the actual score with the frequency of its coverage as stated.</w:t>
      </w:r>
    </w:p>
    <w:p w14:paraId="3F0B9BD3" w14:textId="456A3632" w:rsidR="00AF2719" w:rsidRPr="005606F8" w:rsidRDefault="00AF2719" w:rsidP="005606F8">
      <w:pPr>
        <w:spacing w:line="276" w:lineRule="auto"/>
        <w:jc w:val="both"/>
        <w:rPr>
          <w:rFonts w:ascii="Times New Roman" w:hAnsi="Times New Roman" w:cs="Times New Roman"/>
          <w:b/>
          <w:bCs/>
          <w:sz w:val="24"/>
          <w:szCs w:val="24"/>
        </w:rPr>
      </w:pPr>
      <w:r w:rsidRPr="005606F8">
        <w:rPr>
          <w:rFonts w:ascii="Times New Roman" w:hAnsi="Times New Roman" w:cs="Times New Roman"/>
          <w:sz w:val="24"/>
          <w:szCs w:val="24"/>
        </w:rPr>
        <w:t xml:space="preserve">The aim of this review is to provide an overview of current knowledge about prediction of a cricket score on the basis of incomplete information about the game, </w:t>
      </w:r>
      <w:r w:rsidRPr="005606F8">
        <w:rPr>
          <w:rFonts w:ascii="Times New Roman" w:hAnsi="Times New Roman" w:cs="Times New Roman"/>
          <w:b/>
          <w:bCs/>
          <w:sz w:val="24"/>
          <w:szCs w:val="24"/>
        </w:rPr>
        <w:t>modelling</w:t>
      </w:r>
      <w:r w:rsidRPr="005606F8">
        <w:rPr>
          <w:rFonts w:ascii="Times New Roman" w:hAnsi="Times New Roman" w:cs="Times New Roman"/>
          <w:sz w:val="24"/>
          <w:szCs w:val="24"/>
        </w:rPr>
        <w:t xml:space="preserve"> techniques supported by previous works, confidence/uncertainty management in such problems, and an opening to predict six-over score with explicit uncertainty handling.</w:t>
      </w:r>
    </w:p>
    <w:p w14:paraId="789A8173" w14:textId="5EDF7EAD" w:rsidR="004C4727" w:rsidRPr="001D5028" w:rsidRDefault="00000000" w:rsidP="00AF2719">
      <w:pPr>
        <w:pStyle w:val="Heading1"/>
        <w:rPr>
          <w:rFonts w:ascii="Times New Roman" w:hAnsi="Times New Roman" w:cs="Times New Roman"/>
          <w:color w:val="auto"/>
        </w:rPr>
      </w:pPr>
      <w:r w:rsidRPr="001D5028">
        <w:rPr>
          <w:rFonts w:ascii="Times New Roman" w:hAnsi="Times New Roman" w:cs="Times New Roman"/>
          <w:color w:val="auto"/>
        </w:rPr>
        <w:t xml:space="preserve">2. </w:t>
      </w:r>
      <w:r w:rsidRPr="00AF2719">
        <w:rPr>
          <w:rFonts w:ascii="Times New Roman" w:hAnsi="Times New Roman" w:cs="Times New Roman"/>
          <w:color w:val="auto"/>
          <w:u w:val="single"/>
        </w:rPr>
        <w:t>Literature Review</w:t>
      </w:r>
    </w:p>
    <w:p w14:paraId="5A651F0C" w14:textId="77777777" w:rsidR="004C4727" w:rsidRPr="001D5028" w:rsidRDefault="00000000">
      <w:pPr>
        <w:pStyle w:val="Heading2"/>
        <w:rPr>
          <w:rFonts w:ascii="Times New Roman" w:hAnsi="Times New Roman" w:cs="Times New Roman"/>
          <w:color w:val="auto"/>
          <w:sz w:val="26"/>
          <w:szCs w:val="26"/>
        </w:rPr>
      </w:pPr>
      <w:r w:rsidRPr="001D5028">
        <w:rPr>
          <w:rFonts w:ascii="Times New Roman" w:hAnsi="Times New Roman" w:cs="Times New Roman"/>
          <w:color w:val="auto"/>
          <w:sz w:val="26"/>
          <w:szCs w:val="26"/>
        </w:rPr>
        <w:t xml:space="preserve">2.1 </w:t>
      </w:r>
      <w:r w:rsidRPr="00AF2719">
        <w:rPr>
          <w:rFonts w:ascii="Times New Roman" w:hAnsi="Times New Roman" w:cs="Times New Roman"/>
          <w:color w:val="auto"/>
          <w:sz w:val="26"/>
          <w:szCs w:val="26"/>
          <w:u w:val="single"/>
        </w:rPr>
        <w:t>Cricket and T20 Score Prediction</w:t>
      </w:r>
    </w:p>
    <w:p w14:paraId="3429E03C" w14:textId="7A50FD80" w:rsidR="00AF2719" w:rsidRPr="00AF2719" w:rsidRDefault="00AF2719" w:rsidP="00AF2719">
      <w:pPr>
        <w:spacing w:after="180" w:line="300" w:lineRule="auto"/>
        <w:jc w:val="both"/>
        <w:rPr>
          <w:rFonts w:ascii="Times New Roman" w:hAnsi="Times New Roman" w:cs="Times New Roman"/>
          <w:sz w:val="24"/>
          <w:szCs w:val="24"/>
        </w:rPr>
      </w:pPr>
      <w:r w:rsidRPr="00AF2719">
        <w:rPr>
          <w:rFonts w:ascii="Times New Roman" w:hAnsi="Times New Roman" w:cs="Times New Roman"/>
          <w:sz w:val="24"/>
          <w:szCs w:val="24"/>
        </w:rPr>
        <w:t>Four pieces of research will be presented in the scope of this topic, addressing either the general concept of cricket score prediction during the game or machine learning approaches applied to T20 score prediction in particular.</w:t>
      </w:r>
    </w:p>
    <w:p w14:paraId="2E424545" w14:textId="101A1D07" w:rsidR="00AF2719" w:rsidRPr="00AF2719" w:rsidRDefault="00AF2719" w:rsidP="00AF2719">
      <w:pPr>
        <w:spacing w:after="180" w:line="300" w:lineRule="auto"/>
        <w:jc w:val="both"/>
        <w:rPr>
          <w:rFonts w:ascii="Times New Roman" w:hAnsi="Times New Roman" w:cs="Times New Roman"/>
          <w:sz w:val="24"/>
          <w:szCs w:val="24"/>
        </w:rPr>
      </w:pPr>
      <w:r w:rsidRPr="00AF2719">
        <w:rPr>
          <w:rFonts w:ascii="Times New Roman" w:hAnsi="Times New Roman" w:cs="Times New Roman"/>
          <w:sz w:val="24"/>
          <w:szCs w:val="24"/>
        </w:rPr>
        <w:t>Duckworth and Lewis [1] provide the basis of the topic and, despite being not related to the machine learning area at all, establish a concept of the innings scoring potential depending not only on the run rate, but on the number of overs and wickets remaining too. The method developed by the authors is aimed to solve problems of the Average Run Rate method, which failed in situations when wickets were not equally distributed between the sides. Even though the focus of this work is resetting of the target in case of interruptions rather than statistical analysis, it shows the presence of information carried by wickets about the innings scoring potential that run rate cannot account for.</w:t>
      </w:r>
    </w:p>
    <w:p w14:paraId="1A7F17F1" w14:textId="54D83D07" w:rsidR="00AF2719" w:rsidRPr="00AF2719" w:rsidRDefault="00AF2719" w:rsidP="00AF2719">
      <w:pPr>
        <w:spacing w:after="180" w:line="300" w:lineRule="auto"/>
        <w:jc w:val="both"/>
        <w:rPr>
          <w:rFonts w:ascii="Times New Roman" w:hAnsi="Times New Roman" w:cs="Times New Roman"/>
          <w:sz w:val="24"/>
          <w:szCs w:val="24"/>
        </w:rPr>
      </w:pPr>
      <w:r w:rsidRPr="00AF2719">
        <w:rPr>
          <w:rFonts w:ascii="Times New Roman" w:hAnsi="Times New Roman" w:cs="Times New Roman"/>
          <w:sz w:val="24"/>
          <w:szCs w:val="24"/>
        </w:rPr>
        <w:t>Bailey and Clarke [2] use multiple linear regression on more than two thousand one-day international matches in order to predict the result during the game. They incorporate factors such as venue, form of the team and the current match state. They prove that their regression approach performs better than a simple run-rate projection.</w:t>
      </w:r>
    </w:p>
    <w:p w14:paraId="09AA2B25" w14:textId="06AA2B2F" w:rsidR="00AF2719" w:rsidRPr="00AF2719" w:rsidRDefault="00AF2719" w:rsidP="00AF2719">
      <w:pPr>
        <w:spacing w:after="180" w:line="300" w:lineRule="auto"/>
        <w:jc w:val="both"/>
        <w:rPr>
          <w:rFonts w:ascii="Times New Roman" w:hAnsi="Times New Roman" w:cs="Times New Roman"/>
          <w:sz w:val="24"/>
          <w:szCs w:val="24"/>
        </w:rPr>
      </w:pPr>
      <w:r w:rsidRPr="00AF2719">
        <w:rPr>
          <w:rFonts w:ascii="Times New Roman" w:hAnsi="Times New Roman" w:cs="Times New Roman"/>
          <w:sz w:val="24"/>
          <w:szCs w:val="24"/>
        </w:rPr>
        <w:t>Singh, Singla and Bhatia [3] build upon this concept, taking checkpoints every five overs during several innings. They demonstrate that linear regression model with the predictors of run rate, wickets fallen, venue, and batting team has lower error than a run-rate baseline at every checkpoint. At that, their win-prediction model is significantly less accurate at the beginning of the innings (68%) than at its end (91%). This proves that the predictive uncertainty is not consistent and is higher at the beginning of the innings, when there is a lack of match information.</w:t>
      </w:r>
    </w:p>
    <w:p w14:paraId="72B8998B" w14:textId="4947644B" w:rsidR="00AF2719" w:rsidRPr="00AF2719" w:rsidRDefault="00AF2719" w:rsidP="00AF2719">
      <w:pPr>
        <w:spacing w:after="180" w:line="300" w:lineRule="auto"/>
        <w:jc w:val="both"/>
        <w:rPr>
          <w:rFonts w:ascii="Times New Roman" w:hAnsi="Times New Roman" w:cs="Times New Roman"/>
          <w:sz w:val="24"/>
          <w:szCs w:val="24"/>
        </w:rPr>
      </w:pPr>
      <w:r w:rsidRPr="00AF2719">
        <w:rPr>
          <w:rFonts w:ascii="Times New Roman" w:hAnsi="Times New Roman" w:cs="Times New Roman"/>
          <w:sz w:val="24"/>
          <w:szCs w:val="24"/>
        </w:rPr>
        <w:t>Tonmoy et al. [4] use gradient-boosted trees (XGBoost) together with Lasso and Ridge regression to predict the first-innings score in T20 games based on ball-by-ball IPL data. They evaluate their models with mean absolute error, root mean squared error, and R². As follows from the results, both regularized linear models and gradient-boosted trees can be used for this score prediction task effectively, without any clear leader among them.</w:t>
      </w:r>
    </w:p>
    <w:p w14:paraId="45CE68BB" w14:textId="2EE74BBA" w:rsidR="004C4727" w:rsidRPr="001D5028" w:rsidRDefault="00AF2719" w:rsidP="00AF2719">
      <w:pPr>
        <w:spacing w:after="180" w:line="300" w:lineRule="auto"/>
        <w:jc w:val="both"/>
        <w:rPr>
          <w:rFonts w:ascii="Times New Roman" w:hAnsi="Times New Roman" w:cs="Times New Roman"/>
          <w:sz w:val="24"/>
          <w:szCs w:val="24"/>
        </w:rPr>
      </w:pPr>
      <w:r w:rsidRPr="00AF2719">
        <w:rPr>
          <w:rFonts w:ascii="Times New Roman" w:hAnsi="Times New Roman" w:cs="Times New Roman"/>
          <w:sz w:val="24"/>
          <w:szCs w:val="24"/>
        </w:rPr>
        <w:t>From this set of papers, there is a pattern that can be noticed. A simple run-rate projection represents a historical baseline, which is weak; the wickets fallen variable is the most useful predictor; and once the wickets variable is taken into account, both linear regression and tree-based models perform better than a run-rate projection. The limitations common for this set of works are: no prediction interval is reported in any of them; it is provided only as a point estimate or a classification accuracy, so there is no confidence estimation for the prediction. Another limitation is that the earliest part of the innings always has the highest error because of lack of state information, but none of the cricket-related papers here solves this problem.</w:t>
      </w:r>
    </w:p>
    <w:p w14:paraId="4FC7A87F" w14:textId="77777777" w:rsidR="00AF2719" w:rsidRPr="005606F8" w:rsidRDefault="00AF2719" w:rsidP="005606F8">
      <w:pPr>
        <w:pStyle w:val="Heading2"/>
        <w:rPr>
          <w:rFonts w:ascii="Times New Roman" w:hAnsi="Times New Roman" w:cs="Times New Roman"/>
          <w:color w:val="auto"/>
          <w:sz w:val="26"/>
          <w:szCs w:val="26"/>
        </w:rPr>
      </w:pPr>
      <w:r w:rsidRPr="005606F8">
        <w:rPr>
          <w:rFonts w:ascii="Times New Roman" w:hAnsi="Times New Roman" w:cs="Times New Roman"/>
          <w:color w:val="auto"/>
          <w:sz w:val="26"/>
          <w:szCs w:val="26"/>
        </w:rPr>
        <w:t xml:space="preserve">2.2 </w:t>
      </w:r>
      <w:r w:rsidRPr="005606F8">
        <w:rPr>
          <w:rFonts w:ascii="Times New Roman" w:hAnsi="Times New Roman" w:cs="Times New Roman"/>
          <w:color w:val="auto"/>
          <w:sz w:val="26"/>
          <w:szCs w:val="26"/>
          <w:u w:val="single"/>
        </w:rPr>
        <w:t>In-Play Sports Prediction and Calibration</w:t>
      </w:r>
    </w:p>
    <w:p w14:paraId="3998003B" w14:textId="77777777"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There are two other pieces of research on other sports that are not related to cricket and address a problem absent in any cricket paper: calibration of the probability estimation made alongside the prediction.</w:t>
      </w:r>
    </w:p>
    <w:p w14:paraId="174DA716" w14:textId="77777777"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In Robberechts and Davis [5], a model for in-game estimation of probability of winning in soccer is designed with Bayesian interpretation of game-state features through eight seasons in eight leagues. The model is tested for calibration, not for accuracy, that is, if predicted probabilities match actual frequencies of outcomes. In Pelechrinis [6], a model for in-game estimation of probability of winning in the NFL game is tested in seven seasons of NFL play-by-play data for calibration and accuracy. The author finds out that a simple and understandable model performs as well as more complicated once calibration is focused, not just point accuracy.</w:t>
      </w:r>
    </w:p>
    <w:p w14:paraId="190FADB1" w14:textId="0BC2987B"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 xml:space="preserve">Thus, both works show that prediction from incomplete game state only works when confidence is evaluated separately from accuracy. Both studies implicitly show that more complicated models are not necessarily better once calibrated performance is taken into account. Neither piece of research is about cricket or score regression but both of them establish a standard: </w:t>
      </w:r>
    </w:p>
    <w:p w14:paraId="633BBF62" w14:textId="77777777" w:rsidR="00AF2719" w:rsidRDefault="00AF2719" w:rsidP="00AF2719">
      <w:pPr>
        <w:spacing w:before="200" w:after="100"/>
        <w:rPr>
          <w:rFonts w:ascii="Times New Roman" w:hAnsi="Times New Roman" w:cs="Times New Roman"/>
          <w:b/>
          <w:bCs/>
          <w:sz w:val="24"/>
          <w:szCs w:val="24"/>
        </w:rPr>
      </w:pPr>
    </w:p>
    <w:p w14:paraId="2157C665" w14:textId="43605F7B" w:rsidR="00AF2719" w:rsidRPr="005606F8" w:rsidRDefault="00AF2719" w:rsidP="005606F8">
      <w:pPr>
        <w:pStyle w:val="Heading2"/>
        <w:rPr>
          <w:rFonts w:ascii="Times New Roman" w:hAnsi="Times New Roman" w:cs="Times New Roman"/>
          <w:color w:val="auto"/>
          <w:sz w:val="26"/>
          <w:szCs w:val="26"/>
        </w:rPr>
      </w:pPr>
      <w:r w:rsidRPr="005606F8">
        <w:rPr>
          <w:rFonts w:ascii="Times New Roman" w:hAnsi="Times New Roman" w:cs="Times New Roman"/>
          <w:color w:val="auto"/>
          <w:sz w:val="26"/>
          <w:szCs w:val="26"/>
        </w:rPr>
        <w:t xml:space="preserve">2.3 </w:t>
      </w:r>
      <w:r w:rsidRPr="005606F8">
        <w:rPr>
          <w:rFonts w:ascii="Times New Roman" w:hAnsi="Times New Roman" w:cs="Times New Roman"/>
          <w:color w:val="auto"/>
          <w:sz w:val="26"/>
          <w:szCs w:val="26"/>
          <w:u w:val="single"/>
        </w:rPr>
        <w:t>Machine Learning for Tabular Regression</w:t>
      </w:r>
    </w:p>
    <w:p w14:paraId="3F62C8AA" w14:textId="77777777"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There is another machine learning technique for tabular data that could be considered as an alternative to regression.</w:t>
      </w:r>
    </w:p>
    <w:p w14:paraId="4BB8EF88" w14:textId="77777777"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 xml:space="preserve">Gradient-boosted decision trees can be used for tabular data, which is exactly the kind of data needed for the score prediction problem. Chen and </w:t>
      </w:r>
      <w:proofErr w:type="spellStart"/>
      <w:r w:rsidRPr="00AF2719">
        <w:rPr>
          <w:rFonts w:ascii="Times New Roman" w:hAnsi="Times New Roman" w:cs="Times New Roman"/>
          <w:sz w:val="24"/>
          <w:szCs w:val="24"/>
        </w:rPr>
        <w:t>Guestrin</w:t>
      </w:r>
      <w:proofErr w:type="spellEnd"/>
      <w:r w:rsidRPr="00AF2719">
        <w:rPr>
          <w:rFonts w:ascii="Times New Roman" w:hAnsi="Times New Roman" w:cs="Times New Roman"/>
          <w:sz w:val="24"/>
          <w:szCs w:val="24"/>
        </w:rPr>
        <w:t xml:space="preserve"> [7] discuss XGBoost library and show that gradient boosting is a fast and accurate method for tabular data with mixed feature types and nonlinear interaction, which is the case for the match state variables (runs, wickets, and balls) since there is an interaction between boundaries in addition to their additive effect. In Tonmoy et al. [4], XGBoost along with some other regularised linear models is shown to perform well in predicting first-innings score in T20.</w:t>
      </w:r>
    </w:p>
    <w:p w14:paraId="35B0749B" w14:textId="31F3B776"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Thus, both pieces of research allow to consider gradient boosting and linear regression as good choices for this problem.</w:t>
      </w:r>
    </w:p>
    <w:p w14:paraId="4D763CF1" w14:textId="77777777" w:rsidR="00AF2719" w:rsidRPr="005606F8" w:rsidRDefault="00AF2719" w:rsidP="005606F8">
      <w:pPr>
        <w:pStyle w:val="Heading2"/>
        <w:rPr>
          <w:rFonts w:ascii="Times New Roman" w:hAnsi="Times New Roman" w:cs="Times New Roman"/>
          <w:color w:val="auto"/>
          <w:sz w:val="26"/>
          <w:szCs w:val="26"/>
        </w:rPr>
      </w:pPr>
      <w:r w:rsidRPr="005606F8">
        <w:rPr>
          <w:rFonts w:ascii="Times New Roman" w:hAnsi="Times New Roman" w:cs="Times New Roman"/>
          <w:color w:val="auto"/>
          <w:sz w:val="26"/>
          <w:szCs w:val="26"/>
        </w:rPr>
        <w:t xml:space="preserve">2.4 </w:t>
      </w:r>
      <w:r w:rsidRPr="005606F8">
        <w:rPr>
          <w:rFonts w:ascii="Times New Roman" w:hAnsi="Times New Roman" w:cs="Times New Roman"/>
          <w:color w:val="auto"/>
          <w:sz w:val="26"/>
          <w:szCs w:val="26"/>
          <w:u w:val="single"/>
        </w:rPr>
        <w:t>Prediction Uncertainty</w:t>
      </w:r>
    </w:p>
    <w:p w14:paraId="4C0CD333" w14:textId="77777777"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The third category of research addresses the problem of predicting not single value but an interval along with checking confidence of the confidence level itself.</w:t>
      </w:r>
    </w:p>
    <w:p w14:paraId="230F29B7" w14:textId="77777777" w:rsidR="00AF2719" w:rsidRPr="00AF2719" w:rsidRDefault="00AF2719" w:rsidP="00AF2719">
      <w:pPr>
        <w:spacing w:before="200" w:after="100" w:line="276" w:lineRule="auto"/>
        <w:jc w:val="both"/>
        <w:rPr>
          <w:rFonts w:ascii="Times New Roman" w:hAnsi="Times New Roman" w:cs="Times New Roman"/>
          <w:sz w:val="24"/>
          <w:szCs w:val="24"/>
        </w:rPr>
      </w:pPr>
      <w:r w:rsidRPr="00AF2719">
        <w:rPr>
          <w:rFonts w:ascii="Times New Roman" w:hAnsi="Times New Roman" w:cs="Times New Roman"/>
          <w:sz w:val="24"/>
          <w:szCs w:val="24"/>
        </w:rPr>
        <w:t xml:space="preserve">Meinshausen [8] extends random forest for the prediction of conditional quantiles, not mean values, and provides a non-parametric method for interpreting predictions of tree ensembles as low and high predictions—quantile regression forests. Romano, Patterson, and Candès [9] use the idea of combining quantile regression with conformal prediction and provide prediction intervals, which adapt to the context but keep the specified coverage in conformal prediction framework. They find out that the combination of quantile regression and conformal prediction can provide more informative prediction intervals than conformal prediction alone. </w:t>
      </w:r>
      <w:proofErr w:type="spellStart"/>
      <w:r w:rsidRPr="00AF2719">
        <w:rPr>
          <w:rFonts w:ascii="Times New Roman" w:hAnsi="Times New Roman" w:cs="Times New Roman"/>
          <w:sz w:val="24"/>
          <w:szCs w:val="24"/>
        </w:rPr>
        <w:t>Tyralis</w:t>
      </w:r>
      <w:proofErr w:type="spellEnd"/>
      <w:r w:rsidRPr="00AF2719">
        <w:rPr>
          <w:rFonts w:ascii="Times New Roman" w:hAnsi="Times New Roman" w:cs="Times New Roman"/>
          <w:sz w:val="24"/>
          <w:szCs w:val="24"/>
        </w:rPr>
        <w:t xml:space="preserve"> and Papacharalampous [10] survey several approaches for uncertainty estimation, which include quantile-based and conformal predictions, and note that the interval of uncertainty should be evaluated according to its coverage and width. A too wide interval may have high coverage but not be informative.</w:t>
      </w:r>
    </w:p>
    <w:p w14:paraId="532E2CFE" w14:textId="77777777" w:rsidR="00AF2719" w:rsidRDefault="00AF2719" w:rsidP="00AF2719">
      <w:pPr>
        <w:spacing w:before="200" w:after="100" w:line="276" w:lineRule="auto"/>
        <w:jc w:val="both"/>
        <w:rPr>
          <w:rFonts w:ascii="Times New Roman" w:hAnsi="Times New Roman" w:cs="Times New Roman"/>
          <w:b/>
          <w:bCs/>
          <w:sz w:val="24"/>
          <w:szCs w:val="24"/>
        </w:rPr>
      </w:pPr>
      <w:r w:rsidRPr="00AF2719">
        <w:rPr>
          <w:rFonts w:ascii="Times New Roman" w:hAnsi="Times New Roman" w:cs="Times New Roman"/>
          <w:sz w:val="24"/>
          <w:szCs w:val="24"/>
        </w:rPr>
        <w:t>Thus, the literature shows that there are ways of introducing uncertainty estimation in regression prediction through quantile-based and conformal prediction. As for B1, it means that the model should not only predict the final score but also generate the corresponding interval, which can be checked for reliability on the new matches</w:t>
      </w:r>
      <w:r w:rsidRPr="00AF2719">
        <w:rPr>
          <w:rFonts w:ascii="Times New Roman" w:hAnsi="Times New Roman" w:cs="Times New Roman"/>
          <w:b/>
          <w:bCs/>
          <w:sz w:val="24"/>
          <w:szCs w:val="24"/>
        </w:rPr>
        <w:t>.</w:t>
      </w:r>
    </w:p>
    <w:p w14:paraId="4A572E11" w14:textId="0D8F2A7B" w:rsidR="005606F8" w:rsidRPr="005606F8" w:rsidRDefault="00000000" w:rsidP="005606F8">
      <w:pPr>
        <w:pStyle w:val="Heading3"/>
        <w:rPr>
          <w:rFonts w:ascii="Times New Roman" w:hAnsi="Times New Roman" w:cs="Times New Roman"/>
          <w:b/>
          <w:bCs/>
          <w:color w:val="auto"/>
        </w:rPr>
      </w:pPr>
      <w:r w:rsidRPr="005606F8">
        <w:rPr>
          <w:rFonts w:ascii="Times New Roman" w:hAnsi="Times New Roman" w:cs="Times New Roman"/>
          <w:b/>
          <w:bCs/>
          <w:color w:val="auto"/>
        </w:rPr>
        <w:t>Table 1. Summary of reviewed literature.</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
        <w:gridCol w:w="1550"/>
        <w:gridCol w:w="2150"/>
        <w:gridCol w:w="1550"/>
        <w:gridCol w:w="2150"/>
        <w:gridCol w:w="1900"/>
      </w:tblGrid>
      <w:tr w:rsidR="004C4727" w:rsidRPr="001D5028" w14:paraId="759FA056" w14:textId="77777777">
        <w:tblPrEx>
          <w:tblCellMar>
            <w:top w:w="0" w:type="dxa"/>
            <w:bottom w:w="0" w:type="dxa"/>
          </w:tblCellMar>
        </w:tblPrEx>
        <w:tc>
          <w:tcPr>
            <w:tcW w:w="350" w:type="dxa"/>
            <w:shd w:val="clear" w:color="auto" w:fill="1F3864"/>
            <w:tcMar>
              <w:top w:w="70" w:type="dxa"/>
              <w:left w:w="90" w:type="dxa"/>
              <w:bottom w:w="70" w:type="dxa"/>
              <w:right w:w="90" w:type="dxa"/>
            </w:tcMar>
            <w:vAlign w:val="center"/>
          </w:tcPr>
          <w:p w14:paraId="4752A255"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8"/>
                <w:szCs w:val="18"/>
              </w:rPr>
              <w:t>#</w:t>
            </w:r>
          </w:p>
        </w:tc>
        <w:tc>
          <w:tcPr>
            <w:tcW w:w="1550" w:type="dxa"/>
            <w:shd w:val="clear" w:color="auto" w:fill="1F3864"/>
            <w:tcMar>
              <w:top w:w="70" w:type="dxa"/>
              <w:left w:w="90" w:type="dxa"/>
              <w:bottom w:w="70" w:type="dxa"/>
              <w:right w:w="90" w:type="dxa"/>
            </w:tcMar>
            <w:vAlign w:val="center"/>
          </w:tcPr>
          <w:p w14:paraId="482A79EF"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8"/>
                <w:szCs w:val="18"/>
              </w:rPr>
              <w:t>Paper</w:t>
            </w:r>
          </w:p>
        </w:tc>
        <w:tc>
          <w:tcPr>
            <w:tcW w:w="2150" w:type="dxa"/>
            <w:shd w:val="clear" w:color="auto" w:fill="1F3864"/>
            <w:tcMar>
              <w:top w:w="70" w:type="dxa"/>
              <w:left w:w="90" w:type="dxa"/>
              <w:bottom w:w="70" w:type="dxa"/>
              <w:right w:w="90" w:type="dxa"/>
            </w:tcMar>
            <w:vAlign w:val="center"/>
          </w:tcPr>
          <w:p w14:paraId="2094A49C"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8"/>
                <w:szCs w:val="18"/>
              </w:rPr>
              <w:t>Problem/Data</w:t>
            </w:r>
          </w:p>
        </w:tc>
        <w:tc>
          <w:tcPr>
            <w:tcW w:w="1550" w:type="dxa"/>
            <w:shd w:val="clear" w:color="auto" w:fill="1F3864"/>
            <w:tcMar>
              <w:top w:w="70" w:type="dxa"/>
              <w:left w:w="90" w:type="dxa"/>
              <w:bottom w:w="70" w:type="dxa"/>
              <w:right w:w="90" w:type="dxa"/>
            </w:tcMar>
            <w:vAlign w:val="center"/>
          </w:tcPr>
          <w:p w14:paraId="017BC5E6"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8"/>
                <w:szCs w:val="18"/>
              </w:rPr>
              <w:t>Method</w:t>
            </w:r>
          </w:p>
        </w:tc>
        <w:tc>
          <w:tcPr>
            <w:tcW w:w="2150" w:type="dxa"/>
            <w:shd w:val="clear" w:color="auto" w:fill="1F3864"/>
            <w:tcMar>
              <w:top w:w="70" w:type="dxa"/>
              <w:left w:w="90" w:type="dxa"/>
              <w:bottom w:w="70" w:type="dxa"/>
              <w:right w:w="90" w:type="dxa"/>
            </w:tcMar>
            <w:vAlign w:val="center"/>
          </w:tcPr>
          <w:p w14:paraId="0463B823"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8"/>
                <w:szCs w:val="18"/>
              </w:rPr>
              <w:t>Key Finding</w:t>
            </w:r>
          </w:p>
        </w:tc>
        <w:tc>
          <w:tcPr>
            <w:tcW w:w="1900" w:type="dxa"/>
            <w:shd w:val="clear" w:color="auto" w:fill="1F3864"/>
            <w:tcMar>
              <w:top w:w="70" w:type="dxa"/>
              <w:left w:w="90" w:type="dxa"/>
              <w:bottom w:w="70" w:type="dxa"/>
              <w:right w:w="90" w:type="dxa"/>
            </w:tcMar>
            <w:vAlign w:val="center"/>
          </w:tcPr>
          <w:p w14:paraId="009BD74F"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8"/>
                <w:szCs w:val="18"/>
              </w:rPr>
              <w:t>What B1 Can Borrow</w:t>
            </w:r>
          </w:p>
        </w:tc>
      </w:tr>
      <w:tr w:rsidR="004C4727" w:rsidRPr="001D5028" w14:paraId="53CE776E" w14:textId="77777777">
        <w:tblPrEx>
          <w:tblCellMar>
            <w:top w:w="0" w:type="dxa"/>
            <w:bottom w:w="0" w:type="dxa"/>
          </w:tblCellMar>
        </w:tblPrEx>
        <w:tc>
          <w:tcPr>
            <w:tcW w:w="350" w:type="dxa"/>
            <w:tcMar>
              <w:top w:w="70" w:type="dxa"/>
              <w:left w:w="90" w:type="dxa"/>
              <w:bottom w:w="70" w:type="dxa"/>
              <w:right w:w="90" w:type="dxa"/>
            </w:tcMar>
            <w:vAlign w:val="center"/>
          </w:tcPr>
          <w:p w14:paraId="07D6EB6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1</w:t>
            </w:r>
          </w:p>
        </w:tc>
        <w:tc>
          <w:tcPr>
            <w:tcW w:w="1550" w:type="dxa"/>
            <w:tcMar>
              <w:top w:w="70" w:type="dxa"/>
              <w:left w:w="90" w:type="dxa"/>
              <w:bottom w:w="70" w:type="dxa"/>
              <w:right w:w="90" w:type="dxa"/>
            </w:tcMar>
            <w:vAlign w:val="center"/>
          </w:tcPr>
          <w:p w14:paraId="5B106D42"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Duckworth &amp; Lewis (1998)</w:t>
            </w:r>
          </w:p>
        </w:tc>
        <w:tc>
          <w:tcPr>
            <w:tcW w:w="2150" w:type="dxa"/>
            <w:tcMar>
              <w:top w:w="70" w:type="dxa"/>
              <w:left w:w="90" w:type="dxa"/>
              <w:bottom w:w="70" w:type="dxa"/>
              <w:right w:w="90" w:type="dxa"/>
            </w:tcMar>
            <w:vAlign w:val="center"/>
          </w:tcPr>
          <w:p w14:paraId="203C5D56"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Resetting targets in interrupted ODI matches</w:t>
            </w:r>
          </w:p>
        </w:tc>
        <w:tc>
          <w:tcPr>
            <w:tcW w:w="1550" w:type="dxa"/>
            <w:tcMar>
              <w:top w:w="70" w:type="dxa"/>
              <w:left w:w="90" w:type="dxa"/>
              <w:bottom w:w="70" w:type="dxa"/>
              <w:right w:w="90" w:type="dxa"/>
            </w:tcMar>
            <w:vAlign w:val="center"/>
          </w:tcPr>
          <w:p w14:paraId="46D57659"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Deterministic resource table (overs remaining, wickets in hand)</w:t>
            </w:r>
          </w:p>
        </w:tc>
        <w:tc>
          <w:tcPr>
            <w:tcW w:w="2150" w:type="dxa"/>
            <w:tcMar>
              <w:top w:w="70" w:type="dxa"/>
              <w:left w:w="90" w:type="dxa"/>
              <w:bottom w:w="70" w:type="dxa"/>
              <w:right w:w="90" w:type="dxa"/>
            </w:tcMar>
            <w:vAlign w:val="center"/>
          </w:tcPr>
          <w:p w14:paraId="062A0077"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Scoring potential depends jointly on overs and wickets, not run rate alone</w:t>
            </w:r>
          </w:p>
        </w:tc>
        <w:tc>
          <w:tcPr>
            <w:tcW w:w="1900" w:type="dxa"/>
            <w:tcMar>
              <w:top w:w="70" w:type="dxa"/>
              <w:left w:w="90" w:type="dxa"/>
              <w:bottom w:w="70" w:type="dxa"/>
              <w:right w:w="90" w:type="dxa"/>
            </w:tcMar>
            <w:vAlign w:val="center"/>
          </w:tcPr>
          <w:p w14:paraId="14607753"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Motivates including wickets alongside run rate rather than run rate alone</w:t>
            </w:r>
          </w:p>
        </w:tc>
      </w:tr>
      <w:tr w:rsidR="004C4727" w:rsidRPr="001D5028" w14:paraId="118E0160" w14:textId="77777777">
        <w:tblPrEx>
          <w:tblCellMar>
            <w:top w:w="0" w:type="dxa"/>
            <w:bottom w:w="0" w:type="dxa"/>
          </w:tblCellMar>
        </w:tblPrEx>
        <w:tc>
          <w:tcPr>
            <w:tcW w:w="350" w:type="dxa"/>
            <w:tcMar>
              <w:top w:w="70" w:type="dxa"/>
              <w:left w:w="90" w:type="dxa"/>
              <w:bottom w:w="70" w:type="dxa"/>
              <w:right w:w="90" w:type="dxa"/>
            </w:tcMar>
            <w:vAlign w:val="center"/>
          </w:tcPr>
          <w:p w14:paraId="32C88D5B"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2</w:t>
            </w:r>
          </w:p>
        </w:tc>
        <w:tc>
          <w:tcPr>
            <w:tcW w:w="1550" w:type="dxa"/>
            <w:tcMar>
              <w:top w:w="70" w:type="dxa"/>
              <w:left w:w="90" w:type="dxa"/>
              <w:bottom w:w="70" w:type="dxa"/>
              <w:right w:w="90" w:type="dxa"/>
            </w:tcMar>
            <w:vAlign w:val="center"/>
          </w:tcPr>
          <w:p w14:paraId="52E3A018"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Bailey &amp; Clarke (2006)</w:t>
            </w:r>
          </w:p>
        </w:tc>
        <w:tc>
          <w:tcPr>
            <w:tcW w:w="2150" w:type="dxa"/>
            <w:tcMar>
              <w:top w:w="70" w:type="dxa"/>
              <w:left w:w="90" w:type="dxa"/>
              <w:bottom w:w="70" w:type="dxa"/>
              <w:right w:w="90" w:type="dxa"/>
            </w:tcMar>
            <w:vAlign w:val="center"/>
          </w:tcPr>
          <w:p w14:paraId="01818FDD"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In-progress ODI outcome prediction; 2,200 ODI matches</w:t>
            </w:r>
          </w:p>
        </w:tc>
        <w:tc>
          <w:tcPr>
            <w:tcW w:w="1550" w:type="dxa"/>
            <w:tcMar>
              <w:top w:w="70" w:type="dxa"/>
              <w:left w:w="90" w:type="dxa"/>
              <w:bottom w:w="70" w:type="dxa"/>
              <w:right w:w="90" w:type="dxa"/>
            </w:tcMar>
            <w:vAlign w:val="center"/>
          </w:tcPr>
          <w:p w14:paraId="6278CE46"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Multiple linear regression</w:t>
            </w:r>
          </w:p>
        </w:tc>
        <w:tc>
          <w:tcPr>
            <w:tcW w:w="2150" w:type="dxa"/>
            <w:tcMar>
              <w:top w:w="70" w:type="dxa"/>
              <w:left w:w="90" w:type="dxa"/>
              <w:bottom w:w="70" w:type="dxa"/>
              <w:right w:w="90" w:type="dxa"/>
            </w:tcMar>
            <w:vAlign w:val="center"/>
          </w:tcPr>
          <w:p w14:paraId="4F8E4E16"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Regression outperforms a run-rate projection for in-progress prediction</w:t>
            </w:r>
          </w:p>
        </w:tc>
        <w:tc>
          <w:tcPr>
            <w:tcW w:w="1900" w:type="dxa"/>
            <w:tcMar>
              <w:top w:w="70" w:type="dxa"/>
              <w:left w:w="90" w:type="dxa"/>
              <w:bottom w:w="70" w:type="dxa"/>
              <w:right w:w="90" w:type="dxa"/>
            </w:tcMar>
            <w:vAlign w:val="center"/>
          </w:tcPr>
          <w:p w14:paraId="2156948F"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Supports linear regression as a reasonable first model</w:t>
            </w:r>
          </w:p>
        </w:tc>
      </w:tr>
      <w:tr w:rsidR="004C4727" w:rsidRPr="001D5028" w14:paraId="1DB796D1" w14:textId="77777777">
        <w:tblPrEx>
          <w:tblCellMar>
            <w:top w:w="0" w:type="dxa"/>
            <w:bottom w:w="0" w:type="dxa"/>
          </w:tblCellMar>
        </w:tblPrEx>
        <w:tc>
          <w:tcPr>
            <w:tcW w:w="350" w:type="dxa"/>
            <w:tcMar>
              <w:top w:w="70" w:type="dxa"/>
              <w:left w:w="90" w:type="dxa"/>
              <w:bottom w:w="70" w:type="dxa"/>
              <w:right w:w="90" w:type="dxa"/>
            </w:tcMar>
            <w:vAlign w:val="center"/>
          </w:tcPr>
          <w:p w14:paraId="0FD78809"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3</w:t>
            </w:r>
          </w:p>
        </w:tc>
        <w:tc>
          <w:tcPr>
            <w:tcW w:w="1550" w:type="dxa"/>
            <w:tcMar>
              <w:top w:w="70" w:type="dxa"/>
              <w:left w:w="90" w:type="dxa"/>
              <w:bottom w:w="70" w:type="dxa"/>
              <w:right w:w="90" w:type="dxa"/>
            </w:tcMar>
            <w:vAlign w:val="center"/>
          </w:tcPr>
          <w:p w14:paraId="5A8A71A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Singh, Singla &amp; Bhatia (2015)</w:t>
            </w:r>
          </w:p>
        </w:tc>
        <w:tc>
          <w:tcPr>
            <w:tcW w:w="2150" w:type="dxa"/>
            <w:tcMar>
              <w:top w:w="70" w:type="dxa"/>
              <w:left w:w="90" w:type="dxa"/>
              <w:bottom w:w="70" w:type="dxa"/>
              <w:right w:w="90" w:type="dxa"/>
            </w:tcMar>
            <w:vAlign w:val="center"/>
          </w:tcPr>
          <w:p w14:paraId="0C37BA5D"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Score/outcome prediction at 5-over checkpoints; ODI matches 2002–2014</w:t>
            </w:r>
          </w:p>
        </w:tc>
        <w:tc>
          <w:tcPr>
            <w:tcW w:w="1550" w:type="dxa"/>
            <w:tcMar>
              <w:top w:w="70" w:type="dxa"/>
              <w:left w:w="90" w:type="dxa"/>
              <w:bottom w:w="70" w:type="dxa"/>
              <w:right w:w="90" w:type="dxa"/>
            </w:tcMar>
            <w:vAlign w:val="center"/>
          </w:tcPr>
          <w:p w14:paraId="50F54452"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Linear regression; Naive Bayes</w:t>
            </w:r>
          </w:p>
        </w:tc>
        <w:tc>
          <w:tcPr>
            <w:tcW w:w="2150" w:type="dxa"/>
            <w:tcMar>
              <w:top w:w="70" w:type="dxa"/>
              <w:left w:w="90" w:type="dxa"/>
              <w:bottom w:w="70" w:type="dxa"/>
              <w:right w:w="90" w:type="dxa"/>
            </w:tcMar>
            <w:vAlign w:val="center"/>
          </w:tcPr>
          <w:p w14:paraId="6C4AE304"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Regression beats run rate at every checkpoint; accuracy lowest early in the innings</w:t>
            </w:r>
          </w:p>
        </w:tc>
        <w:tc>
          <w:tcPr>
            <w:tcW w:w="1900" w:type="dxa"/>
            <w:tcMar>
              <w:top w:w="70" w:type="dxa"/>
              <w:left w:w="90" w:type="dxa"/>
              <w:bottom w:w="70" w:type="dxa"/>
              <w:right w:w="90" w:type="dxa"/>
            </w:tcMar>
            <w:vAlign w:val="center"/>
          </w:tcPr>
          <w:p w14:paraId="0FF3F982"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Suggests wider uncertainty should be expected at an early checkpoint</w:t>
            </w:r>
          </w:p>
        </w:tc>
      </w:tr>
      <w:tr w:rsidR="004C4727" w:rsidRPr="001D5028" w14:paraId="34FD0F67" w14:textId="77777777">
        <w:tblPrEx>
          <w:tblCellMar>
            <w:top w:w="0" w:type="dxa"/>
            <w:bottom w:w="0" w:type="dxa"/>
          </w:tblCellMar>
        </w:tblPrEx>
        <w:tc>
          <w:tcPr>
            <w:tcW w:w="350" w:type="dxa"/>
            <w:tcMar>
              <w:top w:w="70" w:type="dxa"/>
              <w:left w:w="90" w:type="dxa"/>
              <w:bottom w:w="70" w:type="dxa"/>
              <w:right w:w="90" w:type="dxa"/>
            </w:tcMar>
            <w:vAlign w:val="center"/>
          </w:tcPr>
          <w:p w14:paraId="2721984F"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4</w:t>
            </w:r>
          </w:p>
        </w:tc>
        <w:tc>
          <w:tcPr>
            <w:tcW w:w="1550" w:type="dxa"/>
            <w:tcMar>
              <w:top w:w="70" w:type="dxa"/>
              <w:left w:w="90" w:type="dxa"/>
              <w:bottom w:w="70" w:type="dxa"/>
              <w:right w:w="90" w:type="dxa"/>
            </w:tcMar>
            <w:vAlign w:val="center"/>
          </w:tcPr>
          <w:p w14:paraId="4EDCD402"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Tonmoy et al. (2024)</w:t>
            </w:r>
          </w:p>
        </w:tc>
        <w:tc>
          <w:tcPr>
            <w:tcW w:w="2150" w:type="dxa"/>
            <w:tcMar>
              <w:top w:w="70" w:type="dxa"/>
              <w:left w:w="90" w:type="dxa"/>
              <w:bottom w:w="70" w:type="dxa"/>
              <w:right w:w="90" w:type="dxa"/>
            </w:tcMar>
            <w:vAlign w:val="center"/>
          </w:tcPr>
          <w:p w14:paraId="08BE2B3E"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T20 first-innings score prediction; IPL ball-by-ball data</w:t>
            </w:r>
          </w:p>
        </w:tc>
        <w:tc>
          <w:tcPr>
            <w:tcW w:w="1550" w:type="dxa"/>
            <w:tcMar>
              <w:top w:w="70" w:type="dxa"/>
              <w:left w:w="90" w:type="dxa"/>
              <w:bottom w:w="70" w:type="dxa"/>
              <w:right w:w="90" w:type="dxa"/>
            </w:tcMar>
            <w:vAlign w:val="center"/>
          </w:tcPr>
          <w:p w14:paraId="028DAD3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XGBoost, Lasso, Ridge regression</w:t>
            </w:r>
          </w:p>
        </w:tc>
        <w:tc>
          <w:tcPr>
            <w:tcW w:w="2150" w:type="dxa"/>
            <w:tcMar>
              <w:top w:w="70" w:type="dxa"/>
              <w:left w:w="90" w:type="dxa"/>
              <w:bottom w:w="70" w:type="dxa"/>
              <w:right w:w="90" w:type="dxa"/>
            </w:tcMar>
            <w:vAlign w:val="center"/>
          </w:tcPr>
          <w:p w14:paraId="1039BEBE"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Gradient boosting and regularised regression both competitive for T20 score regression</w:t>
            </w:r>
          </w:p>
        </w:tc>
        <w:tc>
          <w:tcPr>
            <w:tcW w:w="1900" w:type="dxa"/>
            <w:tcMar>
              <w:top w:w="70" w:type="dxa"/>
              <w:left w:w="90" w:type="dxa"/>
              <w:bottom w:w="70" w:type="dxa"/>
              <w:right w:w="90" w:type="dxa"/>
            </w:tcMar>
            <w:vAlign w:val="center"/>
          </w:tcPr>
          <w:p w14:paraId="12572A43"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Supports evaluating both linear regression and gradient boosting</w:t>
            </w:r>
          </w:p>
        </w:tc>
      </w:tr>
      <w:tr w:rsidR="004C4727" w:rsidRPr="001D5028" w14:paraId="2A7FFFED" w14:textId="77777777">
        <w:tblPrEx>
          <w:tblCellMar>
            <w:top w:w="0" w:type="dxa"/>
            <w:bottom w:w="0" w:type="dxa"/>
          </w:tblCellMar>
        </w:tblPrEx>
        <w:tc>
          <w:tcPr>
            <w:tcW w:w="350" w:type="dxa"/>
            <w:tcMar>
              <w:top w:w="70" w:type="dxa"/>
              <w:left w:w="90" w:type="dxa"/>
              <w:bottom w:w="70" w:type="dxa"/>
              <w:right w:w="90" w:type="dxa"/>
            </w:tcMar>
            <w:vAlign w:val="center"/>
          </w:tcPr>
          <w:p w14:paraId="6B44ABB2"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5</w:t>
            </w:r>
          </w:p>
        </w:tc>
        <w:tc>
          <w:tcPr>
            <w:tcW w:w="1550" w:type="dxa"/>
            <w:tcMar>
              <w:top w:w="70" w:type="dxa"/>
              <w:left w:w="90" w:type="dxa"/>
              <w:bottom w:w="70" w:type="dxa"/>
              <w:right w:w="90" w:type="dxa"/>
            </w:tcMar>
            <w:vAlign w:val="center"/>
          </w:tcPr>
          <w:p w14:paraId="447BBE3B"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Robberechts &amp; Davis (2021)</w:t>
            </w:r>
          </w:p>
        </w:tc>
        <w:tc>
          <w:tcPr>
            <w:tcW w:w="2150" w:type="dxa"/>
            <w:tcMar>
              <w:top w:w="70" w:type="dxa"/>
              <w:left w:w="90" w:type="dxa"/>
              <w:bottom w:w="70" w:type="dxa"/>
              <w:right w:w="90" w:type="dxa"/>
            </w:tcMar>
            <w:vAlign w:val="center"/>
          </w:tcPr>
          <w:p w14:paraId="5A3DACEE"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In-game win probability; soccer, 8 seasons</w:t>
            </w:r>
          </w:p>
        </w:tc>
        <w:tc>
          <w:tcPr>
            <w:tcW w:w="1550" w:type="dxa"/>
            <w:tcMar>
              <w:top w:w="70" w:type="dxa"/>
              <w:left w:w="90" w:type="dxa"/>
              <w:bottom w:w="70" w:type="dxa"/>
              <w:right w:w="90" w:type="dxa"/>
            </w:tcMar>
            <w:vAlign w:val="center"/>
          </w:tcPr>
          <w:p w14:paraId="0B201BF4"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Bayesian statistical model</w:t>
            </w:r>
          </w:p>
        </w:tc>
        <w:tc>
          <w:tcPr>
            <w:tcW w:w="2150" w:type="dxa"/>
            <w:tcMar>
              <w:top w:w="70" w:type="dxa"/>
              <w:left w:w="90" w:type="dxa"/>
              <w:bottom w:w="70" w:type="dxa"/>
              <w:right w:w="90" w:type="dxa"/>
            </w:tcMar>
            <w:vAlign w:val="center"/>
          </w:tcPr>
          <w:p w14:paraId="69DD0BE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Calibration is achievable and must be measured separately from accuracy</w:t>
            </w:r>
          </w:p>
        </w:tc>
        <w:tc>
          <w:tcPr>
            <w:tcW w:w="1900" w:type="dxa"/>
            <w:tcMar>
              <w:top w:w="70" w:type="dxa"/>
              <w:left w:w="90" w:type="dxa"/>
              <w:bottom w:w="70" w:type="dxa"/>
              <w:right w:w="90" w:type="dxa"/>
            </w:tcMar>
            <w:vAlign w:val="center"/>
          </w:tcPr>
          <w:p w14:paraId="601F43F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Supports evaluating calibration, not accuracy alone</w:t>
            </w:r>
          </w:p>
        </w:tc>
      </w:tr>
      <w:tr w:rsidR="004C4727" w:rsidRPr="001D5028" w14:paraId="06C7CCC3" w14:textId="77777777">
        <w:tblPrEx>
          <w:tblCellMar>
            <w:top w:w="0" w:type="dxa"/>
            <w:bottom w:w="0" w:type="dxa"/>
          </w:tblCellMar>
        </w:tblPrEx>
        <w:tc>
          <w:tcPr>
            <w:tcW w:w="350" w:type="dxa"/>
            <w:tcMar>
              <w:top w:w="70" w:type="dxa"/>
              <w:left w:w="90" w:type="dxa"/>
              <w:bottom w:w="70" w:type="dxa"/>
              <w:right w:w="90" w:type="dxa"/>
            </w:tcMar>
            <w:vAlign w:val="center"/>
          </w:tcPr>
          <w:p w14:paraId="0B89F7B9"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6</w:t>
            </w:r>
          </w:p>
        </w:tc>
        <w:tc>
          <w:tcPr>
            <w:tcW w:w="1550" w:type="dxa"/>
            <w:tcMar>
              <w:top w:w="70" w:type="dxa"/>
              <w:left w:w="90" w:type="dxa"/>
              <w:bottom w:w="70" w:type="dxa"/>
              <w:right w:w="90" w:type="dxa"/>
            </w:tcMar>
            <w:vAlign w:val="center"/>
          </w:tcPr>
          <w:p w14:paraId="46F138C4"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Pelechrinis (2017)</w:t>
            </w:r>
          </w:p>
        </w:tc>
        <w:tc>
          <w:tcPr>
            <w:tcW w:w="2150" w:type="dxa"/>
            <w:tcMar>
              <w:top w:w="70" w:type="dxa"/>
              <w:left w:w="90" w:type="dxa"/>
              <w:bottom w:w="70" w:type="dxa"/>
              <w:right w:w="90" w:type="dxa"/>
            </w:tcMar>
            <w:vAlign w:val="center"/>
          </w:tcPr>
          <w:p w14:paraId="2F1B98C3"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In-game win probability; NFL, 7 seasons</w:t>
            </w:r>
          </w:p>
        </w:tc>
        <w:tc>
          <w:tcPr>
            <w:tcW w:w="1550" w:type="dxa"/>
            <w:tcMar>
              <w:top w:w="70" w:type="dxa"/>
              <w:left w:w="90" w:type="dxa"/>
              <w:bottom w:w="70" w:type="dxa"/>
              <w:right w:w="90" w:type="dxa"/>
            </w:tcMar>
            <w:vAlign w:val="center"/>
          </w:tcPr>
          <w:p w14:paraId="50C03759"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Logistic-style model, simple vs. complex compared</w:t>
            </w:r>
          </w:p>
        </w:tc>
        <w:tc>
          <w:tcPr>
            <w:tcW w:w="2150" w:type="dxa"/>
            <w:tcMar>
              <w:top w:w="70" w:type="dxa"/>
              <w:left w:w="90" w:type="dxa"/>
              <w:bottom w:w="70" w:type="dxa"/>
              <w:right w:w="90" w:type="dxa"/>
            </w:tcMar>
            <w:vAlign w:val="center"/>
          </w:tcPr>
          <w:p w14:paraId="7918283F"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A simple model matches complex ones once calibration is the criterion</w:t>
            </w:r>
          </w:p>
        </w:tc>
        <w:tc>
          <w:tcPr>
            <w:tcW w:w="1900" w:type="dxa"/>
            <w:tcMar>
              <w:top w:w="70" w:type="dxa"/>
              <w:left w:w="90" w:type="dxa"/>
              <w:bottom w:w="70" w:type="dxa"/>
              <w:right w:w="90" w:type="dxa"/>
            </w:tcMar>
            <w:vAlign w:val="center"/>
          </w:tcPr>
          <w:p w14:paraId="2ECCEDB4"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Cautions against adding complexity without evidence</w:t>
            </w:r>
          </w:p>
        </w:tc>
      </w:tr>
      <w:tr w:rsidR="004C4727" w:rsidRPr="001D5028" w14:paraId="05050F8C" w14:textId="77777777">
        <w:tblPrEx>
          <w:tblCellMar>
            <w:top w:w="0" w:type="dxa"/>
            <w:bottom w:w="0" w:type="dxa"/>
          </w:tblCellMar>
        </w:tblPrEx>
        <w:tc>
          <w:tcPr>
            <w:tcW w:w="350" w:type="dxa"/>
            <w:tcMar>
              <w:top w:w="70" w:type="dxa"/>
              <w:left w:w="90" w:type="dxa"/>
              <w:bottom w:w="70" w:type="dxa"/>
              <w:right w:w="90" w:type="dxa"/>
            </w:tcMar>
            <w:vAlign w:val="center"/>
          </w:tcPr>
          <w:p w14:paraId="3A071B6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7</w:t>
            </w:r>
          </w:p>
        </w:tc>
        <w:tc>
          <w:tcPr>
            <w:tcW w:w="1550" w:type="dxa"/>
            <w:tcMar>
              <w:top w:w="70" w:type="dxa"/>
              <w:left w:w="90" w:type="dxa"/>
              <w:bottom w:w="70" w:type="dxa"/>
              <w:right w:w="90" w:type="dxa"/>
            </w:tcMar>
            <w:vAlign w:val="center"/>
          </w:tcPr>
          <w:p w14:paraId="3DB3DC1F"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 xml:space="preserve">Chen &amp; </w:t>
            </w:r>
            <w:proofErr w:type="spellStart"/>
            <w:r w:rsidRPr="001D5028">
              <w:rPr>
                <w:rFonts w:ascii="Times New Roman" w:hAnsi="Times New Roman" w:cs="Times New Roman"/>
                <w:color w:val="000000"/>
                <w:sz w:val="17"/>
                <w:szCs w:val="17"/>
              </w:rPr>
              <w:t>Guestrin</w:t>
            </w:r>
            <w:proofErr w:type="spellEnd"/>
            <w:r w:rsidRPr="001D5028">
              <w:rPr>
                <w:rFonts w:ascii="Times New Roman" w:hAnsi="Times New Roman" w:cs="Times New Roman"/>
                <w:color w:val="000000"/>
                <w:sz w:val="17"/>
                <w:szCs w:val="17"/>
              </w:rPr>
              <w:t xml:space="preserve"> (2016)</w:t>
            </w:r>
          </w:p>
        </w:tc>
        <w:tc>
          <w:tcPr>
            <w:tcW w:w="2150" w:type="dxa"/>
            <w:tcMar>
              <w:top w:w="70" w:type="dxa"/>
              <w:left w:w="90" w:type="dxa"/>
              <w:bottom w:w="70" w:type="dxa"/>
              <w:right w:w="90" w:type="dxa"/>
            </w:tcMar>
            <w:vAlign w:val="center"/>
          </w:tcPr>
          <w:p w14:paraId="38105B97"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Scalable tree-boosting system; general tabular ML benchmarks</w:t>
            </w:r>
          </w:p>
        </w:tc>
        <w:tc>
          <w:tcPr>
            <w:tcW w:w="1550" w:type="dxa"/>
            <w:tcMar>
              <w:top w:w="70" w:type="dxa"/>
              <w:left w:w="90" w:type="dxa"/>
              <w:bottom w:w="70" w:type="dxa"/>
              <w:right w:w="90" w:type="dxa"/>
            </w:tcMar>
            <w:vAlign w:val="center"/>
          </w:tcPr>
          <w:p w14:paraId="669690E3"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Gradient-boosted decision trees (XGBoost)</w:t>
            </w:r>
          </w:p>
        </w:tc>
        <w:tc>
          <w:tcPr>
            <w:tcW w:w="2150" w:type="dxa"/>
            <w:tcMar>
              <w:top w:w="70" w:type="dxa"/>
              <w:left w:w="90" w:type="dxa"/>
              <w:bottom w:w="70" w:type="dxa"/>
              <w:right w:w="90" w:type="dxa"/>
            </w:tcMar>
            <w:vAlign w:val="center"/>
          </w:tcPr>
          <w:p w14:paraId="394136E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Gradient boosting is efficient and accurate for nonlinear tabular data</w:t>
            </w:r>
          </w:p>
        </w:tc>
        <w:tc>
          <w:tcPr>
            <w:tcW w:w="1900" w:type="dxa"/>
            <w:tcMar>
              <w:top w:w="70" w:type="dxa"/>
              <w:left w:w="90" w:type="dxa"/>
              <w:bottom w:w="70" w:type="dxa"/>
              <w:right w:w="90" w:type="dxa"/>
            </w:tcMar>
            <w:vAlign w:val="center"/>
          </w:tcPr>
          <w:p w14:paraId="15E4C923"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Supports gradient boosting as a candidate model</w:t>
            </w:r>
          </w:p>
        </w:tc>
      </w:tr>
      <w:tr w:rsidR="004C4727" w:rsidRPr="001D5028" w14:paraId="08071B70" w14:textId="77777777">
        <w:tblPrEx>
          <w:tblCellMar>
            <w:top w:w="0" w:type="dxa"/>
            <w:bottom w:w="0" w:type="dxa"/>
          </w:tblCellMar>
        </w:tblPrEx>
        <w:tc>
          <w:tcPr>
            <w:tcW w:w="350" w:type="dxa"/>
            <w:tcMar>
              <w:top w:w="70" w:type="dxa"/>
              <w:left w:w="90" w:type="dxa"/>
              <w:bottom w:w="70" w:type="dxa"/>
              <w:right w:w="90" w:type="dxa"/>
            </w:tcMar>
            <w:vAlign w:val="center"/>
          </w:tcPr>
          <w:p w14:paraId="2E321A71"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8</w:t>
            </w:r>
          </w:p>
        </w:tc>
        <w:tc>
          <w:tcPr>
            <w:tcW w:w="1550" w:type="dxa"/>
            <w:tcMar>
              <w:top w:w="70" w:type="dxa"/>
              <w:left w:w="90" w:type="dxa"/>
              <w:bottom w:w="70" w:type="dxa"/>
              <w:right w:w="90" w:type="dxa"/>
            </w:tcMar>
            <w:vAlign w:val="center"/>
          </w:tcPr>
          <w:p w14:paraId="532D3DD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Meinshausen (2006)</w:t>
            </w:r>
          </w:p>
        </w:tc>
        <w:tc>
          <w:tcPr>
            <w:tcW w:w="2150" w:type="dxa"/>
            <w:tcMar>
              <w:top w:w="70" w:type="dxa"/>
              <w:left w:w="90" w:type="dxa"/>
              <w:bottom w:w="70" w:type="dxa"/>
              <w:right w:w="90" w:type="dxa"/>
            </w:tcMar>
            <w:vAlign w:val="center"/>
          </w:tcPr>
          <w:p w14:paraId="09A92976"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Estimating the full conditional distribution; regression benchmarks</w:t>
            </w:r>
          </w:p>
        </w:tc>
        <w:tc>
          <w:tcPr>
            <w:tcW w:w="1550" w:type="dxa"/>
            <w:tcMar>
              <w:top w:w="70" w:type="dxa"/>
              <w:left w:w="90" w:type="dxa"/>
              <w:bottom w:w="70" w:type="dxa"/>
              <w:right w:w="90" w:type="dxa"/>
            </w:tcMar>
            <w:vAlign w:val="center"/>
          </w:tcPr>
          <w:p w14:paraId="39A83FA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Quantile regression forests</w:t>
            </w:r>
          </w:p>
        </w:tc>
        <w:tc>
          <w:tcPr>
            <w:tcW w:w="2150" w:type="dxa"/>
            <w:tcMar>
              <w:top w:w="70" w:type="dxa"/>
              <w:left w:w="90" w:type="dxa"/>
              <w:bottom w:w="70" w:type="dxa"/>
              <w:right w:w="90" w:type="dxa"/>
            </w:tcMar>
            <w:vAlign w:val="center"/>
          </w:tcPr>
          <w:p w14:paraId="069DB9F7"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Random forests generalise to give consistent quantile estimates</w:t>
            </w:r>
          </w:p>
        </w:tc>
        <w:tc>
          <w:tcPr>
            <w:tcW w:w="1900" w:type="dxa"/>
            <w:tcMar>
              <w:top w:w="70" w:type="dxa"/>
              <w:left w:w="90" w:type="dxa"/>
              <w:bottom w:w="70" w:type="dxa"/>
              <w:right w:w="90" w:type="dxa"/>
            </w:tcMar>
            <w:vAlign w:val="center"/>
          </w:tcPr>
          <w:p w14:paraId="6BF3EE3A"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Provides a mechanism for producing low/high estimates</w:t>
            </w:r>
          </w:p>
        </w:tc>
      </w:tr>
      <w:tr w:rsidR="004C4727" w:rsidRPr="001D5028" w14:paraId="380D0674" w14:textId="77777777">
        <w:tblPrEx>
          <w:tblCellMar>
            <w:top w:w="0" w:type="dxa"/>
            <w:bottom w:w="0" w:type="dxa"/>
          </w:tblCellMar>
        </w:tblPrEx>
        <w:tc>
          <w:tcPr>
            <w:tcW w:w="350" w:type="dxa"/>
            <w:tcMar>
              <w:top w:w="70" w:type="dxa"/>
              <w:left w:w="90" w:type="dxa"/>
              <w:bottom w:w="70" w:type="dxa"/>
              <w:right w:w="90" w:type="dxa"/>
            </w:tcMar>
            <w:vAlign w:val="center"/>
          </w:tcPr>
          <w:p w14:paraId="13B44E9D"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9</w:t>
            </w:r>
          </w:p>
        </w:tc>
        <w:tc>
          <w:tcPr>
            <w:tcW w:w="1550" w:type="dxa"/>
            <w:tcMar>
              <w:top w:w="70" w:type="dxa"/>
              <w:left w:w="90" w:type="dxa"/>
              <w:bottom w:w="70" w:type="dxa"/>
              <w:right w:w="90" w:type="dxa"/>
            </w:tcMar>
            <w:vAlign w:val="center"/>
          </w:tcPr>
          <w:p w14:paraId="073895F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Romano, Patterson &amp; Candès (2019)</w:t>
            </w:r>
          </w:p>
        </w:tc>
        <w:tc>
          <w:tcPr>
            <w:tcW w:w="2150" w:type="dxa"/>
            <w:tcMar>
              <w:top w:w="70" w:type="dxa"/>
              <w:left w:w="90" w:type="dxa"/>
              <w:bottom w:w="70" w:type="dxa"/>
              <w:right w:w="90" w:type="dxa"/>
            </w:tcMar>
            <w:vAlign w:val="center"/>
          </w:tcPr>
          <w:p w14:paraId="20DE99D3"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Adaptive, valid-coverage prediction intervals; regression benchmarks</w:t>
            </w:r>
          </w:p>
        </w:tc>
        <w:tc>
          <w:tcPr>
            <w:tcW w:w="1550" w:type="dxa"/>
            <w:tcMar>
              <w:top w:w="70" w:type="dxa"/>
              <w:left w:w="90" w:type="dxa"/>
              <w:bottom w:w="70" w:type="dxa"/>
              <w:right w:w="90" w:type="dxa"/>
            </w:tcMar>
            <w:vAlign w:val="center"/>
          </w:tcPr>
          <w:p w14:paraId="16BFECC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Conformalized quantile regression (CQR)</w:t>
            </w:r>
          </w:p>
        </w:tc>
        <w:tc>
          <w:tcPr>
            <w:tcW w:w="2150" w:type="dxa"/>
            <w:tcMar>
              <w:top w:w="70" w:type="dxa"/>
              <w:left w:w="90" w:type="dxa"/>
              <w:bottom w:w="70" w:type="dxa"/>
              <w:right w:w="90" w:type="dxa"/>
            </w:tcMar>
            <w:vAlign w:val="center"/>
          </w:tcPr>
          <w:p w14:paraId="5BEA44F6"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CQR gives shorter intervals than plain conformal prediction while keeping the coverage guarantee</w:t>
            </w:r>
          </w:p>
        </w:tc>
        <w:tc>
          <w:tcPr>
            <w:tcW w:w="1900" w:type="dxa"/>
            <w:tcMar>
              <w:top w:w="70" w:type="dxa"/>
              <w:left w:w="90" w:type="dxa"/>
              <w:bottom w:w="70" w:type="dxa"/>
              <w:right w:w="90" w:type="dxa"/>
            </w:tcMar>
            <w:vAlign w:val="center"/>
          </w:tcPr>
          <w:p w14:paraId="45646895"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Supports conformal methods for calibrated intervals</w:t>
            </w:r>
          </w:p>
        </w:tc>
      </w:tr>
      <w:tr w:rsidR="004C4727" w:rsidRPr="001D5028" w14:paraId="28607DD6" w14:textId="77777777">
        <w:tblPrEx>
          <w:tblCellMar>
            <w:top w:w="0" w:type="dxa"/>
            <w:bottom w:w="0" w:type="dxa"/>
          </w:tblCellMar>
        </w:tblPrEx>
        <w:tc>
          <w:tcPr>
            <w:tcW w:w="350" w:type="dxa"/>
            <w:tcMar>
              <w:top w:w="70" w:type="dxa"/>
              <w:left w:w="90" w:type="dxa"/>
              <w:bottom w:w="70" w:type="dxa"/>
              <w:right w:w="90" w:type="dxa"/>
            </w:tcMar>
            <w:vAlign w:val="center"/>
          </w:tcPr>
          <w:p w14:paraId="66BD605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10</w:t>
            </w:r>
          </w:p>
        </w:tc>
        <w:tc>
          <w:tcPr>
            <w:tcW w:w="1550" w:type="dxa"/>
            <w:tcMar>
              <w:top w:w="70" w:type="dxa"/>
              <w:left w:w="90" w:type="dxa"/>
              <w:bottom w:w="70" w:type="dxa"/>
              <w:right w:w="90" w:type="dxa"/>
            </w:tcMar>
            <w:vAlign w:val="center"/>
          </w:tcPr>
          <w:p w14:paraId="0A24C48B" w14:textId="77777777" w:rsidR="004C4727" w:rsidRPr="001D5028" w:rsidRDefault="00000000">
            <w:pPr>
              <w:rPr>
                <w:rFonts w:ascii="Times New Roman" w:hAnsi="Times New Roman" w:cs="Times New Roman"/>
              </w:rPr>
            </w:pPr>
            <w:proofErr w:type="spellStart"/>
            <w:r w:rsidRPr="001D5028">
              <w:rPr>
                <w:rFonts w:ascii="Times New Roman" w:hAnsi="Times New Roman" w:cs="Times New Roman"/>
                <w:color w:val="000000"/>
                <w:sz w:val="17"/>
                <w:szCs w:val="17"/>
              </w:rPr>
              <w:t>Tyralis</w:t>
            </w:r>
            <w:proofErr w:type="spellEnd"/>
            <w:r w:rsidRPr="001D5028">
              <w:rPr>
                <w:rFonts w:ascii="Times New Roman" w:hAnsi="Times New Roman" w:cs="Times New Roman"/>
                <w:color w:val="000000"/>
                <w:sz w:val="17"/>
                <w:szCs w:val="17"/>
              </w:rPr>
              <w:t xml:space="preserve"> &amp; Papacharalampous (2024)</w:t>
            </w:r>
          </w:p>
        </w:tc>
        <w:tc>
          <w:tcPr>
            <w:tcW w:w="2150" w:type="dxa"/>
            <w:tcMar>
              <w:top w:w="70" w:type="dxa"/>
              <w:left w:w="90" w:type="dxa"/>
              <w:bottom w:w="70" w:type="dxa"/>
              <w:right w:w="90" w:type="dxa"/>
            </w:tcMar>
            <w:vAlign w:val="center"/>
          </w:tcPr>
          <w:p w14:paraId="3F94B60E"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Review of predictive uncertainty estimation methods</w:t>
            </w:r>
          </w:p>
        </w:tc>
        <w:tc>
          <w:tcPr>
            <w:tcW w:w="1550" w:type="dxa"/>
            <w:tcMar>
              <w:top w:w="70" w:type="dxa"/>
              <w:left w:w="90" w:type="dxa"/>
              <w:bottom w:w="70" w:type="dxa"/>
              <w:right w:w="90" w:type="dxa"/>
            </w:tcMar>
            <w:vAlign w:val="center"/>
          </w:tcPr>
          <w:p w14:paraId="4718FB58" w14:textId="33A91BAC"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 xml:space="preserve">Survey (quantile regression, QRF, </w:t>
            </w:r>
          </w:p>
        </w:tc>
        <w:tc>
          <w:tcPr>
            <w:tcW w:w="2150" w:type="dxa"/>
            <w:tcMar>
              <w:top w:w="70" w:type="dxa"/>
              <w:left w:w="90" w:type="dxa"/>
              <w:bottom w:w="70" w:type="dxa"/>
              <w:right w:w="90" w:type="dxa"/>
            </w:tcMar>
            <w:vAlign w:val="center"/>
          </w:tcPr>
          <w:p w14:paraId="246F4B04"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Coverage and interval width should be evaluated jointly</w:t>
            </w:r>
          </w:p>
        </w:tc>
        <w:tc>
          <w:tcPr>
            <w:tcW w:w="1900" w:type="dxa"/>
            <w:tcMar>
              <w:top w:w="70" w:type="dxa"/>
              <w:left w:w="90" w:type="dxa"/>
              <w:bottom w:w="70" w:type="dxa"/>
              <w:right w:w="90" w:type="dxa"/>
            </w:tcMar>
            <w:vAlign w:val="center"/>
          </w:tcPr>
          <w:p w14:paraId="5C9DAF72"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7"/>
                <w:szCs w:val="17"/>
              </w:rPr>
              <w:t>Supports reporting coverage and width together</w:t>
            </w:r>
          </w:p>
        </w:tc>
      </w:tr>
    </w:tbl>
    <w:p w14:paraId="18C830EB" w14:textId="77777777" w:rsidR="004C4727" w:rsidRPr="001D5028" w:rsidRDefault="00000000">
      <w:pPr>
        <w:pStyle w:val="Heading1"/>
        <w:rPr>
          <w:rFonts w:ascii="Times New Roman" w:hAnsi="Times New Roman" w:cs="Times New Roman"/>
          <w:color w:val="auto"/>
        </w:rPr>
      </w:pPr>
      <w:r w:rsidRPr="001D5028">
        <w:rPr>
          <w:rFonts w:ascii="Times New Roman" w:hAnsi="Times New Roman" w:cs="Times New Roman"/>
          <w:color w:val="auto"/>
        </w:rPr>
        <w:t xml:space="preserve">3. </w:t>
      </w:r>
      <w:r w:rsidRPr="00AF2719">
        <w:rPr>
          <w:rFonts w:ascii="Times New Roman" w:hAnsi="Times New Roman" w:cs="Times New Roman"/>
          <w:color w:val="auto"/>
          <w:u w:val="single"/>
        </w:rPr>
        <w:t>Comparative Synthesis</w:t>
      </w:r>
    </w:p>
    <w:p w14:paraId="659F8892" w14:textId="77777777" w:rsidR="00AF2719" w:rsidRDefault="00AF2719" w:rsidP="005606F8">
      <w:pPr>
        <w:spacing w:line="276" w:lineRule="auto"/>
        <w:jc w:val="both"/>
        <w:rPr>
          <w:rFonts w:ascii="Times New Roman" w:hAnsi="Times New Roman" w:cs="Times New Roman"/>
          <w:b/>
          <w:bCs/>
          <w:sz w:val="24"/>
          <w:szCs w:val="24"/>
        </w:rPr>
      </w:pPr>
      <w:r w:rsidRPr="005606F8">
        <w:rPr>
          <w:rFonts w:ascii="Times New Roman" w:hAnsi="Times New Roman" w:cs="Times New Roman"/>
          <w:sz w:val="24"/>
          <w:szCs w:val="24"/>
        </w:rPr>
        <w:t xml:space="preserve">Combining findings from the reviewed studies, there is evidence of several recurring themes. Run rate only projection as a baseline is outdated and poor-performing. Duckworth and Lewis came up with the resource approach to overcome the shortcomings of run rate only projection, and both Bailey and Clarke and Singh, Singla and Bhatia use run rate as a poor-performing baseline that is outperformed by regression models. Lost wickets </w:t>
      </w:r>
      <w:r w:rsidRPr="005606F8">
        <w:rPr>
          <w:rFonts w:ascii="Times New Roman" w:hAnsi="Times New Roman" w:cs="Times New Roman"/>
          <w:b/>
          <w:bCs/>
          <w:sz w:val="24"/>
          <w:szCs w:val="24"/>
        </w:rPr>
        <w:t>emerge</w:t>
      </w:r>
      <w:r w:rsidRPr="005606F8">
        <w:rPr>
          <w:rFonts w:ascii="Times New Roman" w:hAnsi="Times New Roman" w:cs="Times New Roman"/>
          <w:sz w:val="24"/>
          <w:szCs w:val="24"/>
        </w:rPr>
        <w:t xml:space="preserve"> as an additional variable which is consistently related to more accurate prediction in cricket studies: it is included along with run rate or overs variable in all cricket-related studies here. Linear regression is demonstrated to be a good choice for the first step of the partial match prediction, while gradient-boosted trees provide great results when capturing non-linear dependencies between the match state variables without requiring a large training dataset. Moreover, more sophisticated model does not imply improved performance per se after basic point accuracy measures. More sophisticated model becomes useful only if it outperforms a simple model in terms of a certain metric.</w:t>
      </w:r>
      <w:r w:rsidRPr="005606F8">
        <w:rPr>
          <w:rFonts w:ascii="Times New Roman" w:hAnsi="Times New Roman" w:cs="Times New Roman"/>
          <w:b/>
          <w:bCs/>
          <w:sz w:val="24"/>
          <w:szCs w:val="24"/>
        </w:rPr>
        <w:t xml:space="preserve"> </w:t>
      </w:r>
    </w:p>
    <w:p w14:paraId="72AB1530" w14:textId="77777777" w:rsidR="005606F8" w:rsidRPr="005606F8" w:rsidRDefault="005606F8" w:rsidP="005606F8">
      <w:pPr>
        <w:spacing w:line="276" w:lineRule="auto"/>
        <w:jc w:val="both"/>
        <w:rPr>
          <w:rFonts w:ascii="Times New Roman" w:hAnsi="Times New Roman" w:cs="Times New Roman"/>
          <w:b/>
          <w:bCs/>
          <w:sz w:val="24"/>
          <w:szCs w:val="24"/>
        </w:rPr>
      </w:pPr>
    </w:p>
    <w:p w14:paraId="560C73E2" w14:textId="4991D393" w:rsidR="00AF2719" w:rsidRDefault="00AF2719" w:rsidP="005606F8">
      <w:pPr>
        <w:spacing w:line="276" w:lineRule="auto"/>
        <w:jc w:val="both"/>
        <w:rPr>
          <w:rFonts w:ascii="Times New Roman" w:hAnsi="Times New Roman" w:cs="Times New Roman"/>
          <w:sz w:val="24"/>
          <w:szCs w:val="24"/>
        </w:rPr>
      </w:pPr>
      <w:r w:rsidRPr="00AF2719">
        <w:rPr>
          <w:rFonts w:ascii="Times New Roman" w:hAnsi="Times New Roman" w:cs="Times New Roman"/>
          <w:sz w:val="24"/>
          <w:szCs w:val="24"/>
        </w:rPr>
        <w:t xml:space="preserve">The second recurring theme is what is not </w:t>
      </w:r>
      <w:r w:rsidR="005606F8" w:rsidRPr="00AF2719">
        <w:rPr>
          <w:rFonts w:ascii="Times New Roman" w:hAnsi="Times New Roman" w:cs="Times New Roman"/>
          <w:sz w:val="24"/>
          <w:szCs w:val="24"/>
        </w:rPr>
        <w:t>analysed</w:t>
      </w:r>
      <w:r w:rsidRPr="00AF2719">
        <w:rPr>
          <w:rFonts w:ascii="Times New Roman" w:hAnsi="Times New Roman" w:cs="Times New Roman"/>
          <w:sz w:val="24"/>
          <w:szCs w:val="24"/>
        </w:rPr>
        <w:t xml:space="preserve"> in cricket score prediction studies. Cricket score prediction is concerned with the accuracy of point prediction only in terms of MAE, </w:t>
      </w:r>
      <w:r w:rsidRPr="00AF2719">
        <w:rPr>
          <w:rFonts w:ascii="Times New Roman" w:hAnsi="Times New Roman" w:cs="Times New Roman"/>
          <w:sz w:val="24"/>
          <w:szCs w:val="24"/>
        </w:rPr>
        <w:t>RMSE, R</w:t>
      </w:r>
      <w:r w:rsidRPr="00AF2719">
        <w:rPr>
          <w:rFonts w:ascii="Times New Roman" w:hAnsi="Times New Roman" w:cs="Times New Roman"/>
          <w:sz w:val="24"/>
          <w:szCs w:val="24"/>
        </w:rPr>
        <w:t>², and classification accuracy. None of these cricket studies report prediction interval and test whether the predicted confidence level is correct. In the studies devoted to the in-play score prediction in other sports, the calibration of predictions is seen as a crucial element of the analysis, and both coverage and sharpness are used to assess the quality of the interval. This means that calibrated uncertainty estimation is a developed field, however, it has not been applied to cricket score prediction in the reviewed papers.</w:t>
      </w:r>
    </w:p>
    <w:p w14:paraId="36C67DE4" w14:textId="77777777" w:rsidR="00AF2719" w:rsidRPr="005606F8" w:rsidRDefault="00AF2719" w:rsidP="00AF2719">
      <w:pPr>
        <w:pStyle w:val="Heading1"/>
        <w:rPr>
          <w:rFonts w:ascii="Times New Roman" w:hAnsi="Times New Roman" w:cs="Times New Roman"/>
          <w:color w:val="auto"/>
        </w:rPr>
      </w:pPr>
      <w:r w:rsidRPr="005606F8">
        <w:rPr>
          <w:rFonts w:ascii="Times New Roman" w:hAnsi="Times New Roman" w:cs="Times New Roman"/>
          <w:color w:val="auto"/>
        </w:rPr>
        <w:t xml:space="preserve">4. </w:t>
      </w:r>
      <w:r w:rsidRPr="005606F8">
        <w:rPr>
          <w:rFonts w:ascii="Times New Roman" w:hAnsi="Times New Roman" w:cs="Times New Roman"/>
          <w:color w:val="auto"/>
          <w:u w:val="single"/>
        </w:rPr>
        <w:t>Research Gap</w:t>
      </w:r>
    </w:p>
    <w:p w14:paraId="77D87708" w14:textId="77777777" w:rsidR="00AF2719" w:rsidRPr="005606F8" w:rsidRDefault="00AF2719" w:rsidP="005606F8">
      <w:pPr>
        <w:jc w:val="both"/>
        <w:rPr>
          <w:rFonts w:ascii="Times New Roman" w:hAnsi="Times New Roman" w:cs="Times New Roman"/>
          <w:sz w:val="24"/>
          <w:szCs w:val="24"/>
        </w:rPr>
      </w:pPr>
      <w:r w:rsidRPr="005606F8">
        <w:rPr>
          <w:rFonts w:ascii="Times New Roman" w:hAnsi="Times New Roman" w:cs="Times New Roman"/>
          <w:sz w:val="24"/>
          <w:szCs w:val="24"/>
        </w:rPr>
        <w:t>From the literature review above, it is possible to conclude that run rate projection is a poor baseline for predicting the final score in cricket innings and that incorporating lost wickets variable along with the regression tree model improves the accuracy of the predictions. It also indicates that gradient-boosted trees are a mature, extensively researched and well-grounded method for regression in tabular datasets with non-linear interaction of features, including cricket score prediction. Additionally, it proves that distribution-free prediction intervals with a guaranteed coverage in a finite sample through quantile regression forests, conformal prediction, or conformalized quantile regression techniques are extensively researched and can be used with any regression model.</w:t>
      </w:r>
    </w:p>
    <w:p w14:paraId="465B5AA1" w14:textId="77777777" w:rsidR="00AF2719" w:rsidRPr="005606F8" w:rsidRDefault="00AF2719" w:rsidP="005606F8">
      <w:pPr>
        <w:jc w:val="both"/>
        <w:rPr>
          <w:rFonts w:ascii="Times New Roman" w:hAnsi="Times New Roman" w:cs="Times New Roman"/>
          <w:sz w:val="24"/>
          <w:szCs w:val="24"/>
        </w:rPr>
      </w:pPr>
    </w:p>
    <w:p w14:paraId="39B09B8B" w14:textId="77777777" w:rsidR="00AF2719" w:rsidRPr="005606F8" w:rsidRDefault="00AF2719" w:rsidP="005606F8">
      <w:pPr>
        <w:jc w:val="both"/>
        <w:rPr>
          <w:rFonts w:ascii="Times New Roman" w:hAnsi="Times New Roman" w:cs="Times New Roman"/>
          <w:sz w:val="24"/>
          <w:szCs w:val="24"/>
        </w:rPr>
      </w:pPr>
      <w:r w:rsidRPr="005606F8">
        <w:rPr>
          <w:rFonts w:ascii="Times New Roman" w:hAnsi="Times New Roman" w:cs="Times New Roman"/>
          <w:sz w:val="24"/>
          <w:szCs w:val="24"/>
        </w:rPr>
        <w:t xml:space="preserve">What is not covered in the literature is a combination of the two above approaches for this particular task. None of the papers reviewed here provide calibrated prediction intervals with an empirical coverage estimate; all of them are focused on the point error or classification accuracy measure. None of the studies isolate a single checkpoint for prediction, such as the six-over mark in a twenty-over innings, as a standalone prediction task with its own prediction interval and coverage check. The closest study is Singh, Singla and Bhatia who perform multiple checkpoint analyses but do not consider an early checkpoint as an independent deliverable with the interval check. None of the papers performs this type of prediction on simulated data as opposed to the real data which would allow </w:t>
      </w:r>
      <w:proofErr w:type="spellStart"/>
      <w:r w:rsidRPr="005606F8">
        <w:rPr>
          <w:rFonts w:ascii="Times New Roman" w:hAnsi="Times New Roman" w:cs="Times New Roman"/>
          <w:sz w:val="24"/>
          <w:szCs w:val="24"/>
        </w:rPr>
        <w:t>analyzing</w:t>
      </w:r>
      <w:proofErr w:type="spellEnd"/>
      <w:r w:rsidRPr="005606F8">
        <w:rPr>
          <w:rFonts w:ascii="Times New Roman" w:hAnsi="Times New Roman" w:cs="Times New Roman"/>
          <w:sz w:val="24"/>
          <w:szCs w:val="24"/>
        </w:rPr>
        <w:t xml:space="preserve"> the structure of the data.</w:t>
      </w:r>
    </w:p>
    <w:p w14:paraId="474C0128" w14:textId="77777777" w:rsidR="00AF2719" w:rsidRPr="005606F8" w:rsidRDefault="00AF2719" w:rsidP="005606F8">
      <w:pPr>
        <w:jc w:val="both"/>
        <w:rPr>
          <w:rFonts w:ascii="Times New Roman" w:hAnsi="Times New Roman" w:cs="Times New Roman"/>
          <w:sz w:val="24"/>
          <w:szCs w:val="24"/>
        </w:rPr>
      </w:pPr>
    </w:p>
    <w:p w14:paraId="16AA58A0" w14:textId="77777777" w:rsidR="00AF2719" w:rsidRPr="005606F8" w:rsidRDefault="00AF2719" w:rsidP="005606F8">
      <w:pPr>
        <w:jc w:val="both"/>
        <w:rPr>
          <w:rFonts w:ascii="Times New Roman" w:hAnsi="Times New Roman" w:cs="Times New Roman"/>
          <w:b/>
          <w:bCs/>
          <w:sz w:val="24"/>
          <w:szCs w:val="24"/>
        </w:rPr>
      </w:pPr>
      <w:r w:rsidRPr="005606F8">
        <w:rPr>
          <w:rFonts w:ascii="Times New Roman" w:hAnsi="Times New Roman" w:cs="Times New Roman"/>
          <w:sz w:val="24"/>
          <w:szCs w:val="24"/>
        </w:rPr>
        <w:t>The gap in the literature is clear-cut: six-over T20 score prediction as a partial match state regression problem with the empirically tested prediction interval has not been studied in the reviewed papers.</w:t>
      </w:r>
    </w:p>
    <w:p w14:paraId="4AD950F9" w14:textId="13B80BD3" w:rsidR="004C4727" w:rsidRPr="001D5028" w:rsidRDefault="00000000" w:rsidP="00AF2719">
      <w:pPr>
        <w:pStyle w:val="Heading1"/>
        <w:rPr>
          <w:rFonts w:ascii="Times New Roman" w:hAnsi="Times New Roman" w:cs="Times New Roman"/>
          <w:color w:val="auto"/>
        </w:rPr>
      </w:pPr>
      <w:r w:rsidRPr="001D5028">
        <w:rPr>
          <w:rFonts w:ascii="Times New Roman" w:hAnsi="Times New Roman" w:cs="Times New Roman"/>
          <w:color w:val="auto"/>
        </w:rPr>
        <w:t>5. Implications for B1</w:t>
      </w:r>
    </w:p>
    <w:p w14:paraId="0E043A26" w14:textId="77777777" w:rsidR="004C4727" w:rsidRPr="001D5028" w:rsidRDefault="00000000">
      <w:pPr>
        <w:spacing w:after="180" w:line="300" w:lineRule="auto"/>
        <w:jc w:val="both"/>
        <w:rPr>
          <w:rFonts w:ascii="Times New Roman" w:hAnsi="Times New Roman" w:cs="Times New Roman"/>
          <w:sz w:val="24"/>
          <w:szCs w:val="24"/>
        </w:rPr>
      </w:pPr>
      <w:r w:rsidRPr="001D5028">
        <w:rPr>
          <w:rFonts w:ascii="Times New Roman" w:hAnsi="Times New Roman" w:cs="Times New Roman"/>
          <w:sz w:val="24"/>
          <w:szCs w:val="24"/>
        </w:rPr>
        <w:t>Table 2 connects the findings above to the modelling approach a six-over score-prediction task would reasonably adopt.</w:t>
      </w:r>
    </w:p>
    <w:p w14:paraId="5337878A" w14:textId="77777777" w:rsidR="004C4727" w:rsidRPr="001D5028" w:rsidRDefault="00000000">
      <w:pPr>
        <w:spacing w:before="100" w:after="100"/>
        <w:rPr>
          <w:rFonts w:ascii="Times New Roman" w:hAnsi="Times New Roman" w:cs="Times New Roman"/>
        </w:rPr>
      </w:pPr>
      <w:r w:rsidRPr="001D5028">
        <w:rPr>
          <w:rFonts w:ascii="Times New Roman" w:hAnsi="Times New Roman" w:cs="Times New Roman"/>
          <w:b/>
          <w:bCs/>
          <w:i/>
          <w:iCs/>
          <w:sz w:val="21"/>
          <w:szCs w:val="21"/>
        </w:rPr>
        <w:t>Table 2. Literature findings and their implications.</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30"/>
        <w:gridCol w:w="4930"/>
      </w:tblGrid>
      <w:tr w:rsidR="004C4727" w:rsidRPr="001D5028" w14:paraId="477ACC02" w14:textId="77777777">
        <w:tblPrEx>
          <w:tblCellMar>
            <w:top w:w="0" w:type="dxa"/>
            <w:bottom w:w="0" w:type="dxa"/>
          </w:tblCellMar>
        </w:tblPrEx>
        <w:tc>
          <w:tcPr>
            <w:tcW w:w="4930" w:type="dxa"/>
            <w:shd w:val="clear" w:color="auto" w:fill="1F3864"/>
            <w:tcMar>
              <w:top w:w="70" w:type="dxa"/>
              <w:left w:w="90" w:type="dxa"/>
              <w:bottom w:w="70" w:type="dxa"/>
              <w:right w:w="90" w:type="dxa"/>
            </w:tcMar>
            <w:vAlign w:val="center"/>
          </w:tcPr>
          <w:p w14:paraId="14579AC4"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9"/>
                <w:szCs w:val="19"/>
              </w:rPr>
              <w:t>Literature finding</w:t>
            </w:r>
          </w:p>
        </w:tc>
        <w:tc>
          <w:tcPr>
            <w:tcW w:w="4930" w:type="dxa"/>
            <w:shd w:val="clear" w:color="auto" w:fill="1F3864"/>
            <w:tcMar>
              <w:top w:w="70" w:type="dxa"/>
              <w:left w:w="90" w:type="dxa"/>
              <w:bottom w:w="70" w:type="dxa"/>
              <w:right w:w="90" w:type="dxa"/>
            </w:tcMar>
            <w:vAlign w:val="center"/>
          </w:tcPr>
          <w:p w14:paraId="7FD91EAD" w14:textId="77777777" w:rsidR="004C4727" w:rsidRPr="001D5028" w:rsidRDefault="00000000">
            <w:pPr>
              <w:rPr>
                <w:rFonts w:ascii="Times New Roman" w:hAnsi="Times New Roman" w:cs="Times New Roman"/>
              </w:rPr>
            </w:pPr>
            <w:r w:rsidRPr="001D5028">
              <w:rPr>
                <w:rFonts w:ascii="Times New Roman" w:hAnsi="Times New Roman" w:cs="Times New Roman"/>
                <w:b/>
                <w:bCs/>
                <w:color w:val="FFFFFF"/>
                <w:sz w:val="19"/>
                <w:szCs w:val="19"/>
              </w:rPr>
              <w:t>Implication for B1</w:t>
            </w:r>
          </w:p>
        </w:tc>
      </w:tr>
      <w:tr w:rsidR="004C4727" w:rsidRPr="001D5028" w14:paraId="786D79AE" w14:textId="77777777">
        <w:tblPrEx>
          <w:tblCellMar>
            <w:top w:w="0" w:type="dxa"/>
            <w:bottom w:w="0" w:type="dxa"/>
          </w:tblCellMar>
        </w:tblPrEx>
        <w:tc>
          <w:tcPr>
            <w:tcW w:w="4930" w:type="dxa"/>
            <w:tcMar>
              <w:top w:w="70" w:type="dxa"/>
              <w:left w:w="90" w:type="dxa"/>
              <w:bottom w:w="70" w:type="dxa"/>
              <w:right w:w="90" w:type="dxa"/>
            </w:tcMar>
            <w:vAlign w:val="center"/>
          </w:tcPr>
          <w:p w14:paraId="4CF137A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Run rate alone is limited</w:t>
            </w:r>
          </w:p>
        </w:tc>
        <w:tc>
          <w:tcPr>
            <w:tcW w:w="4930" w:type="dxa"/>
            <w:tcMar>
              <w:top w:w="70" w:type="dxa"/>
              <w:left w:w="90" w:type="dxa"/>
              <w:bottom w:w="70" w:type="dxa"/>
              <w:right w:w="90" w:type="dxa"/>
            </w:tcMar>
            <w:vAlign w:val="center"/>
          </w:tcPr>
          <w:p w14:paraId="5CEFD93A"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CRR × 20 baseline</w:t>
            </w:r>
          </w:p>
        </w:tc>
      </w:tr>
      <w:tr w:rsidR="004C4727" w:rsidRPr="001D5028" w14:paraId="0ADAA8A6" w14:textId="77777777">
        <w:tblPrEx>
          <w:tblCellMar>
            <w:top w:w="0" w:type="dxa"/>
            <w:bottom w:w="0" w:type="dxa"/>
          </w:tblCellMar>
        </w:tblPrEx>
        <w:tc>
          <w:tcPr>
            <w:tcW w:w="4930" w:type="dxa"/>
            <w:tcMar>
              <w:top w:w="70" w:type="dxa"/>
              <w:left w:w="90" w:type="dxa"/>
              <w:bottom w:w="70" w:type="dxa"/>
              <w:right w:w="90" w:type="dxa"/>
            </w:tcMar>
            <w:vAlign w:val="center"/>
          </w:tcPr>
          <w:p w14:paraId="1AE212D5"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Wickets affect scoring potential</w:t>
            </w:r>
          </w:p>
        </w:tc>
        <w:tc>
          <w:tcPr>
            <w:tcW w:w="4930" w:type="dxa"/>
            <w:tcMar>
              <w:top w:w="70" w:type="dxa"/>
              <w:left w:w="90" w:type="dxa"/>
              <w:bottom w:w="70" w:type="dxa"/>
              <w:right w:w="90" w:type="dxa"/>
            </w:tcMar>
            <w:vAlign w:val="center"/>
          </w:tcPr>
          <w:p w14:paraId="6DF92A5A"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 xml:space="preserve">Include </w:t>
            </w:r>
            <w:proofErr w:type="spellStart"/>
            <w:r w:rsidRPr="001D5028">
              <w:rPr>
                <w:rFonts w:ascii="Times New Roman" w:hAnsi="Times New Roman" w:cs="Times New Roman"/>
                <w:color w:val="000000"/>
                <w:sz w:val="19"/>
                <w:szCs w:val="19"/>
              </w:rPr>
              <w:t>wickets_down</w:t>
            </w:r>
            <w:proofErr w:type="spellEnd"/>
          </w:p>
        </w:tc>
      </w:tr>
      <w:tr w:rsidR="004C4727" w:rsidRPr="001D5028" w14:paraId="1A2C6DA8" w14:textId="77777777">
        <w:tblPrEx>
          <w:tblCellMar>
            <w:top w:w="0" w:type="dxa"/>
            <w:bottom w:w="0" w:type="dxa"/>
          </w:tblCellMar>
        </w:tblPrEx>
        <w:tc>
          <w:tcPr>
            <w:tcW w:w="4930" w:type="dxa"/>
            <w:tcMar>
              <w:top w:w="70" w:type="dxa"/>
              <w:left w:w="90" w:type="dxa"/>
              <w:bottom w:w="70" w:type="dxa"/>
              <w:right w:w="90" w:type="dxa"/>
            </w:tcMar>
            <w:vAlign w:val="center"/>
          </w:tcPr>
          <w:p w14:paraId="018495CA"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Regression works for partial-match prediction</w:t>
            </w:r>
          </w:p>
        </w:tc>
        <w:tc>
          <w:tcPr>
            <w:tcW w:w="4930" w:type="dxa"/>
            <w:tcMar>
              <w:top w:w="70" w:type="dxa"/>
              <w:left w:w="90" w:type="dxa"/>
              <w:bottom w:w="70" w:type="dxa"/>
              <w:right w:w="90" w:type="dxa"/>
            </w:tcMar>
            <w:vAlign w:val="center"/>
          </w:tcPr>
          <w:p w14:paraId="567323A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Evaluate Linear Regression</w:t>
            </w:r>
          </w:p>
        </w:tc>
      </w:tr>
      <w:tr w:rsidR="004C4727" w:rsidRPr="001D5028" w14:paraId="19976DEB" w14:textId="77777777">
        <w:tblPrEx>
          <w:tblCellMar>
            <w:top w:w="0" w:type="dxa"/>
            <w:bottom w:w="0" w:type="dxa"/>
          </w:tblCellMar>
        </w:tblPrEx>
        <w:tc>
          <w:tcPr>
            <w:tcW w:w="4930" w:type="dxa"/>
            <w:tcMar>
              <w:top w:w="70" w:type="dxa"/>
              <w:left w:w="90" w:type="dxa"/>
              <w:bottom w:w="70" w:type="dxa"/>
              <w:right w:w="90" w:type="dxa"/>
            </w:tcMar>
            <w:vAlign w:val="center"/>
          </w:tcPr>
          <w:p w14:paraId="357781C0"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Gradient boosting handles nonlinear tabular data</w:t>
            </w:r>
          </w:p>
        </w:tc>
        <w:tc>
          <w:tcPr>
            <w:tcW w:w="4930" w:type="dxa"/>
            <w:tcMar>
              <w:top w:w="70" w:type="dxa"/>
              <w:left w:w="90" w:type="dxa"/>
              <w:bottom w:w="70" w:type="dxa"/>
              <w:right w:w="90" w:type="dxa"/>
            </w:tcMar>
            <w:vAlign w:val="center"/>
          </w:tcPr>
          <w:p w14:paraId="44B973A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Evaluate Gradient Boosting</w:t>
            </w:r>
          </w:p>
        </w:tc>
      </w:tr>
      <w:tr w:rsidR="004C4727" w:rsidRPr="001D5028" w14:paraId="4E7FAA10" w14:textId="77777777">
        <w:tblPrEx>
          <w:tblCellMar>
            <w:top w:w="0" w:type="dxa"/>
            <w:bottom w:w="0" w:type="dxa"/>
          </w:tblCellMar>
        </w:tblPrEx>
        <w:tc>
          <w:tcPr>
            <w:tcW w:w="4930" w:type="dxa"/>
            <w:tcMar>
              <w:top w:w="70" w:type="dxa"/>
              <w:left w:w="90" w:type="dxa"/>
              <w:bottom w:w="70" w:type="dxa"/>
              <w:right w:w="90" w:type="dxa"/>
            </w:tcMar>
            <w:vAlign w:val="center"/>
          </w:tcPr>
          <w:p w14:paraId="6160A171"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Point predictions do not quantify uncertainty</w:t>
            </w:r>
          </w:p>
        </w:tc>
        <w:tc>
          <w:tcPr>
            <w:tcW w:w="4930" w:type="dxa"/>
            <w:tcMar>
              <w:top w:w="70" w:type="dxa"/>
              <w:left w:w="90" w:type="dxa"/>
              <w:bottom w:w="70" w:type="dxa"/>
              <w:right w:w="90" w:type="dxa"/>
            </w:tcMar>
            <w:vAlign w:val="center"/>
          </w:tcPr>
          <w:p w14:paraId="531E5A6B"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Produce prediction intervals</w:t>
            </w:r>
          </w:p>
        </w:tc>
      </w:tr>
      <w:tr w:rsidR="004C4727" w:rsidRPr="001D5028" w14:paraId="50D09CF1" w14:textId="77777777">
        <w:tblPrEx>
          <w:tblCellMar>
            <w:top w:w="0" w:type="dxa"/>
            <w:bottom w:w="0" w:type="dxa"/>
          </w:tblCellMar>
        </w:tblPrEx>
        <w:tc>
          <w:tcPr>
            <w:tcW w:w="4930" w:type="dxa"/>
            <w:tcMar>
              <w:top w:w="70" w:type="dxa"/>
              <w:left w:w="90" w:type="dxa"/>
              <w:bottom w:w="70" w:type="dxa"/>
              <w:right w:w="90" w:type="dxa"/>
            </w:tcMar>
            <w:vAlign w:val="center"/>
          </w:tcPr>
          <w:p w14:paraId="12AC16EF"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Conformal methods provide coverage guarantees</w:t>
            </w:r>
          </w:p>
        </w:tc>
        <w:tc>
          <w:tcPr>
            <w:tcW w:w="4930" w:type="dxa"/>
            <w:tcMar>
              <w:top w:w="70" w:type="dxa"/>
              <w:left w:w="90" w:type="dxa"/>
              <w:bottom w:w="70" w:type="dxa"/>
              <w:right w:w="90" w:type="dxa"/>
            </w:tcMar>
            <w:vAlign w:val="center"/>
          </w:tcPr>
          <w:p w14:paraId="6EF8909C"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Investigate conformal prediction</w:t>
            </w:r>
          </w:p>
        </w:tc>
      </w:tr>
      <w:tr w:rsidR="004C4727" w:rsidRPr="001D5028" w14:paraId="3E0AC3EE" w14:textId="77777777">
        <w:tblPrEx>
          <w:tblCellMar>
            <w:top w:w="0" w:type="dxa"/>
            <w:bottom w:w="0" w:type="dxa"/>
          </w:tblCellMar>
        </w:tblPrEx>
        <w:tc>
          <w:tcPr>
            <w:tcW w:w="4930" w:type="dxa"/>
            <w:tcMar>
              <w:top w:w="70" w:type="dxa"/>
              <w:left w:w="90" w:type="dxa"/>
              <w:bottom w:w="70" w:type="dxa"/>
              <w:right w:w="90" w:type="dxa"/>
            </w:tcMar>
            <w:vAlign w:val="center"/>
          </w:tcPr>
          <w:p w14:paraId="6E21B585"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Calibration matters</w:t>
            </w:r>
          </w:p>
        </w:tc>
        <w:tc>
          <w:tcPr>
            <w:tcW w:w="4930" w:type="dxa"/>
            <w:tcMar>
              <w:top w:w="70" w:type="dxa"/>
              <w:left w:w="90" w:type="dxa"/>
              <w:bottom w:w="70" w:type="dxa"/>
              <w:right w:w="90" w:type="dxa"/>
            </w:tcMar>
            <w:vAlign w:val="center"/>
          </w:tcPr>
          <w:p w14:paraId="1E3DA5B5" w14:textId="77777777" w:rsidR="004C4727" w:rsidRPr="001D5028" w:rsidRDefault="00000000">
            <w:pPr>
              <w:rPr>
                <w:rFonts w:ascii="Times New Roman" w:hAnsi="Times New Roman" w:cs="Times New Roman"/>
              </w:rPr>
            </w:pPr>
            <w:r w:rsidRPr="001D5028">
              <w:rPr>
                <w:rFonts w:ascii="Times New Roman" w:hAnsi="Times New Roman" w:cs="Times New Roman"/>
                <w:color w:val="000000"/>
                <w:sz w:val="19"/>
                <w:szCs w:val="19"/>
              </w:rPr>
              <w:t>Report coverage and interval width</w:t>
            </w:r>
          </w:p>
        </w:tc>
      </w:tr>
    </w:tbl>
    <w:p w14:paraId="3E0B5DA0" w14:textId="77777777" w:rsidR="004C4727" w:rsidRPr="001D5028" w:rsidRDefault="00000000">
      <w:pPr>
        <w:pStyle w:val="Heading1"/>
        <w:rPr>
          <w:rFonts w:ascii="Times New Roman" w:hAnsi="Times New Roman" w:cs="Times New Roman"/>
          <w:color w:val="auto"/>
        </w:rPr>
      </w:pPr>
      <w:r w:rsidRPr="001D5028">
        <w:rPr>
          <w:rFonts w:ascii="Times New Roman" w:hAnsi="Times New Roman" w:cs="Times New Roman"/>
          <w:color w:val="auto"/>
        </w:rPr>
        <w:t xml:space="preserve">6. </w:t>
      </w:r>
      <w:r w:rsidRPr="005606F8">
        <w:rPr>
          <w:rFonts w:ascii="Times New Roman" w:hAnsi="Times New Roman" w:cs="Times New Roman"/>
          <w:color w:val="auto"/>
          <w:u w:val="single"/>
        </w:rPr>
        <w:t>References</w:t>
      </w:r>
    </w:p>
    <w:p w14:paraId="551386A2"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[1] </w:t>
      </w:r>
      <w:r w:rsidRPr="001D5028">
        <w:rPr>
          <w:rFonts w:ascii="Times New Roman" w:hAnsi="Times New Roman" w:cs="Times New Roman"/>
          <w:sz w:val="21"/>
          <w:szCs w:val="21"/>
        </w:rPr>
        <w:t>F. C. Duckworth and A. J. Lewis, "A fair method for resetting the target in interrupted one-day cricket matches," Journal of the Operational Research Society, vol. 49, no. 3, pp. 220–227, 1998.</w:t>
      </w:r>
    </w:p>
    <w:p w14:paraId="6920E7F0"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[2] </w:t>
      </w:r>
      <w:r w:rsidRPr="001D5028">
        <w:rPr>
          <w:rFonts w:ascii="Times New Roman" w:hAnsi="Times New Roman" w:cs="Times New Roman"/>
          <w:sz w:val="21"/>
          <w:szCs w:val="21"/>
        </w:rPr>
        <w:t>M. Bailey and S. R. Clarke, "Predicting the match outcome in one day international cricket matches, while the game is in progress," Journal of Sports Science &amp; Medicine, vol. 5, no. 4, pp. 480–487, 2006.</w:t>
      </w:r>
    </w:p>
    <w:p w14:paraId="2E6EE264"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[3] </w:t>
      </w:r>
      <w:r w:rsidRPr="001D5028">
        <w:rPr>
          <w:rFonts w:ascii="Times New Roman" w:hAnsi="Times New Roman" w:cs="Times New Roman"/>
          <w:sz w:val="21"/>
          <w:szCs w:val="21"/>
        </w:rPr>
        <w:t>T. Singh, V. Singla, and P. Bhatia, "Score and winning prediction in cricket through data mining," in Proc. 2015 Int. Conf. Soft Computing Techniques and Implementations (ICSCTI), Faridabad, India, 2015, pp. 60–66.</w:t>
      </w:r>
    </w:p>
    <w:p w14:paraId="6EEFE7FF"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[4] </w:t>
      </w:r>
      <w:r w:rsidRPr="001D5028">
        <w:rPr>
          <w:rFonts w:ascii="Times New Roman" w:hAnsi="Times New Roman" w:cs="Times New Roman"/>
          <w:sz w:val="21"/>
          <w:szCs w:val="21"/>
        </w:rPr>
        <w:t>M. A. S. Tonmoy, S. K. Dey, T. Islam, and J. Apu, "A data-driven approach to predict scores in T20 cricket match using machine learning classifier," in Proc. 2nd Int. Conf. Big Data, IoT and Machine Learning (BIM 2023), Lecture Notes in Networks and Systems, vol. 867, Singapore: Springer, 2024.</w:t>
      </w:r>
    </w:p>
    <w:p w14:paraId="04A42165"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[5] </w:t>
      </w:r>
      <w:r w:rsidRPr="001D5028">
        <w:rPr>
          <w:rFonts w:ascii="Times New Roman" w:hAnsi="Times New Roman" w:cs="Times New Roman"/>
          <w:sz w:val="21"/>
          <w:szCs w:val="21"/>
        </w:rPr>
        <w:t>P. Robberechts and J. Davis, "A Bayesian approach to in-game win probability in soccer," in Proc. 27th ACM SIGKDD Conf. Knowledge Discovery &amp; Data Mining (KDD '21), 2021.</w:t>
      </w:r>
    </w:p>
    <w:p w14:paraId="27A1C7A1"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[6] </w:t>
      </w:r>
      <w:r w:rsidRPr="001D5028">
        <w:rPr>
          <w:rFonts w:ascii="Times New Roman" w:hAnsi="Times New Roman" w:cs="Times New Roman"/>
          <w:sz w:val="21"/>
          <w:szCs w:val="21"/>
        </w:rPr>
        <w:t>K. Pelechrinis, "</w:t>
      </w:r>
      <w:proofErr w:type="spellStart"/>
      <w:r w:rsidRPr="001D5028">
        <w:rPr>
          <w:rFonts w:ascii="Times New Roman" w:hAnsi="Times New Roman" w:cs="Times New Roman"/>
          <w:sz w:val="21"/>
          <w:szCs w:val="21"/>
        </w:rPr>
        <w:t>iWinRNFL</w:t>
      </w:r>
      <w:proofErr w:type="spellEnd"/>
      <w:r w:rsidRPr="001D5028">
        <w:rPr>
          <w:rFonts w:ascii="Times New Roman" w:hAnsi="Times New Roman" w:cs="Times New Roman"/>
          <w:sz w:val="21"/>
          <w:szCs w:val="21"/>
        </w:rPr>
        <w:t>: A simple, interpretable &amp; well-calibrated in-game win probability model for NFL," arXiv:1704.00197, 2017.</w:t>
      </w:r>
    </w:p>
    <w:p w14:paraId="04743E37"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[7] </w:t>
      </w:r>
      <w:r w:rsidRPr="001D5028">
        <w:rPr>
          <w:rFonts w:ascii="Times New Roman" w:hAnsi="Times New Roman" w:cs="Times New Roman"/>
          <w:sz w:val="21"/>
          <w:szCs w:val="21"/>
        </w:rPr>
        <w:t xml:space="preserve">T. Chen and C. </w:t>
      </w:r>
      <w:proofErr w:type="spellStart"/>
      <w:r w:rsidRPr="001D5028">
        <w:rPr>
          <w:rFonts w:ascii="Times New Roman" w:hAnsi="Times New Roman" w:cs="Times New Roman"/>
          <w:sz w:val="21"/>
          <w:szCs w:val="21"/>
        </w:rPr>
        <w:t>Guestrin</w:t>
      </w:r>
      <w:proofErr w:type="spellEnd"/>
      <w:r w:rsidRPr="001D5028">
        <w:rPr>
          <w:rFonts w:ascii="Times New Roman" w:hAnsi="Times New Roman" w:cs="Times New Roman"/>
          <w:sz w:val="21"/>
          <w:szCs w:val="21"/>
        </w:rPr>
        <w:t>, "XGBoost: A scalable tree boosting system," in Proc. 22nd ACM SIGKDD Int. Conf. Knowledge Discovery and Data Mining (KDD '16), 2016, pp. 785–794.</w:t>
      </w:r>
    </w:p>
    <w:p w14:paraId="7A836578"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[8] </w:t>
      </w:r>
      <w:r w:rsidRPr="001D5028">
        <w:rPr>
          <w:rFonts w:ascii="Times New Roman" w:hAnsi="Times New Roman" w:cs="Times New Roman"/>
          <w:sz w:val="21"/>
          <w:szCs w:val="21"/>
        </w:rPr>
        <w:t>N. Meinshausen, "Quantile regression forests," Journal of Machine Learning Research, vol. 7, pp. 983–999, 2006.</w:t>
      </w:r>
    </w:p>
    <w:p w14:paraId="1DD8B437"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[9] </w:t>
      </w:r>
      <w:r w:rsidRPr="001D5028">
        <w:rPr>
          <w:rFonts w:ascii="Times New Roman" w:hAnsi="Times New Roman" w:cs="Times New Roman"/>
          <w:sz w:val="21"/>
          <w:szCs w:val="21"/>
        </w:rPr>
        <w:t>Y. Romano, E. Patterson, and E. Candès, "Conformalized quantile regression," in Advances in Neural Information Processing Systems 32 (</w:t>
      </w:r>
      <w:proofErr w:type="spellStart"/>
      <w:r w:rsidRPr="001D5028">
        <w:rPr>
          <w:rFonts w:ascii="Times New Roman" w:hAnsi="Times New Roman" w:cs="Times New Roman"/>
          <w:sz w:val="21"/>
          <w:szCs w:val="21"/>
        </w:rPr>
        <w:t>NeurIPS</w:t>
      </w:r>
      <w:proofErr w:type="spellEnd"/>
      <w:r w:rsidRPr="001D5028">
        <w:rPr>
          <w:rFonts w:ascii="Times New Roman" w:hAnsi="Times New Roman" w:cs="Times New Roman"/>
          <w:sz w:val="21"/>
          <w:szCs w:val="21"/>
        </w:rPr>
        <w:t xml:space="preserve"> 2019), 2019.</w:t>
      </w:r>
    </w:p>
    <w:p w14:paraId="1D867321" w14:textId="77777777" w:rsidR="004C4727" w:rsidRPr="001D5028" w:rsidRDefault="00000000">
      <w:pPr>
        <w:spacing w:after="140"/>
        <w:ind w:left="360" w:hanging="360"/>
        <w:rPr>
          <w:rFonts w:ascii="Times New Roman" w:hAnsi="Times New Roman" w:cs="Times New Roman"/>
        </w:rPr>
      </w:pPr>
      <w:r w:rsidRPr="001D5028">
        <w:rPr>
          <w:rFonts w:ascii="Times New Roman" w:hAnsi="Times New Roman" w:cs="Times New Roman"/>
          <w:b/>
          <w:bCs/>
          <w:sz w:val="21"/>
          <w:szCs w:val="21"/>
        </w:rPr>
        <w:t xml:space="preserve">[10] </w:t>
      </w:r>
      <w:r w:rsidRPr="001D5028">
        <w:rPr>
          <w:rFonts w:ascii="Times New Roman" w:hAnsi="Times New Roman" w:cs="Times New Roman"/>
          <w:sz w:val="21"/>
          <w:szCs w:val="21"/>
        </w:rPr>
        <w:t xml:space="preserve">H. </w:t>
      </w:r>
      <w:proofErr w:type="spellStart"/>
      <w:r w:rsidRPr="001D5028">
        <w:rPr>
          <w:rFonts w:ascii="Times New Roman" w:hAnsi="Times New Roman" w:cs="Times New Roman"/>
          <w:sz w:val="21"/>
          <w:szCs w:val="21"/>
        </w:rPr>
        <w:t>Tyralis</w:t>
      </w:r>
      <w:proofErr w:type="spellEnd"/>
      <w:r w:rsidRPr="001D5028">
        <w:rPr>
          <w:rFonts w:ascii="Times New Roman" w:hAnsi="Times New Roman" w:cs="Times New Roman"/>
          <w:sz w:val="21"/>
          <w:szCs w:val="21"/>
        </w:rPr>
        <w:t xml:space="preserve"> and G. Papacharalampous, "A review of predictive uncertainty estimation with machine learning," Artificial Intelligence Review, Springer, 2024.</w:t>
      </w:r>
    </w:p>
    <w:sectPr w:rsidR="004C4727" w:rsidRPr="001D5028" w:rsidSect="006D542F">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80C8A"/>
    <w:multiLevelType w:val="hybridMultilevel"/>
    <w:tmpl w:val="A67C63C0"/>
    <w:lvl w:ilvl="0" w:tplc="30662E5E">
      <w:start w:val="1"/>
      <w:numFmt w:val="bullet"/>
      <w:lvlText w:val="●"/>
      <w:lvlJc w:val="left"/>
      <w:pPr>
        <w:ind w:left="720" w:hanging="360"/>
      </w:pPr>
    </w:lvl>
    <w:lvl w:ilvl="1" w:tplc="52C82A7A">
      <w:start w:val="1"/>
      <w:numFmt w:val="bullet"/>
      <w:lvlText w:val="○"/>
      <w:lvlJc w:val="left"/>
      <w:pPr>
        <w:ind w:left="1440" w:hanging="360"/>
      </w:pPr>
    </w:lvl>
    <w:lvl w:ilvl="2" w:tplc="082007B2">
      <w:start w:val="1"/>
      <w:numFmt w:val="bullet"/>
      <w:lvlText w:val="■"/>
      <w:lvlJc w:val="left"/>
      <w:pPr>
        <w:ind w:left="2160" w:hanging="360"/>
      </w:pPr>
    </w:lvl>
    <w:lvl w:ilvl="3" w:tplc="94669F44">
      <w:start w:val="1"/>
      <w:numFmt w:val="bullet"/>
      <w:lvlText w:val="●"/>
      <w:lvlJc w:val="left"/>
      <w:pPr>
        <w:ind w:left="2880" w:hanging="360"/>
      </w:pPr>
    </w:lvl>
    <w:lvl w:ilvl="4" w:tplc="760E5670">
      <w:start w:val="1"/>
      <w:numFmt w:val="bullet"/>
      <w:lvlText w:val="○"/>
      <w:lvlJc w:val="left"/>
      <w:pPr>
        <w:ind w:left="3600" w:hanging="360"/>
      </w:pPr>
    </w:lvl>
    <w:lvl w:ilvl="5" w:tplc="9A6CADBA">
      <w:start w:val="1"/>
      <w:numFmt w:val="bullet"/>
      <w:lvlText w:val="■"/>
      <w:lvlJc w:val="left"/>
      <w:pPr>
        <w:ind w:left="4320" w:hanging="360"/>
      </w:pPr>
    </w:lvl>
    <w:lvl w:ilvl="6" w:tplc="6A9A36F8">
      <w:start w:val="1"/>
      <w:numFmt w:val="bullet"/>
      <w:lvlText w:val="●"/>
      <w:lvlJc w:val="left"/>
      <w:pPr>
        <w:ind w:left="5040" w:hanging="360"/>
      </w:pPr>
    </w:lvl>
    <w:lvl w:ilvl="7" w:tplc="2416A2A4">
      <w:start w:val="1"/>
      <w:numFmt w:val="bullet"/>
      <w:lvlText w:val="●"/>
      <w:lvlJc w:val="left"/>
      <w:pPr>
        <w:ind w:left="5760" w:hanging="360"/>
      </w:pPr>
    </w:lvl>
    <w:lvl w:ilvl="8" w:tplc="DD76A03C">
      <w:start w:val="1"/>
      <w:numFmt w:val="bullet"/>
      <w:lvlText w:val="●"/>
      <w:lvlJc w:val="left"/>
      <w:pPr>
        <w:ind w:left="6480" w:hanging="360"/>
      </w:pPr>
    </w:lvl>
  </w:abstractNum>
  <w:num w:numId="1" w16cid:durableId="641539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727"/>
    <w:rsid w:val="00105077"/>
    <w:rsid w:val="001D5028"/>
    <w:rsid w:val="004C4727"/>
    <w:rsid w:val="005606F8"/>
    <w:rsid w:val="00690248"/>
    <w:rsid w:val="006D542F"/>
    <w:rsid w:val="00A529FB"/>
    <w:rsid w:val="00AF2719"/>
    <w:rsid w:val="00CD1AF2"/>
    <w:rsid w:val="00DE0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4C56"/>
  <w15:docId w15:val="{670E38B9-AAD4-4637-A170-0B3BD268E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unhideWhenUsed/>
    <w:qFormat/>
    <w:pPr>
      <w:spacing w:before="220" w:after="110"/>
      <w:outlineLvl w:val="1"/>
    </w:pPr>
    <w:rPr>
      <w:b/>
      <w:bCs/>
      <w:color w:val="2E5395"/>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D5483-E62A-4802-BA0E-4000230DF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Piyush</dc:creator>
  <cp:lastModifiedBy>Piyush kumar</cp:lastModifiedBy>
  <cp:revision>2</cp:revision>
  <cp:lastPrinted>2026-08-16T08:39:00Z</cp:lastPrinted>
  <dcterms:created xsi:type="dcterms:W3CDTF">2026-08-16T08:39:00Z</dcterms:created>
  <dcterms:modified xsi:type="dcterms:W3CDTF">2026-08-16T08:39:00Z</dcterms:modified>
</cp:coreProperties>
</file>